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2026-10-14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يمكن قراءة هذا الحكم في اتجاهين: «جاذبية السوق» أقوى الجوانب (‏89%‏) ويدعم الدخول الكامل، و«شدة المنافسة» أضعفها (‏37%‏) ويدعم عدم الدخول.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نأخذ بأيٍّ من الاتجاهين، لأن التقييم الكلي يقع في نطاق الدخول المشروط، والقرار النهائي ينتظر استيفاء الشروط المحددة.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2026-10-14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2026-10-14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2026-10-14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للشرائح — التقسيم السلوكي/الديموغرافي يتطلب بحثاً أولياً (مقابلات أو استبيانات) لم يُجرَ بعد؛ لا يُشتق من بيانات ثانوية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2026-10-14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2026-10-14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2026-10-14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2026-10-14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2026-10-14 | ثقة: عالية (‏85%‏)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2026-10-14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60 مليون دولار (‏UN Comtrade 2023‏)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50%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لم نعرفه بعد — كيف تعرفه: احسبها من عرض الشحن الفعلي وسعة الحاوية التي يقبلها المستورد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15 من 16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