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2026-09-23</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a confidence of 60% or more and no open conditions; we decline when it falls below 45 or when market safety breaks down; anything in between is a conditional entry, with the conditions named below.</w:t>
      </w:r>
    </w:p>
    <w:p>
      <w:r>
        <w:t>We rate this opportunity 64 out of 100, and our confidence in that rating is about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Observed from direct sources.</w:t>
            </w:r>
          </w:p>
        </w:tc>
      </w:tr>
      <w:t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Observed from direct sources.</w:t>
            </w:r>
          </w:p>
        </w:tc>
      </w:tr>
      <w:t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Observed from direct sources.</w:t>
            </w:r>
          </w:p>
        </w:tc>
      </w:tr>
      <w:t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computed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computed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Condition 1: The Margin headroom aspect is not computed yet — it requires: price headroom at the border, your price against the market. Close these before you commit to production or shipping.</w:t>
      </w:r>
    </w:p>
    <w:p>
      <w:pPr>
        <w:pStyle w:val="ListBullet"/>
      </w:pPr>
      <w:r>
        <w:t>Condition 2: The Market safety (risk) aspect is not computed yet — it requires: political stability, regulatory quality, logistics performance, currency stability. Close these before you commit to production or shipping.</w:t>
      </w:r>
    </w:p>
    <w:p>
      <w:pPr>
        <w:pStyle w:val="ListBullet"/>
      </w:pPr>
      <w:r>
        <w:t>Condition 3: Pillar Regulatory fit is weak (38%) — address it before you commit, or enter at a size that can absorb it.</w:t>
      </w:r>
    </w:p>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r>
        <w:t>Lowest competing shelf price observed in the market: 14.0 € (pricing basis: retail).</w:t>
      </w:r>
    </w:p>
    <w:p>
      <w:r>
        <w:t>To match that price after freight, duties and distribution margins, your ex-factory cost must not exceed 15.29 €/kg (under the mid scenario assumptions below).</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c>
          <w:tcPr>
            <w:tcW w:type="dxa" w:w="1872"/>
            <w:shd w:val="clear" w:fill="166534"/>
            <w:tcMar>
              <w:top w:w="100" w:type="dxa"/>
              <w:bottom w:w="100" w:type="dxa"/>
              <w:left w:w="120" w:type="dxa"/>
              <w:right w:w="120" w:type="dxa"/>
            </w:tcMar>
          </w:tcPr>
          <w:p>
            <w:pPr>
              <w:bidi/>
              <w:jc w:val="start"/>
            </w:pPr>
            <w:r>
              <w:rPr>
                <w:b/>
                <w:color w:val="FFFFFF"/>
              </w:rPr>
              <w:t>Scenario</w:t>
            </w:r>
          </w:p>
        </w:tc>
        <w:tc>
          <w:tcPr>
            <w:tcW w:type="dxa" w:w="1872"/>
            <w:shd w:val="clear" w:fill="166534"/>
            <w:tcMar>
              <w:top w:w="100" w:type="dxa"/>
              <w:bottom w:w="100" w:type="dxa"/>
              <w:left w:w="120" w:type="dxa"/>
              <w:right w:w="120" w:type="dxa"/>
            </w:tcMar>
          </w:tcPr>
          <w:p>
            <w:pPr>
              <w:bidi/>
              <w:jc w:val="start"/>
            </w:pPr>
            <w:r>
              <w:rPr>
                <w:b/>
                <w:color w:val="FFFFFF"/>
              </w:rPr>
              <w:t>Freight %</w:t>
            </w:r>
          </w:p>
        </w:tc>
        <w:tc>
          <w:tcPr>
            <w:tcW w:type="dxa" w:w="1872"/>
            <w:shd w:val="clear" w:fill="166534"/>
            <w:tcMar>
              <w:top w:w="100" w:type="dxa"/>
              <w:bottom w:w="100" w:type="dxa"/>
              <w:left w:w="120" w:type="dxa"/>
              <w:right w:w="120" w:type="dxa"/>
            </w:tcMar>
          </w:tcPr>
          <w:p>
            <w:pPr>
              <w:bidi/>
              <w:jc w:val="start"/>
            </w:pPr>
            <w:r>
              <w:rPr>
                <w:b/>
                <w:color w:val="FFFFFF"/>
              </w:rPr>
              <w:t>Distributor margin %</w:t>
            </w:r>
          </w:p>
        </w:tc>
        <w:tc>
          <w:tcPr>
            <w:tcW w:type="dxa" w:w="1872"/>
            <w:shd w:val="clear" w:fill="166534"/>
            <w:tcMar>
              <w:top w:w="100" w:type="dxa"/>
              <w:bottom w:w="100" w:type="dxa"/>
              <w:left w:w="120" w:type="dxa"/>
              <w:right w:w="120" w:type="dxa"/>
            </w:tcMar>
          </w:tcPr>
          <w:p>
            <w:pPr>
              <w:bidi/>
              <w:jc w:val="start"/>
            </w:pPr>
            <w:r>
              <w:rPr>
                <w:b/>
                <w:color w:val="FFFFFF"/>
              </w:rPr>
              <w:t>Retail margin %</w:t>
            </w:r>
          </w:p>
        </w:tc>
        <w:tc>
          <w:tcPr>
            <w:tcW w:type="dxa" w:w="1872"/>
            <w:shd w:val="clear" w:fill="166534"/>
            <w:tcMar>
              <w:top w:w="100" w:type="dxa"/>
              <w:bottom w:w="100" w:type="dxa"/>
              <w:left w:w="120" w:type="dxa"/>
              <w:right w:w="120" w:type="dxa"/>
            </w:tcMar>
          </w:tcPr>
          <w:p>
            <w:pPr>
              <w:bidi/>
              <w:jc w:val="start"/>
            </w:pPr>
            <w:r>
              <w:rPr>
                <w:b/>
                <w:color w:val="FFFFFF"/>
              </w:rPr>
              <w:t>Max ex-factory price (€/kg)</w:t>
            </w:r>
          </w:p>
        </w:tc>
      </w:tr>
      <w:tr>
        <w:tc>
          <w:tcPr>
            <w:tcW w:type="dxa" w:w="1872"/>
            <w:tcMar>
              <w:top w:w="100" w:type="dxa"/>
              <w:bottom w:w="100" w:type="dxa"/>
              <w:left w:w="120" w:type="dxa"/>
              <w:right w:w="120" w:type="dxa"/>
            </w:tcMar>
          </w:tcPr>
          <w:p>
            <w:pPr>
              <w:bidi/>
              <w:jc w:val="start"/>
            </w:pPr>
            <w:r>
              <w:t>low</w:t>
            </w:r>
          </w:p>
        </w:tc>
        <w:tc>
          <w:tcPr>
            <w:tcW w:type="dxa" w:w="1872"/>
            <w:tcMar>
              <w:top w:w="100" w:type="dxa"/>
              <w:bottom w:w="100" w:type="dxa"/>
              <w:left w:w="120" w:type="dxa"/>
              <w:right w:w="120" w:type="dxa"/>
            </w:tcMar>
          </w:tcPr>
          <w:p>
            <w:pPr>
              <w:bidi/>
              <w:jc w:val="start"/>
            </w:pPr>
            <w:r>
              <w:t>5.0</w:t>
            </w:r>
          </w:p>
        </w:tc>
        <w:tc>
          <w:tcPr>
            <w:tcW w:type="dxa" w:w="1872"/>
            <w:tcMar>
              <w:top w:w="100" w:type="dxa"/>
              <w:bottom w:w="100" w:type="dxa"/>
              <w:left w:w="120" w:type="dxa"/>
              <w:right w:w="120" w:type="dxa"/>
            </w:tcMar>
          </w:tcPr>
          <w:p>
            <w:pPr>
              <w:bidi/>
              <w:jc w:val="start"/>
            </w:pPr>
            <w:r>
              <w:t>10.0</w:t>
            </w:r>
          </w:p>
        </w:tc>
        <w:tc>
          <w:tcPr>
            <w:tcW w:type="dxa" w:w="1872"/>
            <w:tcMar>
              <w:top w:w="100" w:type="dxa"/>
              <w:bottom w:w="100" w:type="dxa"/>
              <w:left w:w="120" w:type="dxa"/>
              <w:right w:w="120" w:type="dxa"/>
            </w:tcMar>
          </w:tcPr>
          <w:p>
            <w:pPr>
              <w:bidi/>
              <w:jc w:val="start"/>
            </w:pPr>
            <w:r>
              <w:t>15.0</w:t>
            </w:r>
          </w:p>
        </w:tc>
        <w:tc>
          <w:tcPr>
            <w:tcW w:type="dxa" w:w="1872"/>
            <w:tcMar>
              <w:top w:w="100" w:type="dxa"/>
              <w:bottom w:w="100" w:type="dxa"/>
              <w:left w:w="120" w:type="dxa"/>
              <w:right w:w="120" w:type="dxa"/>
            </w:tcMar>
          </w:tcPr>
          <w:p>
            <w:pPr>
              <w:bidi/>
              <w:jc w:val="start"/>
            </w:pPr>
            <w:r>
              <w:t>19.3398</w:t>
            </w:r>
          </w:p>
        </w:tc>
      </w:tr>
      <w:tr>
        <w:tc>
          <w:tcPr>
            <w:tcW w:type="dxa" w:w="1872"/>
            <w:tcMar>
              <w:top w:w="100" w:type="dxa"/>
              <w:bottom w:w="100" w:type="dxa"/>
              <w:left w:w="120" w:type="dxa"/>
              <w:right w:w="120" w:type="dxa"/>
            </w:tcMar>
            <w:shd w:val="clear" w:fill="F2F7F3"/>
          </w:tcPr>
          <w:p>
            <w:pPr>
              <w:bidi/>
              <w:jc w:val="start"/>
            </w:pPr>
            <w:r>
              <w:t>mid</w:t>
            </w:r>
          </w:p>
        </w:tc>
        <w:tc>
          <w:tcPr>
            <w:tcW w:type="dxa" w:w="1872"/>
            <w:tcMar>
              <w:top w:w="100" w:type="dxa"/>
              <w:bottom w:w="100" w:type="dxa"/>
              <w:left w:w="120" w:type="dxa"/>
              <w:right w:w="120" w:type="dxa"/>
            </w:tcMar>
            <w:shd w:val="clear" w:fill="F2F7F3"/>
          </w:tcPr>
          <w:p>
            <w:pPr>
              <w:bidi/>
              <w:jc w:val="start"/>
            </w:pPr>
            <w:r>
              <w:t>12.0</w:t>
            </w:r>
          </w:p>
        </w:tc>
        <w:tc>
          <w:tcPr>
            <w:tcW w:type="dxa" w:w="1872"/>
            <w:tcMar>
              <w:top w:w="100" w:type="dxa"/>
              <w:bottom w:w="100" w:type="dxa"/>
              <w:left w:w="120" w:type="dxa"/>
              <w:right w:w="120" w:type="dxa"/>
            </w:tcMar>
            <w:shd w:val="clear" w:fill="F2F7F3"/>
          </w:tcPr>
          <w:p>
            <w:pPr>
              <w:bidi/>
              <w:jc w:val="start"/>
            </w:pPr>
            <w:r>
              <w:t>20.0</w:t>
            </w:r>
          </w:p>
        </w:tc>
        <w:tc>
          <w:tcPr>
            <w:tcW w:type="dxa" w:w="1872"/>
            <w:tcMar>
              <w:top w:w="100" w:type="dxa"/>
              <w:bottom w:w="100" w:type="dxa"/>
              <w:left w:w="120" w:type="dxa"/>
              <w:right w:w="120" w:type="dxa"/>
            </w:tcMar>
            <w:shd w:val="clear" w:fill="F2F7F3"/>
          </w:tcPr>
          <w:p>
            <w:pPr>
              <w:bidi/>
              <w:jc w:val="start"/>
            </w:pPr>
            <w:r>
              <w:t>25.0</w:t>
            </w:r>
          </w:p>
        </w:tc>
        <w:tc>
          <w:tcPr>
            <w:tcW w:type="dxa" w:w="1872"/>
            <w:tcMar>
              <w:top w:w="100" w:type="dxa"/>
              <w:bottom w:w="100" w:type="dxa"/>
              <w:left w:w="120" w:type="dxa"/>
              <w:right w:w="120" w:type="dxa"/>
            </w:tcMar>
            <w:shd w:val="clear" w:fill="F2F7F3"/>
          </w:tcPr>
          <w:p>
            <w:pPr>
              <w:bidi/>
              <w:jc w:val="start"/>
            </w:pPr>
            <w:r>
              <w:t>15.2905</w:t>
            </w:r>
          </w:p>
        </w:tc>
      </w:tr>
      <w:tr>
        <w:tc>
          <w:tcPr>
            <w:tcW w:type="dxa" w:w="1872"/>
            <w:tcMar>
              <w:top w:w="100" w:type="dxa"/>
              <w:bottom w:w="100" w:type="dxa"/>
              <w:left w:w="120" w:type="dxa"/>
              <w:right w:w="120" w:type="dxa"/>
            </w:tcMar>
          </w:tcPr>
          <w:p>
            <w:pPr>
              <w:bidi/>
              <w:jc w:val="start"/>
            </w:pPr>
            <w:r>
              <w:t>high</w:t>
            </w:r>
          </w:p>
        </w:tc>
        <w:tc>
          <w:tcPr>
            <w:tcW w:type="dxa" w:w="1872"/>
            <w:tcMar>
              <w:top w:w="100" w:type="dxa"/>
              <w:bottom w:w="100" w:type="dxa"/>
              <w:left w:w="120" w:type="dxa"/>
              <w:right w:w="120" w:type="dxa"/>
            </w:tcMar>
          </w:tcPr>
          <w:p>
            <w:pPr>
              <w:bidi/>
              <w:jc w:val="start"/>
            </w:pPr>
            <w:r>
              <w:t>25.0</w:t>
            </w:r>
          </w:p>
        </w:tc>
        <w:tc>
          <w:tcPr>
            <w:tcW w:type="dxa" w:w="1872"/>
            <w:tcMar>
              <w:top w:w="100" w:type="dxa"/>
              <w:bottom w:w="100" w:type="dxa"/>
              <w:left w:w="120" w:type="dxa"/>
              <w:right w:w="120" w:type="dxa"/>
            </w:tcMar>
          </w:tcPr>
          <w:p>
            <w:pPr>
              <w:bidi/>
              <w:jc w:val="start"/>
            </w:pPr>
            <w:r>
              <w:t>30.0</w:t>
            </w:r>
          </w:p>
        </w:tc>
        <w:tc>
          <w:tcPr>
            <w:tcW w:type="dxa" w:w="1872"/>
            <w:tcMar>
              <w:top w:w="100" w:type="dxa"/>
              <w:bottom w:w="100" w:type="dxa"/>
              <w:left w:w="120" w:type="dxa"/>
              <w:right w:w="120" w:type="dxa"/>
            </w:tcMar>
          </w:tcPr>
          <w:p>
            <w:pPr>
              <w:bidi/>
              <w:jc w:val="start"/>
            </w:pPr>
            <w:r>
              <w:t>40.0</w:t>
            </w:r>
          </w:p>
        </w:tc>
        <w:tc>
          <w:tcPr>
            <w:tcW w:type="dxa" w:w="1872"/>
            <w:tcMar>
              <w:top w:w="100" w:type="dxa"/>
              <w:bottom w:w="100" w:type="dxa"/>
              <w:left w:w="120" w:type="dxa"/>
              <w:right w:w="120" w:type="dxa"/>
            </w:tcMar>
          </w:tcPr>
          <w:p>
            <w:pPr>
              <w:bidi/>
              <w:jc w:val="start"/>
            </w:pPr>
            <w:r>
              <w:t>11.2915</w:t>
            </w:r>
          </w:p>
        </w:tc>
      </w:tr>
    </w:tbl>
    <w:p>
      <w:r>
        <w:t>The values above are declared, adjustable assumptions — enter your actual figures (your freight and distributor margins) to refine the ceiling.</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come from official direct sources;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c>
          <w:tcPr>
            <w:tcW w:type="dxa" w:w="4680"/>
            <w:tcMar>
              <w:top w:w="100" w:type="dxa"/>
              <w:bottom w:w="100" w:type="dxa"/>
              <w:left w:w="120" w:type="dxa"/>
              <w:right w:w="120" w:type="dxa"/>
            </w:tcMar>
          </w:tcPr>
          <w:p>
            <w:pPr>
              <w:bidi/>
              <w:jc w:val="start"/>
            </w:pPr>
            <w:r>
              <w:t>From an official direct source</w:t>
            </w:r>
          </w:p>
        </w:tc>
        <w:tc>
          <w:tcPr>
            <w:tcW w:type="dxa" w:w="4680"/>
            <w:tcMar>
              <w:top w:w="100" w:type="dxa"/>
              <w:bottom w:w="100" w:type="dxa"/>
              <w:left w:w="120" w:type="dxa"/>
              <w:right w:w="120" w:type="dxa"/>
            </w:tcMar>
          </w:tcPr>
          <w:p>
            <w:pPr>
              <w:bidi/>
              <w:jc w:val="start"/>
            </w:pPr>
            <w:r>
              <w:t>9</w:t>
            </w:r>
          </w:p>
        </w:tc>
      </w:tr>
      <w:t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pPr>
        <w:pStyle w:val="Heading2"/>
      </w:pPr>
      <w:r>
        <w:t>Your decisive questions before deciding</w:t>
      </w:r>
    </w:p>
    <w:p>
      <w:pPr>
        <w:pStyle w:val="ListBullet"/>
      </w:pPr>
      <w:r>
        <w:t>How big is this market and is it growing? 38,000,000 USD (UN Comtrade)</w:t>
      </w:r>
    </w:p>
    <w:p>
      <w:pPr>
        <w:pStyle w:val="ListBullet"/>
      </w:pPr>
      <w:r>
        <w:t>Who actually competes — producers or re-exporters? not yet known — How to find out: Request certificates of origin for three competing shipments from the importer, or from a paid customs-data service</w:t>
      </w:r>
    </w:p>
    <w:p>
      <w:pPr>
        <w:pStyle w:val="ListBullet"/>
      </w:pPr>
      <w:r>
        <w:t>Do I have a real cost advantage? not yet known — How to find out: Compare your actual raw-input price against a quote from a supplier in the competitor's country</w:t>
      </w:r>
    </w:p>
    <w:p>
      <w:pPr>
        <w:pStyle w:val="ListBullet"/>
      </w:pPr>
      <w:r>
        <w:t>What is my maximum competitive ex-works price? between 11.29 and 19.34 €/كجم, assuming the range comes from the three declared freight and margin scenarios (low/mid/high); the figure shown is the mid scenario</w:t>
      </w:r>
    </w:p>
    <w:p>
      <w:pPr>
        <w:pStyle w:val="ListBullet"/>
      </w:pPr>
      <w:r>
        <w:t>How much does my price multiply from border to shelf? not yet known — How to find out: Observe the shelf price of three competing products and divide it by the declared import price</w:t>
      </w:r>
    </w:p>
    <w:p>
      <w:pPr>
        <w:pStyle w:val="ListBullet"/>
      </w:pPr>
      <w:r>
        <w:t>What differentiates me from what is on the shelf today? not yet known — How to find out: Photograph the category shelf in three stores and read the competitors' labels</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and reassess the decision — closing this condition requires Document the required inputs and recalculate before committing to sales.</w:t>
      </w:r>
    </w:p>
    <w:p>
      <w:pPr>
        <w:pStyle w:val="ListBullet"/>
      </w:pPr>
      <w:r>
        <w:t>Not yet met: Complete the evidence for income and reassess the decision — closing this condition requires Document the required inputs and recalculate before committing to sales.</w:t>
      </w:r>
    </w:p>
    <w:p>
      <w:pPr>
        <w:pStyle w:val="ListBullet"/>
      </w:pPr>
      <w:r>
        <w:t>Not yet met: Complete the evidence for saudi momentum and reassess the decision — closing this condition requires Document the required inputs and recalculate before committing to sales.</w:t>
      </w:r>
    </w:p>
    <w:p>
      <w:pPr>
        <w:pStyle w:val="ListBullet"/>
      </w:pPr>
      <w:r>
        <w:t>Not yet met: Complete the evidence for top share and reassess the decision — closing this condition requires Document the required inputs and recalculate before committing to sales.</w:t>
      </w:r>
    </w:p>
    <w:p>
      <w:pPr>
        <w:pStyle w:val="ListBullet"/>
      </w:pPr>
      <w:r>
        <w:t>Not yet met: Complete the evidence for named density and reassess the decision — closing this condition requires Document the required inputs and recalculate before committing to sales.</w:t>
      </w:r>
    </w:p>
    <w:p>
      <w:pPr>
        <w:pStyle w:val="ListBullet"/>
      </w:pPr>
      <w:r>
        <w:t>Not yet met: Complete the evidence for tariff and reassess the decision — closing this condition requires Document the required inputs and recalculate before committing to sales.</w:t>
      </w:r>
    </w:p>
    <w:p>
      <w:pPr>
        <w:pStyle w:val="ListBullet"/>
      </w:pPr>
      <w:r>
        <w:t>Not yet met: Complete the evidence for margin and reassess the decision — closing this condition requires Document the required inputs and recalculate before committing to sales.</w:t>
      </w:r>
    </w:p>
    <w:p>
      <w:pPr>
        <w:pStyle w:val="ListBullet"/>
      </w:pPr>
      <w:r>
        <w:t>Not yet met: Complete the evidence for price position and reassess the decision — closing this condition requires Document the required inputs and recalculate before committing to sales.</w:t>
      </w:r>
    </w:p>
    <w:p>
      <w:pPr>
        <w:pStyle w:val="ListBullet"/>
      </w:pPr>
      <w:r>
        <w:t>Not yet met: Complete the evidence for political stability and reassess the decision — closing this condition requires Document the required inputs and recalculate before committing to sales.</w:t>
      </w:r>
    </w:p>
    <w:p>
      <w:pPr>
        <w:pStyle w:val="ListBullet"/>
      </w:pPr>
      <w:r>
        <w:t>Not yet met: Complete the evidence for regulatory quality and reassess the decision — closing this condition requires Document the required inputs and recalculate before committing to sales.</w:t>
      </w:r>
    </w:p>
    <w:p>
      <w:pPr>
        <w:pStyle w:val="ListBullet"/>
      </w:pPr>
      <w:r>
        <w:t>Not yet met: Complete the evidence for logistics and reassess the decision — closing this condition requires Document the required inputs and recalculate before committing to sales.</w:t>
      </w:r>
    </w:p>
    <w:p>
      <w:pPr>
        <w:pStyle w:val="ListBullet"/>
      </w:pPr>
      <w:r>
        <w:t>Not yet met: Complete the evidence for fx stability and reassess the decision — closing this condition requires Document the required inputs and recalculate before committing to sales.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What we don't know yet</w:t>
            </w:r>
          </w:p>
        </w:tc>
        <w:tc>
          <w:tcPr>
            <w:tcW w:type="dxa" w:w="4680"/>
            <w:shd w:val="clear" w:fill="166534"/>
            <w:tcMar>
              <w:top w:w="100" w:type="dxa"/>
              <w:bottom w:w="100" w:type="dxa"/>
              <w:left w:w="120" w:type="dxa"/>
              <w:right w:w="120" w:type="dxa"/>
            </w:tcMar>
          </w:tcPr>
          <w:p>
            <w:pPr>
              <w:bidi/>
              <w:jc w:val="start"/>
            </w:pPr>
            <w:r>
              <w:rPr>
                <w:b/>
                <w:color w:val="FFFFFF"/>
              </w:rPr>
              <w:t>How to find out</w:t>
            </w:r>
          </w:p>
        </w:tc>
      </w:tr>
      <w:tr>
        <w:tc>
          <w:tcPr>
            <w:tcW w:type="dxa" w:w="4680"/>
            <w:tcMar>
              <w:top w:w="100" w:type="dxa"/>
              <w:bottom w:w="100" w:type="dxa"/>
              <w:left w:w="120" w:type="dxa"/>
              <w:right w:w="120" w:type="dxa"/>
            </w:tcMar>
          </w:tcPr>
          <w:p>
            <w:pPr>
              <w:bidi/>
              <w:jc w:val="start"/>
            </w:pPr>
            <w:r>
              <w:t>entry requirements — supported only by unofficial sources</w:t>
            </w:r>
          </w:p>
        </w:tc>
        <w:tc>
          <w:tcPr>
            <w:tcW w:type="dxa" w:w="4680"/>
            <w:tcMar>
              <w:top w:w="100" w:type="dxa"/>
              <w:bottom w:w="100" w:type="dxa"/>
              <w:left w:w="120" w:type="dxa"/>
              <w:right w:w="120" w:type="dxa"/>
            </w:tcMar>
          </w:tcPr>
          <w:p>
            <w:pPr>
              <w:bidi/>
              <w:jc w:val="start"/>
            </w:pPr>
            <w:r>
              <w:t>—</w:t>
            </w:r>
          </w:p>
        </w:tc>
      </w:tr>
    </w:tbl>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Address</w:t>
            </w:r>
          </w:p>
        </w:tc>
        <w:tc>
          <w:tcPr>
            <w:tcW w:type="dxa" w:w="1560"/>
            <w:shd w:val="clear" w:fill="166534"/>
            <w:tcMar>
              <w:top w:w="100" w:type="dxa"/>
              <w:bottom w:w="100" w:type="dxa"/>
              <w:left w:w="120" w:type="dxa"/>
              <w:right w:w="120" w:type="dxa"/>
            </w:tcMar>
          </w:tcPr>
          <w:p>
            <w:pPr>
              <w:bidi/>
              <w:jc w:val="start"/>
            </w:pPr>
            <w:r>
              <w:rPr>
                <w:b/>
                <w:color w:val="FFFFFF"/>
              </w:rPr>
              <w:t>Phone</w:t>
            </w:r>
          </w:p>
        </w:tc>
        <w:tc>
          <w:tcPr>
            <w:tcW w:type="dxa" w:w="1560"/>
            <w:shd w:val="clear" w:fill="166534"/>
            <w:tcMar>
              <w:top w:w="100" w:type="dxa"/>
              <w:bottom w:w="100" w:type="dxa"/>
              <w:left w:w="120" w:type="dxa"/>
              <w:right w:w="120" w:type="dxa"/>
            </w:tcMar>
          </w:tcPr>
          <w:p>
            <w:pPr>
              <w:bidi/>
              <w:jc w:val="start"/>
            </w:pPr>
            <w:r>
              <w:rPr>
                <w:b/>
                <w:color w:val="FFFFFF"/>
              </w:rPr>
              <w:t>Email</w:t>
            </w:r>
          </w:p>
        </w:tc>
        <w:tc>
          <w:tcPr>
            <w:tcW w:type="dxa" w:w="1560"/>
            <w:shd w:val="clear" w:fill="166534"/>
            <w:tcMar>
              <w:top w:w="100" w:type="dxa"/>
              <w:bottom w:w="100" w:type="dxa"/>
              <w:left w:w="120" w:type="dxa"/>
              <w:right w:w="120" w:type="dxa"/>
            </w:tcMar>
          </w:tcPr>
          <w:p>
            <w:pPr>
              <w:bidi/>
              <w:jc w:val="start"/>
            </w:pPr>
            <w:r>
              <w:rPr>
                <w:b/>
                <w:color w:val="FFFFFF"/>
              </w:rPr>
              <w:t>Website</w:t>
            </w:r>
          </w:p>
        </w:tc>
        <w:tc>
          <w:tcPr>
            <w:tcW w:type="dxa" w:w="1560"/>
            <w:shd w:val="clear" w:fill="166534"/>
            <w:tcMar>
              <w:top w:w="100" w:type="dxa"/>
              <w:bottom w:w="100" w:type="dxa"/>
              <w:left w:w="120" w:type="dxa"/>
              <w:right w:w="120" w:type="dxa"/>
            </w:tcMar>
          </w:tcPr>
          <w:p>
            <w:pPr>
              <w:bidi/>
              <w:jc w:val="start"/>
            </w:pPr>
            <w:r>
              <w:rPr>
                <w:b/>
                <w:color w:val="FFFFFF"/>
              </w:rPr>
              <w:t>Rating</w:t>
            </w:r>
          </w:p>
        </w:tc>
      </w:tr>
      <w:tr>
        <w:tc>
          <w:tcPr>
            <w:tcW w:type="dxa" w:w="156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Barcelona (نموذج)</w:t>
            </w:r>
          </w:p>
        </w:tc>
        <w:tc>
          <w:tcPr>
            <w:tcW w:type="dxa" w:w="1560"/>
            <w:tcMar>
              <w:top w:w="100" w:type="dxa"/>
              <w:bottom w:w="100" w:type="dxa"/>
              <w:left w:w="120" w:type="dxa"/>
              <w:right w:w="120" w:type="dxa"/>
            </w:tcMar>
          </w:tcPr>
          <w:p>
            <w:pPr>
              <w:bidi/>
              <w:jc w:val="start"/>
            </w:pPr>
            <w:r>
              <w:t>+34 93 000 0000</w:t>
            </w:r>
          </w:p>
        </w:tc>
        <w:tc>
          <w:tcPr>
            <w:tcW w:type="dxa" w:w="1560"/>
            <w:tcMar>
              <w:top w:w="100" w:type="dxa"/>
              <w:bottom w:w="100" w:type="dxa"/>
              <w:left w:w="120" w:type="dxa"/>
              <w:right w:w="120" w:type="dxa"/>
            </w:tcMar>
          </w:tcPr>
          <w:p>
            <w:pPr>
              <w:bidi/>
              <w:jc w:val="start"/>
            </w:pPr>
            <w:r>
              <w:t>info@ejmar.example</w:t>
            </w:r>
          </w:p>
        </w:tc>
        <w:tc>
          <w:tcPr>
            <w:tcW w:type="dxa" w:w="1560"/>
            <w:tcMar>
              <w:top w:w="100" w:type="dxa"/>
              <w:bottom w:w="100" w:type="dxa"/>
              <w:left w:w="120" w:type="dxa"/>
              <w:right w:w="120" w:type="dxa"/>
            </w:tcMar>
          </w:tcPr>
          <w:p>
            <w:pPr>
              <w:bidi/>
              <w:jc w:val="start"/>
            </w:pPr>
            <w:r>
              <w:t>https://maps.google/ejmar</w:t>
            </w:r>
          </w:p>
        </w:tc>
        <w:tc>
          <w:tcPr>
            <w:tcW w:type="dxa" w:w="1560"/>
            <w:tcMar>
              <w:top w:w="100" w:type="dxa"/>
              <w:bottom w:w="100" w:type="dxa"/>
              <w:left w:w="120" w:type="dxa"/>
              <w:right w:w="120" w:type="dxa"/>
            </w:tcMar>
          </w:tcPr>
          <w:p>
            <w:pPr>
              <w:bidi/>
              <w:jc w:val="start"/>
            </w:pPr>
            <w:r>
              <w:t>4.4 (76)</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2026-09-23</w:t>
            </w:r>
          </w:p>
        </w:tc>
      </w:tr>
      <w:t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generated_at=2026-09-23; schema_version=silk.report/v1; engine_version=silk.i18n/1.0</dc:description>
  <cp:lastModifiedBy/>
  <cp:revision>1</cp:revision>
  <dcterms:created xsi:type="dcterms:W3CDTF">2013-12-23T23:15:00Z</dcterms:created>
  <dcterms:modified xsi:type="dcterms:W3CDTF">2013-12-23T23:15:00Z</dcterms:modified>
  <cp:category/>
  <dc:language>en-US</dc:language>
</cp:coreProperties>
</file>