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47.6%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ما يسند هذه القراءة: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ويبقى قبل الحسم النهائي: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47.6%.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 (‏3‏):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أقوى الجوانب «جاذبية السوق» (‏89%‏) يدعم مضيّاً كاملاً، ومن جهةٍ أضعفها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2026-09-20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2026-09-20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2026-09-20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للشرائح — التقسيم السلوكي/الديموغرافي يتطلب بحثاً أولياً (مقابلات أو استبيانات) لم يُجرَ بعد؛ لا يُشتق من بيانات ثانوية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2026-09-20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2026-09-20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2026-09-20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2026-09-20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2026-09-20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2026-09-20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60 مليون دولار (‏UN Comtrade 2023‏)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50%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لم نعرفه بعد — كيف تعرفه: احسبها من عرض الشحن الفعلي وسعة الحاوية التي يقبلها المستورد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الصين: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الإمارات: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«المنافسون بالاسم»: لم تُرصد أي حقيقة سوقية، والقسم يحتاج حقيقتين، ولم تُحاوَل أي مصادر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«الطلب والقدرة»: لم تُرصد أي حقيقة سوقية، والقسم يحتاج حقيقة واحدة، بعد محاولة: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«المخاطر»: لم تُرصد أي حقيقة سوقية، والقسم يحتاج حقيقتين، بعد محاولة: World Bank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