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bidi/>
        <w:jc w:val="start"/>
      </w:pPr>
      <w:r>
        <w:rPr>
          <w:rFonts w:ascii="IBM Plex Sans Arabic" w:hAnsi="IBM Plex Sans Arabic" w:cs="IBM Plex Sans Arabic"/>
          <w:b/>
          <w:color w:val="1B3B6F"/>
          <w:sz w:val="56"/>
          <w:rtl/>
          <w:szCs w:val="56"/>
        </w:rPr>
        <w:t>سلك</w:t>
      </w:r>
    </w:p>
    <w:p>
      <w:pPr>
        <w:pStyle w:val="Title"/>
        <w:bidi/>
        <w:jc w:val="start"/>
      </w:pPr>
      <w:r>
        <w:rPr>
          <w:rFonts w:ascii="IBM Plex Sans Arabic" w:hAnsi="IBM Plex Sans Arabic" w:cs="IBM Plex Sans Arabic"/>
          <w:rtl/>
        </w:rPr>
        <w:t>سلك — تقرير بحث عميق: زبدة الفول السوداني</w:t>
      </w:r>
    </w:p>
    <w:p>
      <w:pPr>
        <w:pStyle w:val="IntenseQuote"/>
        <w:bidi/>
        <w:jc w:val="start"/>
      </w:pPr>
      <w:r>
        <w:rPr>
          <w:rFonts w:ascii="IBM Plex Sans Arabic" w:hAnsi="IBM Plex Sans Arabic" w:cs="IBM Plex Sans Arabic"/>
          <w:rtl/>
        </w:rPr>
        <w:t>أُعد بواسطة منصة سلك لذكاء الأسواق</w:t>
      </w:r>
    </w:p>
    <w:p>
      <w:pPr>
        <w:bidi/>
        <w:jc w:val="start"/>
      </w:pPr>
      <w:r>
        <w:rPr>
          <w:rFonts w:ascii="IBM Plex Sans Arabic" w:hAnsi="IBM Plex Sans Arabic" w:cs="IBM Plex Sans Arabic"/>
          <w:rtl/>
        </w:rPr>
        <w:t>⚠ TEST RUN — تشغيل برهاني ببدائل موسومة، ليس تقريراً إنتاجياً</w:t>
      </w:r>
    </w:p>
    <w:p>
      <w:pPr>
        <w:bidi/>
        <w:jc w:val="start"/>
      </w:pPr>
      <w:r>
        <w:rPr>
          <w:rFonts w:ascii="IBM Plex Sans Arabic" w:hAnsi="IBM Plex Sans Arabic" w:cs="IBM Plex Sans Arabic"/>
          <w:b/>
          <w:color w:val="000000"/>
          <w:sz w:val="32"/>
          <w:highlight w:val="yellow"/>
          <w:rtl/>
          <w:szCs w:val="32"/>
        </w:rPr>
        <w:t xml:space="preserve">  مراقبة السوق  </w:t>
      </w:r>
    </w:p>
    <w:tbl>
      <w:tblPr>
        <w:tblStyle w:val="TableGrid"/>
        <w:tblW w:type="auto" w:w="0"/>
        <w:tblLayout w:type="fixed"/>
        <w:tblLook w:firstColumn="1" w:firstRow="1" w:lastColumn="0" w:lastRow="0" w:noHBand="0" w:noVBand="1" w:val="04A0"/>
        <w:tblBorders>
          <w:top w:val="single" w:sz="4" w:space="0" w:color="BBBBBB"/>
          <w:left w:val="single" w:sz="4" w:space="0" w:color="BBBBBB"/>
          <w:bottom w:val="single" w:sz="4" w:space="0" w:color="BBBBBB"/>
          <w:right w:val="single" w:sz="4" w:space="0" w:color="BBBBBB"/>
          <w:insideH w:val="single" w:sz="4" w:space="0" w:color="BBBBBB"/>
          <w:insideV w:val="single" w:sz="4" w:space="0" w:color="BBBBBB"/>
        </w:tblBorders>
        <w:bidiVisual/>
      </w:tblPr>
      <w:tblGrid>
        <w:gridCol w:w="4320"/>
        <w:gridCol w:w="4320"/>
      </w:tblGrid>
      <w:tr>
        <w:trPr>
          <w:cantSplit/>
          <w:tblHeader/>
        </w:trPr>
        <w:tc>
          <w:tcPr>
            <w:tcW w:type="dxa" w:w="4680"/>
            <w:shd w:val="clear" w:fill="166534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pPr>
              <w:bidi/>
              <w:jc w:val="start"/>
            </w:pPr>
            <w:r>
              <w:rPr>
                <w:rFonts w:ascii="IBM Plex Sans Arabic" w:hAnsi="IBM Plex Sans Arabic" w:cs="IBM Plex Sans Arabic"/>
                <w:b/>
                <w:color w:val="FFFFFF"/>
                <w:rtl/>
              </w:rPr>
              <w:t>البند</w:t>
            </w:r>
          </w:p>
        </w:tc>
        <w:tc>
          <w:tcPr>
            <w:tcW w:type="dxa" w:w="4680"/>
            <w:shd w:val="clear" w:fill="166534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pPr>
              <w:bidi/>
              <w:jc w:val="start"/>
            </w:pPr>
            <w:r>
              <w:rPr>
                <w:rFonts w:ascii="IBM Plex Sans Arabic" w:hAnsi="IBM Plex Sans Arabic" w:cs="IBM Plex Sans Arabic"/>
                <w:b/>
                <w:color w:val="FFFFFF"/>
                <w:rtl/>
              </w:rPr>
              <w:t>القيمة</w:t>
            </w:r>
          </w:p>
        </w:tc>
      </w:tr>
      <w:tr>
        <w:trPr>
          <w:cantSplit/>
        </w:trPr>
        <w:tc>
          <w:tcPr>
            <w:tcW w:type="dxa" w:w="4680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pPr>
              <w:bidi/>
              <w:jc w:val="start"/>
            </w:pPr>
            <w:r>
              <w:rPr>
                <w:rFonts w:ascii="IBM Plex Sans Arabic" w:hAnsi="IBM Plex Sans Arabic" w:cs="IBM Plex Sans Arabic"/>
                <w:rtl/>
              </w:rPr>
              <w:t>المنتج</w:t>
            </w:r>
          </w:p>
        </w:tc>
        <w:tc>
          <w:tcPr>
            <w:tcW w:type="dxa" w:w="4680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pPr>
              <w:bidi/>
              <w:jc w:val="start"/>
            </w:pPr>
            <w:r>
              <w:rPr>
                <w:rFonts w:ascii="IBM Plex Sans Arabic" w:hAnsi="IBM Plex Sans Arabic" w:cs="IBM Plex Sans Arabic"/>
                <w:rtl/>
              </w:rPr>
              <w:t>زبدة الفول السوداني</w:t>
            </w:r>
          </w:p>
        </w:tc>
      </w:tr>
      <w:tr>
        <w:trPr>
          <w:cantSplit/>
        </w:trPr>
        <w:tc>
          <w:tcPr>
            <w:tcW w:type="dxa" w:w="4680"/>
            <w:tcMar>
              <w:top w:w="100" w:type="dxa"/>
              <w:bottom w:w="100" w:type="dxa"/>
              <w:left w:w="120" w:type="dxa"/>
              <w:right w:w="120" w:type="dxa"/>
            </w:tcMar>
            <w:shd w:val="clear" w:fill="F2F7F3"/>
          </w:tcPr>
          <w:p>
            <w:pPr>
              <w:bidi/>
              <w:jc w:val="start"/>
            </w:pPr>
            <w:r>
              <w:rPr>
                <w:rFonts w:ascii="IBM Plex Sans Arabic" w:hAnsi="IBM Plex Sans Arabic" w:cs="IBM Plex Sans Arabic"/>
                <w:rtl/>
              </w:rPr>
              <w:t>رمز HS</w:t>
            </w:r>
          </w:p>
        </w:tc>
        <w:tc>
          <w:tcPr>
            <w:tcW w:type="dxa" w:w="4680"/>
            <w:tcMar>
              <w:top w:w="100" w:type="dxa"/>
              <w:bottom w:w="100" w:type="dxa"/>
              <w:left w:w="120" w:type="dxa"/>
              <w:right w:w="120" w:type="dxa"/>
            </w:tcMar>
            <w:shd w:val="clear" w:fill="F2F7F3"/>
          </w:tcPr>
          <w:p>
            <w:pPr>
              <w:bidi/>
              <w:jc w:val="start"/>
            </w:pPr>
            <w:r>
              <w:rPr>
                <w:rFonts w:ascii="IBM Plex Sans Arabic" w:hAnsi="IBM Plex Sans Arabic" w:cs="IBM Plex Sans Arabic"/>
                <w:rtl/>
              </w:rPr>
              <w:t>040510</w:t>
            </w:r>
          </w:p>
        </w:tc>
      </w:tr>
      <w:tr>
        <w:trPr>
          <w:cantSplit/>
        </w:trPr>
        <w:tc>
          <w:tcPr>
            <w:tcW w:type="dxa" w:w="4680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pPr>
              <w:bidi/>
              <w:jc w:val="start"/>
            </w:pPr>
            <w:r>
              <w:rPr>
                <w:rFonts w:ascii="IBM Plex Sans Arabic" w:hAnsi="IBM Plex Sans Arabic" w:cs="IBM Plex Sans Arabic"/>
                <w:rtl/>
              </w:rPr>
              <w:t>المنشأ</w:t>
            </w:r>
          </w:p>
        </w:tc>
        <w:tc>
          <w:tcPr>
            <w:tcW w:type="dxa" w:w="4680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pPr>
              <w:bidi/>
              <w:jc w:val="start"/>
            </w:pPr>
            <w:r>
              <w:rPr>
                <w:rFonts w:ascii="IBM Plex Sans Arabic" w:hAnsi="IBM Plex Sans Arabic" w:cs="IBM Plex Sans Arabic"/>
                <w:rtl/>
              </w:rPr>
              <w:t>المملكة العربية السعودية</w:t>
            </w:r>
          </w:p>
        </w:tc>
      </w:tr>
      <w:tr>
        <w:trPr>
          <w:cantSplit/>
        </w:trPr>
        <w:tc>
          <w:tcPr>
            <w:tcW w:type="dxa" w:w="4680"/>
            <w:tcMar>
              <w:top w:w="100" w:type="dxa"/>
              <w:bottom w:w="100" w:type="dxa"/>
              <w:left w:w="120" w:type="dxa"/>
              <w:right w:w="120" w:type="dxa"/>
            </w:tcMar>
            <w:shd w:val="clear" w:fill="F2F7F3"/>
          </w:tcPr>
          <w:p>
            <w:pPr>
              <w:bidi/>
              <w:jc w:val="start"/>
            </w:pPr>
            <w:r>
              <w:rPr>
                <w:rFonts w:ascii="IBM Plex Sans Arabic" w:hAnsi="IBM Plex Sans Arabic" w:cs="IBM Plex Sans Arabic"/>
                <w:rtl/>
              </w:rPr>
              <w:t>السوق المستهدف</w:t>
            </w:r>
          </w:p>
        </w:tc>
        <w:tc>
          <w:tcPr>
            <w:tcW w:type="dxa" w:w="4680"/>
            <w:tcMar>
              <w:top w:w="100" w:type="dxa"/>
              <w:bottom w:w="100" w:type="dxa"/>
              <w:left w:w="120" w:type="dxa"/>
              <w:right w:w="120" w:type="dxa"/>
            </w:tcMar>
            <w:shd w:val="clear" w:fill="F2F7F3"/>
          </w:tcPr>
          <w:p>
            <w:pPr>
              <w:bidi/>
              <w:jc w:val="start"/>
            </w:pPr>
            <w:r>
              <w:rPr>
                <w:rFonts w:ascii="IBM Plex Sans Arabic" w:hAnsi="IBM Plex Sans Arabic" w:cs="IBM Plex Sans Arabic"/>
                <w:rtl/>
              </w:rPr>
              <w:t>الكويت</w:t>
            </w:r>
          </w:p>
        </w:tc>
      </w:tr>
      <w:tr>
        <w:trPr>
          <w:cantSplit/>
        </w:trPr>
        <w:tc>
          <w:tcPr>
            <w:tcW w:type="dxa" w:w="4680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pPr>
              <w:bidi/>
              <w:jc w:val="start"/>
            </w:pPr>
            <w:r>
              <w:rPr>
                <w:rFonts w:ascii="IBM Plex Sans Arabic" w:hAnsi="IBM Plex Sans Arabic" w:cs="IBM Plex Sans Arabic"/>
                <w:rtl/>
              </w:rPr>
              <w:t>تاريخ الإعداد</w:t>
            </w:r>
          </w:p>
        </w:tc>
        <w:tc>
          <w:tcPr>
            <w:tcW w:type="dxa" w:w="4680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pPr>
              <w:bidi/>
              <w:jc w:val="start"/>
            </w:pPr>
            <w:r>
              <w:rPr>
                <w:rFonts w:ascii="IBM Plex Sans Arabic" w:hAnsi="IBM Plex Sans Arabic" w:cs="IBM Plex Sans Arabic"/>
                <w:rtl/>
              </w:rPr>
              <w:t>2026-10-21</w:t>
            </w:r>
          </w:p>
        </w:tc>
      </w:tr>
    </w:tbl>
    <w:p>
      <w:pPr>
        <w:pStyle w:val="Heading1"/>
        <w:bidi/>
        <w:jc w:val="start"/>
      </w:pPr>
      <w:r>
        <w:rPr>
          <w:rFonts w:ascii="IBM Plex Sans Arabic" w:hAnsi="IBM Plex Sans Arabic" w:cs="IBM Plex Sans Arabic"/>
          <w:rtl/>
        </w:rPr>
        <w:t>المحتويات</w:t>
      </w:r>
    </w:p>
    <w:p>
      <w:pPr>
        <w:bidi/>
        <w:jc w:val="start"/>
      </w:pPr>
      <w:r>
        <w:rPr>
          <w:rFonts w:ascii="IBM Plex Sans Arabic" w:hAnsi="IBM Plex Sans Arabic" w:cs="IBM Plex Sans Arabic"/>
          <w:rtl/>
        </w:rPr>
        <w:t>1. الخلاصة التنفيذية</w:t>
      </w:r>
    </w:p>
    <w:p>
      <w:pPr>
        <w:bidi/>
        <w:jc w:val="start"/>
      </w:pPr>
      <w:r>
        <w:rPr>
          <w:rFonts w:ascii="IBM Plex Sans Arabic" w:hAnsi="IBM Plex Sans Arabic" w:cs="IBM Plex Sans Arabic"/>
          <w:rtl/>
        </w:rPr>
        <w:t>2. ملخّص مصادر البحث</w:t>
      </w:r>
    </w:p>
    <w:p>
      <w:pPr>
        <w:bidi/>
        <w:jc w:val="start"/>
      </w:pPr>
      <w:r>
        <w:rPr>
          <w:rFonts w:ascii="IBM Plex Sans Arabic" w:hAnsi="IBM Plex Sans Arabic" w:cs="IBM Plex Sans Arabic"/>
          <w:rtl/>
        </w:rPr>
        <w:t>3. التقرير الكامل (كاتب التقرير، مراجَع)</w:t>
      </w:r>
    </w:p>
    <w:p>
      <w:pPr>
        <w:bidi/>
        <w:jc w:val="start"/>
      </w:pPr>
      <w:r>
        <w:rPr>
          <w:rFonts w:ascii="IBM Plex Sans Arabic" w:hAnsi="IBM Plex Sans Arabic" w:cs="IBM Plex Sans Arabic"/>
          <w:rtl/>
        </w:rPr>
        <w:t>4. ملحق — الأدلة الرقمية الداعمة للتقاطعات الخمسة</w:t>
      </w:r>
    </w:p>
    <w:p>
      <w:pPr>
        <w:bidi/>
        <w:jc w:val="start"/>
      </w:pPr>
      <w:r>
        <w:rPr>
          <w:rFonts w:ascii="IBM Plex Sans Arabic" w:hAnsi="IBM Plex Sans Arabic" w:cs="IBM Plex Sans Arabic"/>
          <w:rtl/>
        </w:rPr>
        <w:t>5. حدود هذا التقرير</w:t>
      </w:r>
    </w:p>
    <w:p>
      <w:pPr>
        <w:pStyle w:val="Heading1"/>
        <w:bidi/>
        <w:jc w:val="start"/>
      </w:pPr>
      <w:r>
        <w:rPr>
          <w:rFonts w:ascii="IBM Plex Sans Arabic" w:hAnsi="IBM Plex Sans Arabic" w:cs="IBM Plex Sans Arabic"/>
          <w:rtl/>
        </w:rPr>
        <w:t>١. الخلاصة التنفيذية</w:t>
      </w:r>
    </w:p>
    <w:p>
      <w:pPr>
        <w:bidi/>
        <w:jc w:val="start"/>
      </w:pPr>
      <w:r>
        <w:rPr>
          <w:rFonts w:ascii="IBM Plex Sans Arabic" w:hAnsi="IBM Plex Sans Arabic" w:cs="IBM Plex Sans Arabic"/>
          <w:rtl/>
        </w:rPr>
        <w:t>الحكم: مراقبة السوق</w:t>
      </w:r>
    </w:p>
    <w:p>
      <w:pPr>
        <w:bidi/>
        <w:jc w:val="start"/>
      </w:pPr>
      <w:r>
        <w:rPr>
          <w:rFonts w:ascii="IBM Plex Sans Arabic" w:hAnsi="IBM Plex Sans Arabic" w:cs="IBM Plex Sans Arabic"/>
          <w:rtl/>
        </w:rPr>
        <w:t>سوق يحتاج بيانات تحت الرمز الصحيح وموزّعاً مؤكَّداً قبل الالتزام.</w:t>
      </w:r>
    </w:p>
    <w:p>
      <w:pPr>
        <w:bidi/>
        <w:jc w:val="start"/>
      </w:pPr>
      <w:r>
        <w:rPr>
          <w:rFonts w:ascii="IBM Plex Sans Arabic" w:hAnsi="IBM Plex Sans Arabic" w:cs="IBM Plex Sans Arabic"/>
          <w:rtl/>
        </w:rPr>
        <w:t>مبني على 6/6 بعثة بحث نجحت في جمع نتائج مبنية على استشهاد، إضافة إلى المحلل الشامل وكاتب التقرير (راجع «حدود هذا التقرير» أدناه لكل معطى ناقص).</w:t>
      </w:r>
    </w:p>
    <w:p>
      <w:pPr>
        <w:pStyle w:val="Heading1"/>
        <w:bidi/>
        <w:jc w:val="start"/>
      </w:pPr>
      <w:r>
        <w:rPr>
          <w:rFonts w:ascii="IBM Plex Sans Arabic" w:hAnsi="IBM Plex Sans Arabic" w:cs="IBM Plex Sans Arabic"/>
          <w:rtl/>
        </w:rPr>
        <w:t>النموذج الاقتصادي — التكلفة الواصلة وأقصى سعر مصنع منافس</w:t>
      </w:r>
    </w:p>
    <w:p>
      <w:pPr>
        <w:bidi/>
        <w:jc w:val="start"/>
      </w:pPr>
      <w:r>
        <w:rPr>
          <w:rFonts w:ascii="IBM Plex Sans Arabic" w:hAnsi="IBM Plex Sans Arabic" w:cs="IBM Plex Sans Arabic"/>
          <w:rtl/>
        </w:rPr>
        <w:t>مرساة السعر: أدنى سعر رف منافس مرصود 0.67 دولار (‏سعر تجزئة مرصود فعلياً — منتج مشابه محلي 0.67 دولار/كجم، أساس التقييم: تجزئة‏).</w:t>
      </w:r>
    </w:p>
    <w:p>
      <w:pPr>
        <w:bidi/>
        <w:jc w:val="start"/>
      </w:pPr>
      <w:r>
        <w:rPr>
          <w:rFonts w:ascii="IBM Plex Sans Arabic" w:hAnsi="IBM Plex Sans Arabic" w:cs="IBM Plex Sans Arabic"/>
          <w:rtl/>
        </w:rPr>
        <w:t>أقصى سعر مصنع قابل للمنافسة: 0.3988 دولار/كجم (سيناريو متوسط) — EXW_max = سعر الرف ÷ [(‏1+شحن‏)(‏1+تعرفة‏)(‏1+هامش الموزّع‏)(‏1+هامش التجزئة‏)(‏1+ضريبة‏)]</w:t>
      </w:r>
    </w:p>
    <w:tbl>
      <w:tblPr>
        <w:tblStyle w:val="TableGrid"/>
        <w:tblW w:type="auto" w:w="0"/>
        <w:tblLayout w:type="fixed"/>
        <w:tblLook w:firstColumn="1" w:firstRow="1" w:lastColumn="0" w:lastRow="0" w:noHBand="0" w:noVBand="1" w:val="04A0"/>
        <w:tblBorders>
          <w:top w:val="single" w:sz="4" w:space="0" w:color="BBBBBB"/>
          <w:left w:val="single" w:sz="4" w:space="0" w:color="BBBBBB"/>
          <w:bottom w:val="single" w:sz="4" w:space="0" w:color="BBBBBB"/>
          <w:right w:val="single" w:sz="4" w:space="0" w:color="BBBBBB"/>
          <w:insideH w:val="single" w:sz="4" w:space="0" w:color="BBBBBB"/>
          <w:insideV w:val="single" w:sz="4" w:space="0" w:color="BBBBBB"/>
        </w:tblBorders>
        <w:bidiVisual/>
      </w:tblPr>
      <w:tblGrid>
        <w:gridCol w:w="1728"/>
        <w:gridCol w:w="1728"/>
        <w:gridCol w:w="1728"/>
        <w:gridCol w:w="1728"/>
        <w:gridCol w:w="1728"/>
      </w:tblGrid>
      <w:tr>
        <w:trPr>
          <w:cantSplit/>
          <w:tblHeader/>
        </w:trPr>
        <w:tc>
          <w:tcPr>
            <w:tcW w:type="dxa" w:w="1872"/>
            <w:shd w:val="clear" w:fill="166534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pPr>
              <w:bidi/>
              <w:jc w:val="start"/>
            </w:pPr>
            <w:r>
              <w:rPr>
                <w:rFonts w:ascii="IBM Plex Sans Arabic" w:hAnsi="IBM Plex Sans Arabic" w:cs="IBM Plex Sans Arabic"/>
                <w:b/>
                <w:color w:val="FFFFFF"/>
                <w:rtl/>
              </w:rPr>
              <w:t>السيناريو</w:t>
            </w:r>
          </w:p>
        </w:tc>
        <w:tc>
          <w:tcPr>
            <w:tcW w:type="dxa" w:w="1872"/>
            <w:shd w:val="clear" w:fill="166534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pPr>
              <w:bidi/>
              <w:jc w:val="start"/>
            </w:pPr>
            <w:r>
              <w:rPr>
                <w:rFonts w:ascii="IBM Plex Sans Arabic" w:hAnsi="IBM Plex Sans Arabic" w:cs="IBM Plex Sans Arabic"/>
                <w:b/>
                <w:color w:val="FFFFFF"/>
                <w:rtl/>
              </w:rPr>
              <w:t>شحن %</w:t>
            </w:r>
          </w:p>
        </w:tc>
        <w:tc>
          <w:tcPr>
            <w:tcW w:type="dxa" w:w="1872"/>
            <w:shd w:val="clear" w:fill="166534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pPr>
              <w:bidi/>
              <w:jc w:val="start"/>
            </w:pPr>
            <w:r>
              <w:rPr>
                <w:rFonts w:ascii="IBM Plex Sans Arabic" w:hAnsi="IBM Plex Sans Arabic" w:cs="IBM Plex Sans Arabic"/>
                <w:b/>
                <w:color w:val="FFFFFF"/>
                <w:rtl/>
              </w:rPr>
              <w:t>هامش الموزّع %</w:t>
            </w:r>
          </w:p>
        </w:tc>
        <w:tc>
          <w:tcPr>
            <w:tcW w:type="dxa" w:w="1872"/>
            <w:shd w:val="clear" w:fill="166534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pPr>
              <w:bidi/>
              <w:jc w:val="start"/>
            </w:pPr>
            <w:r>
              <w:rPr>
                <w:rFonts w:ascii="IBM Plex Sans Arabic" w:hAnsi="IBM Plex Sans Arabic" w:cs="IBM Plex Sans Arabic"/>
                <w:b/>
                <w:color w:val="FFFFFF"/>
                <w:rtl/>
              </w:rPr>
              <w:t>هامش التجزئة %</w:t>
            </w:r>
          </w:p>
        </w:tc>
        <w:tc>
          <w:tcPr>
            <w:tcW w:type="dxa" w:w="1872"/>
            <w:shd w:val="clear" w:fill="166534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pPr>
              <w:bidi/>
              <w:jc w:val="start"/>
            </w:pPr>
            <w:r>
              <w:rPr>
                <w:rFonts w:ascii="IBM Plex Sans Arabic" w:hAnsi="IBM Plex Sans Arabic" w:cs="IBM Plex Sans Arabic"/>
                <w:b/>
                <w:color w:val="FFFFFF"/>
                <w:rtl/>
              </w:rPr>
              <w:t>أقصى EXW</w:t>
            </w:r>
          </w:p>
        </w:tc>
      </w:tr>
      <w:tr>
        <w:trPr>
          <w:cantSplit/>
        </w:trPr>
        <w:tc>
          <w:tcPr>
            <w:tcW w:type="dxa" w:w="1872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pPr>
              <w:bidi/>
              <w:jc w:val="start"/>
            </w:pPr>
            <w:r>
              <w:rPr>
                <w:rFonts w:ascii="IBM Plex Sans Arabic" w:hAnsi="IBM Plex Sans Arabic" w:cs="IBM Plex Sans Arabic"/>
                <w:rtl/>
              </w:rPr>
              <w:t>منخفض</w:t>
            </w:r>
          </w:p>
        </w:tc>
        <w:tc>
          <w:tcPr>
            <w:tcW w:type="dxa" w:w="1872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pPr>
              <w:bidi/>
              <w:jc w:val="start"/>
            </w:pPr>
            <w:r>
              <w:rPr>
                <w:rFonts w:ascii="IBM Plex Sans Arabic" w:hAnsi="IBM Plex Sans Arabic" w:cs="IBM Plex Sans Arabic"/>
                <w:rtl/>
              </w:rPr>
              <w:t>5.0</w:t>
            </w:r>
          </w:p>
        </w:tc>
        <w:tc>
          <w:tcPr>
            <w:tcW w:type="dxa" w:w="1872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pPr>
              <w:bidi/>
              <w:jc w:val="start"/>
            </w:pPr>
            <w:r>
              <w:rPr>
                <w:rFonts w:ascii="IBM Plex Sans Arabic" w:hAnsi="IBM Plex Sans Arabic" w:cs="IBM Plex Sans Arabic"/>
                <w:rtl/>
              </w:rPr>
              <w:t>10.0</w:t>
            </w:r>
          </w:p>
        </w:tc>
        <w:tc>
          <w:tcPr>
            <w:tcW w:type="dxa" w:w="1872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pPr>
              <w:bidi/>
              <w:jc w:val="start"/>
            </w:pPr>
            <w:r>
              <w:rPr>
                <w:rFonts w:ascii="IBM Plex Sans Arabic" w:hAnsi="IBM Plex Sans Arabic" w:cs="IBM Plex Sans Arabic"/>
                <w:rtl/>
              </w:rPr>
              <w:t>15.0</w:t>
            </w:r>
          </w:p>
        </w:tc>
        <w:tc>
          <w:tcPr>
            <w:tcW w:type="dxa" w:w="1872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pPr>
              <w:bidi/>
              <w:jc w:val="start"/>
            </w:pPr>
            <w:r>
              <w:rPr>
                <w:rFonts w:ascii="IBM Plex Sans Arabic" w:hAnsi="IBM Plex Sans Arabic" w:cs="IBM Plex Sans Arabic"/>
                <w:rtl/>
              </w:rPr>
              <w:t>0.5044</w:t>
            </w:r>
          </w:p>
        </w:tc>
      </w:tr>
      <w:tr>
        <w:trPr>
          <w:cantSplit/>
        </w:trPr>
        <w:tc>
          <w:tcPr>
            <w:tcW w:type="dxa" w:w="1872"/>
            <w:tcMar>
              <w:top w:w="100" w:type="dxa"/>
              <w:bottom w:w="100" w:type="dxa"/>
              <w:left w:w="120" w:type="dxa"/>
              <w:right w:w="120" w:type="dxa"/>
            </w:tcMar>
            <w:shd w:val="clear" w:fill="F2F7F3"/>
          </w:tcPr>
          <w:p>
            <w:pPr>
              <w:bidi/>
              <w:jc w:val="start"/>
            </w:pPr>
            <w:r>
              <w:rPr>
                <w:rFonts w:ascii="IBM Plex Sans Arabic" w:hAnsi="IBM Plex Sans Arabic" w:cs="IBM Plex Sans Arabic"/>
                <w:rtl/>
              </w:rPr>
              <w:t>متوسط</w:t>
            </w:r>
          </w:p>
        </w:tc>
        <w:tc>
          <w:tcPr>
            <w:tcW w:type="dxa" w:w="1872"/>
            <w:tcMar>
              <w:top w:w="100" w:type="dxa"/>
              <w:bottom w:w="100" w:type="dxa"/>
              <w:left w:w="120" w:type="dxa"/>
              <w:right w:w="120" w:type="dxa"/>
            </w:tcMar>
            <w:shd w:val="clear" w:fill="F2F7F3"/>
          </w:tcPr>
          <w:p>
            <w:pPr>
              <w:bidi/>
              <w:jc w:val="start"/>
            </w:pPr>
            <w:r>
              <w:rPr>
                <w:rFonts w:ascii="IBM Plex Sans Arabic" w:hAnsi="IBM Plex Sans Arabic" w:cs="IBM Plex Sans Arabic"/>
                <w:rtl/>
              </w:rPr>
              <w:t>12.0</w:t>
            </w:r>
          </w:p>
        </w:tc>
        <w:tc>
          <w:tcPr>
            <w:tcW w:type="dxa" w:w="1872"/>
            <w:tcMar>
              <w:top w:w="100" w:type="dxa"/>
              <w:bottom w:w="100" w:type="dxa"/>
              <w:left w:w="120" w:type="dxa"/>
              <w:right w:w="120" w:type="dxa"/>
            </w:tcMar>
            <w:shd w:val="clear" w:fill="F2F7F3"/>
          </w:tcPr>
          <w:p>
            <w:pPr>
              <w:bidi/>
              <w:jc w:val="start"/>
            </w:pPr>
            <w:r>
              <w:rPr>
                <w:rFonts w:ascii="IBM Plex Sans Arabic" w:hAnsi="IBM Plex Sans Arabic" w:cs="IBM Plex Sans Arabic"/>
                <w:rtl/>
              </w:rPr>
              <w:t>20.0</w:t>
            </w:r>
          </w:p>
        </w:tc>
        <w:tc>
          <w:tcPr>
            <w:tcW w:type="dxa" w:w="1872"/>
            <w:tcMar>
              <w:top w:w="100" w:type="dxa"/>
              <w:bottom w:w="100" w:type="dxa"/>
              <w:left w:w="120" w:type="dxa"/>
              <w:right w:w="120" w:type="dxa"/>
            </w:tcMar>
            <w:shd w:val="clear" w:fill="F2F7F3"/>
          </w:tcPr>
          <w:p>
            <w:pPr>
              <w:bidi/>
              <w:jc w:val="start"/>
            </w:pPr>
            <w:r>
              <w:rPr>
                <w:rFonts w:ascii="IBM Plex Sans Arabic" w:hAnsi="IBM Plex Sans Arabic" w:cs="IBM Plex Sans Arabic"/>
                <w:rtl/>
              </w:rPr>
              <w:t>25.0</w:t>
            </w:r>
          </w:p>
        </w:tc>
        <w:tc>
          <w:tcPr>
            <w:tcW w:type="dxa" w:w="1872"/>
            <w:tcMar>
              <w:top w:w="100" w:type="dxa"/>
              <w:bottom w:w="100" w:type="dxa"/>
              <w:left w:w="120" w:type="dxa"/>
              <w:right w:w="120" w:type="dxa"/>
            </w:tcMar>
            <w:shd w:val="clear" w:fill="F2F7F3"/>
          </w:tcPr>
          <w:p>
            <w:pPr>
              <w:bidi/>
              <w:jc w:val="start"/>
            </w:pPr>
            <w:r>
              <w:rPr>
                <w:rFonts w:ascii="IBM Plex Sans Arabic" w:hAnsi="IBM Plex Sans Arabic" w:cs="IBM Plex Sans Arabic"/>
                <w:rtl/>
              </w:rPr>
              <w:t>0.3988</w:t>
            </w:r>
          </w:p>
        </w:tc>
      </w:tr>
      <w:tr>
        <w:trPr>
          <w:cantSplit/>
        </w:trPr>
        <w:tc>
          <w:tcPr>
            <w:tcW w:type="dxa" w:w="1872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pPr>
              <w:bidi/>
              <w:jc w:val="start"/>
            </w:pPr>
            <w:r>
              <w:rPr>
                <w:rFonts w:ascii="IBM Plex Sans Arabic" w:hAnsi="IBM Plex Sans Arabic" w:cs="IBM Plex Sans Arabic"/>
                <w:rtl/>
              </w:rPr>
              <w:t>مرتفع</w:t>
            </w:r>
          </w:p>
        </w:tc>
        <w:tc>
          <w:tcPr>
            <w:tcW w:type="dxa" w:w="1872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pPr>
              <w:bidi/>
              <w:jc w:val="start"/>
            </w:pPr>
            <w:r>
              <w:rPr>
                <w:rFonts w:ascii="IBM Plex Sans Arabic" w:hAnsi="IBM Plex Sans Arabic" w:cs="IBM Plex Sans Arabic"/>
                <w:rtl/>
              </w:rPr>
              <w:t>25.0</w:t>
            </w:r>
          </w:p>
        </w:tc>
        <w:tc>
          <w:tcPr>
            <w:tcW w:type="dxa" w:w="1872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pPr>
              <w:bidi/>
              <w:jc w:val="start"/>
            </w:pPr>
            <w:r>
              <w:rPr>
                <w:rFonts w:ascii="IBM Plex Sans Arabic" w:hAnsi="IBM Plex Sans Arabic" w:cs="IBM Plex Sans Arabic"/>
                <w:rtl/>
              </w:rPr>
              <w:t>30.0</w:t>
            </w:r>
          </w:p>
        </w:tc>
        <w:tc>
          <w:tcPr>
            <w:tcW w:type="dxa" w:w="1872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pPr>
              <w:bidi/>
              <w:jc w:val="start"/>
            </w:pPr>
            <w:r>
              <w:rPr>
                <w:rFonts w:ascii="IBM Plex Sans Arabic" w:hAnsi="IBM Plex Sans Arabic" w:cs="IBM Plex Sans Arabic"/>
                <w:rtl/>
              </w:rPr>
              <w:t>40.0</w:t>
            </w:r>
          </w:p>
        </w:tc>
        <w:tc>
          <w:tcPr>
            <w:tcW w:type="dxa" w:w="1872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pPr>
              <w:bidi/>
              <w:jc w:val="start"/>
            </w:pPr>
            <w:r>
              <w:rPr>
                <w:rFonts w:ascii="IBM Plex Sans Arabic" w:hAnsi="IBM Plex Sans Arabic" w:cs="IBM Plex Sans Arabic"/>
                <w:rtl/>
              </w:rPr>
              <w:t>0.2945</w:t>
            </w:r>
          </w:p>
        </w:tc>
      </w:tr>
    </w:tbl>
    <w:p>
      <w:pPr>
        <w:bidi/>
        <w:jc w:val="start"/>
      </w:pPr>
      <w:r>
        <w:rPr>
          <w:rFonts w:ascii="IBM Plex Sans Arabic" w:hAnsi="IBM Plex Sans Arabic" w:cs="IBM Plex Sans Arabic"/>
          <w:rtl/>
        </w:rPr>
        <w:t>المعالم المعلنة (بافتراضٍ قابل للتعديل): التعرفة (‏اعتُمد 0% — قيمتها الفعلية غير متاحة‏)؛ الضريبة (‏اعتُمد 0% — تحتاج تحققاً‏)؛ نسبة الشحن (معلمة معلنة قابلة للتعديل)؛ هامش الموزّع (معلمة معلنة قابلة للتعديل)؛ هامش التجزئة (معلمة معلنة قابلة للتعديل).</w:t>
      </w:r>
    </w:p>
    <w:p>
      <w:pPr>
        <w:bidi/>
        <w:jc w:val="start"/>
      </w:pPr>
      <w:r>
        <w:rPr>
          <w:rFonts w:ascii="IBM Plex Sans Arabic" w:hAnsi="IBM Plex Sans Arabic" w:cs="IBM Plex Sans Arabic"/>
          <w:rtl/>
        </w:rPr>
        <w:t>- التعرفة غير متاحة — اعتُمدت 0% معلنةً في الحل العكسي</w:t>
      </w:r>
    </w:p>
    <w:p>
      <w:pPr>
        <w:bidi/>
        <w:jc w:val="start"/>
      </w:pPr>
      <w:r>
        <w:rPr>
          <w:rFonts w:ascii="IBM Plex Sans Arabic" w:hAnsi="IBM Plex Sans Arabic" w:cs="IBM Plex Sans Arabic"/>
          <w:rtl/>
        </w:rPr>
        <w:t>- ضريبة المبيعات أو الاستيراد لهذا الصنف في السوق غير مرصودة — تحتاج تحققاً ولم تدخل الحساب</w:t>
      </w:r>
    </w:p>
    <w:p>
      <w:pPr>
        <w:bidi/>
        <w:jc w:val="start"/>
      </w:pPr>
      <w:r>
        <w:rPr>
          <w:rFonts w:ascii="IBM Plex Sans Arabic" w:hAnsi="IBM Plex Sans Arabic" w:cs="IBM Plex Sans Arabic"/>
          <w:rtl/>
        </w:rPr>
        <w:t>- تكلفة المصنع (‏EXW‏) غير مدخلة — أدخل سعر المصنع للكيلوغرام لاستكمال أحد مدخلات سلسلة التكلفة حتى الرف؛ الحل العكسي أعلاه يعطيك أقصى تكلفة قابلة للمنافسة</w:t>
      </w:r>
    </w:p>
    <w:p>
      <w:pPr>
        <w:pStyle w:val="Heading1"/>
        <w:bidi/>
        <w:jc w:val="start"/>
      </w:pPr>
      <w:r>
        <w:rPr>
          <w:rFonts w:ascii="IBM Plex Sans Arabic" w:hAnsi="IBM Plex Sans Arabic" w:cs="IBM Plex Sans Arabic"/>
          <w:rtl/>
        </w:rPr>
        <w:t>قسم البحث العميق — التقاطعات الخمسة والمحلل الشامل</w:t>
      </w:r>
    </w:p>
    <w:p>
      <w:pPr>
        <w:pStyle w:val="IntenseQuote"/>
        <w:bidi/>
        <w:jc w:val="start"/>
      </w:pPr>
      <w:r>
        <w:rPr>
          <w:rFonts w:ascii="IBM Plex Sans Arabic" w:hAnsi="IBM Plex Sans Arabic" w:cs="IBM Plex Sans Arabic"/>
          <w:rtl/>
        </w:rPr>
        <w:t>⚠ بيانات فئة مجاورة — مؤشر سياقي لا مقياس فعلي: أرقام الاستيراد والتركّز والحصص في هذا التقرير مجموعةٌ تحت رمز HS 040510، ووصفه الرسمي لا يشمل صفة المنتج المميّزة — الأرقام الموسومة بنجمة (*) تُقرأ في سياق هذا التنبيه حتى تأكيد الرمز الصحيح.</w:t>
      </w:r>
    </w:p>
    <w:p>
      <w:pPr>
        <w:bidi/>
        <w:jc w:val="start"/>
      </w:pPr>
      <w:r>
        <w:rPr>
          <w:rFonts w:ascii="IBM Plex Sans Arabic" w:hAnsi="IBM Plex Sans Arabic" w:cs="IBM Plex Sans Arabic"/>
          <w:rtl/>
        </w:rPr>
        <w:t>السوق: الكويت (‏KWT‏) — الحكم: مراقبة السوق</w:t>
      </w:r>
    </w:p>
    <w:p>
      <w:pPr>
        <w:pStyle w:val="IntenseQuote"/>
        <w:bidi/>
        <w:jc w:val="start"/>
      </w:pPr>
      <w:r>
        <w:rPr>
          <w:rFonts w:ascii="IBM Plex Sans Arabic" w:hAnsi="IBM Plex Sans Arabic" w:cs="IBM Plex Sans Arabic"/>
          <w:rtl/>
        </w:rPr>
        <w:t>قراءة تحليلية للذكاء الاصطناعي (استشارية — ليست التوصية): مراقبة السوق</w:t>
      </w:r>
    </w:p>
    <w:p>
      <w:pPr>
        <w:pStyle w:val="IntenseQuote"/>
        <w:bidi/>
        <w:jc w:val="start"/>
      </w:pPr>
      <w:r>
        <w:rPr>
          <w:rFonts w:ascii="IBM Plex Sans Arabic" w:hAnsi="IBM Plex Sans Arabic" w:cs="IBM Plex Sans Arabic"/>
          <w:rtl/>
        </w:rPr>
        <w:t>سوق يحتاج بيانات تحت الرمز الصحيح وموزّعاً مؤكَّداً قبل الالتزام.</w:t>
      </w:r>
    </w:p>
    <w:p>
      <w:pPr>
        <w:pStyle w:val="Heading2"/>
        <w:bidi/>
        <w:jc w:val="start"/>
      </w:pPr>
      <w:r>
        <w:rPr>
          <w:rFonts w:ascii="IBM Plex Sans Arabic" w:hAnsi="IBM Plex Sans Arabic" w:cs="IBM Plex Sans Arabic"/>
          <w:rtl/>
        </w:rPr>
        <w:t>ملخّص مصادر البحث</w:t>
      </w:r>
    </w:p>
    <w:tbl>
      <w:tblPr>
        <w:tblStyle w:val="TableGrid"/>
        <w:tblW w:type="auto" w:w="0"/>
        <w:tblLayout w:type="fixed"/>
        <w:tblLook w:firstColumn="1" w:firstRow="1" w:lastColumn="0" w:lastRow="0" w:noHBand="0" w:noVBand="1" w:val="04A0"/>
        <w:tblBorders>
          <w:top w:val="single" w:sz="4" w:space="0" w:color="BBBBBB"/>
          <w:left w:val="single" w:sz="4" w:space="0" w:color="BBBBBB"/>
          <w:bottom w:val="single" w:sz="4" w:space="0" w:color="BBBBBB"/>
          <w:right w:val="single" w:sz="4" w:space="0" w:color="BBBBBB"/>
          <w:insideH w:val="single" w:sz="4" w:space="0" w:color="BBBBBB"/>
          <w:insideV w:val="single" w:sz="4" w:space="0" w:color="BBBBBB"/>
        </w:tblBorders>
        <w:bidiVisual/>
      </w:tblPr>
      <w:tblGrid>
        <w:gridCol w:w="2880"/>
        <w:gridCol w:w="2880"/>
        <w:gridCol w:w="2880"/>
      </w:tblGrid>
      <w:tr>
        <w:trPr>
          <w:cantSplit/>
          <w:tblHeader/>
        </w:trPr>
        <w:tc>
          <w:tcPr>
            <w:tcW w:type="dxa" w:w="3120"/>
            <w:shd w:val="clear" w:fill="166534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pPr>
              <w:bidi/>
              <w:jc w:val="start"/>
            </w:pPr>
            <w:r>
              <w:rPr>
                <w:rFonts w:ascii="IBM Plex Sans Arabic" w:hAnsi="IBM Plex Sans Arabic" w:cs="IBM Plex Sans Arabic"/>
                <w:b/>
                <w:color w:val="FFFFFF"/>
                <w:rtl/>
              </w:rPr>
              <w:t>البعثة</w:t>
            </w:r>
          </w:p>
        </w:tc>
        <w:tc>
          <w:tcPr>
            <w:tcW w:type="dxa" w:w="3120"/>
            <w:shd w:val="clear" w:fill="166534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pPr>
              <w:bidi/>
              <w:jc w:val="start"/>
            </w:pPr>
            <w:r>
              <w:rPr>
                <w:rFonts w:ascii="IBM Plex Sans Arabic" w:hAnsi="IBM Plex Sans Arabic" w:cs="IBM Plex Sans Arabic"/>
                <w:b/>
                <w:color w:val="FFFFFF"/>
                <w:rtl/>
              </w:rPr>
              <w:t>الحالة</w:t>
            </w:r>
          </w:p>
        </w:tc>
        <w:tc>
          <w:tcPr>
            <w:tcW w:type="dxa" w:w="3120"/>
            <w:shd w:val="clear" w:fill="166534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pPr>
              <w:bidi/>
              <w:jc w:val="start"/>
            </w:pPr>
            <w:r>
              <w:rPr>
                <w:rFonts w:ascii="IBM Plex Sans Arabic" w:hAnsi="IBM Plex Sans Arabic" w:cs="IBM Plex Sans Arabic"/>
                <w:b/>
                <w:color w:val="FFFFFF"/>
                <w:rtl/>
              </w:rPr>
              <w:t>الملخّص</w:t>
            </w:r>
          </w:p>
        </w:tc>
      </w:tr>
      <w:tr>
        <w:trPr>
          <w:cantSplit/>
        </w:trPr>
        <w:tc>
          <w:tcPr>
            <w:tcW w:type="dxa" w:w="3120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pPr>
              <w:bidi/>
              <w:jc w:val="start"/>
            </w:pPr>
            <w:r>
              <w:rPr>
                <w:rFonts w:ascii="IBM Plex Sans Arabic" w:hAnsi="IBM Plex Sans Arabic" w:cs="IBM Plex Sans Arabic"/>
                <w:rtl/>
              </w:rPr>
              <w:t>تدفقات التجارة</w:t>
            </w:r>
          </w:p>
        </w:tc>
        <w:tc>
          <w:tcPr>
            <w:tcW w:type="dxa" w:w="3120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pPr>
              <w:bidi/>
              <w:jc w:val="start"/>
            </w:pPr>
            <w:r>
              <w:rPr>
                <w:rFonts w:ascii="IBM Plex Sans Arabic" w:hAnsi="IBM Plex Sans Arabic" w:cs="IBM Plex Sans Arabic"/>
                <w:rtl/>
              </w:rPr>
              <w:t>ناجحة</w:t>
            </w:r>
          </w:p>
        </w:tc>
        <w:tc>
          <w:tcPr>
            <w:tcW w:type="dxa" w:w="3120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pPr>
              <w:bidi/>
              <w:jc w:val="start"/>
            </w:pPr>
            <w:r>
              <w:rPr>
                <w:rFonts w:ascii="IBM Plex Sans Arabic" w:hAnsi="IBM Plex Sans Arabic" w:cs="IBM Plex Sans Arabic"/>
                <w:rtl/>
              </w:rPr>
              <w:t>واردات الزبدة (‏040510‏) نحو 9 مليون دولار</w:t>
            </w:r>
          </w:p>
        </w:tc>
      </w:tr>
      <w:tr>
        <w:trPr>
          <w:cantSplit/>
        </w:trPr>
        <w:tc>
          <w:tcPr>
            <w:tcW w:type="dxa" w:w="3120"/>
            <w:tcMar>
              <w:top w:w="100" w:type="dxa"/>
              <w:bottom w:w="100" w:type="dxa"/>
              <w:left w:w="120" w:type="dxa"/>
              <w:right w:w="120" w:type="dxa"/>
            </w:tcMar>
            <w:shd w:val="clear" w:fill="F2F7F3"/>
          </w:tcPr>
          <w:p>
            <w:pPr>
              <w:bidi/>
              <w:jc w:val="start"/>
            </w:pPr>
            <w:r>
              <w:rPr>
                <w:rFonts w:ascii="IBM Plex Sans Arabic" w:hAnsi="IBM Plex Sans Arabic" w:cs="IBM Plex Sans Arabic"/>
                <w:rtl/>
              </w:rPr>
              <w:t>تحليل الأسعار</w:t>
            </w:r>
          </w:p>
        </w:tc>
        <w:tc>
          <w:tcPr>
            <w:tcW w:type="dxa" w:w="3120"/>
            <w:tcMar>
              <w:top w:w="100" w:type="dxa"/>
              <w:bottom w:w="100" w:type="dxa"/>
              <w:left w:w="120" w:type="dxa"/>
              <w:right w:w="120" w:type="dxa"/>
            </w:tcMar>
            <w:shd w:val="clear" w:fill="F2F7F3"/>
          </w:tcPr>
          <w:p>
            <w:pPr>
              <w:bidi/>
              <w:jc w:val="start"/>
            </w:pPr>
            <w:r>
              <w:rPr>
                <w:rFonts w:ascii="IBM Plex Sans Arabic" w:hAnsi="IBM Plex Sans Arabic" w:cs="IBM Plex Sans Arabic"/>
                <w:rtl/>
              </w:rPr>
              <w:t>ناجحة</w:t>
            </w:r>
          </w:p>
        </w:tc>
        <w:tc>
          <w:tcPr>
            <w:tcW w:type="dxa" w:w="3120"/>
            <w:tcMar>
              <w:top w:w="100" w:type="dxa"/>
              <w:bottom w:w="100" w:type="dxa"/>
              <w:left w:w="120" w:type="dxa"/>
              <w:right w:w="120" w:type="dxa"/>
            </w:tcMar>
            <w:shd w:val="clear" w:fill="F2F7F3"/>
          </w:tcPr>
          <w:p>
            <w:pPr>
              <w:bidi/>
              <w:jc w:val="start"/>
            </w:pPr>
            <w:r>
              <w:rPr>
                <w:rFonts w:ascii="IBM Plex Sans Arabic" w:hAnsi="IBM Plex Sans Arabic" w:cs="IBM Plex Sans Arabic"/>
                <w:rtl/>
              </w:rPr>
              <w:t>سلّم أسعار: استيراد/جملة كومتريد + تجزئة مرصودة</w:t>
            </w:r>
          </w:p>
        </w:tc>
      </w:tr>
      <w:tr>
        <w:trPr>
          <w:cantSplit/>
        </w:trPr>
        <w:tc>
          <w:tcPr>
            <w:tcW w:type="dxa" w:w="3120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pPr>
              <w:bidi/>
              <w:jc w:val="start"/>
            </w:pPr>
            <w:r>
              <w:rPr>
                <w:rFonts w:ascii="IBM Plex Sans Arabic" w:hAnsi="IBM Plex Sans Arabic" w:cs="IBM Plex Sans Arabic"/>
                <w:rtl/>
              </w:rPr>
              <w:t>تحليل المنافسين</w:t>
            </w:r>
          </w:p>
        </w:tc>
        <w:tc>
          <w:tcPr>
            <w:tcW w:type="dxa" w:w="3120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pPr>
              <w:bidi/>
              <w:jc w:val="start"/>
            </w:pPr>
            <w:r>
              <w:rPr>
                <w:rFonts w:ascii="IBM Plex Sans Arabic" w:hAnsi="IBM Plex Sans Arabic" w:cs="IBM Plex Sans Arabic"/>
                <w:rtl/>
              </w:rPr>
              <w:t>ناجحة</w:t>
            </w:r>
          </w:p>
        </w:tc>
        <w:tc>
          <w:tcPr>
            <w:tcW w:type="dxa" w:w="3120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pPr>
              <w:bidi/>
              <w:jc w:val="start"/>
            </w:pPr>
            <w:r>
              <w:rPr>
                <w:rFonts w:ascii="IBM Plex Sans Arabic" w:hAnsi="IBM Plex Sans Arabic" w:cs="IBM Plex Sans Arabic"/>
                <w:rtl/>
              </w:rPr>
              <w:t>HHI 2900 — سوق مركّز (‏تحت الرمز 040510‏)</w:t>
            </w:r>
          </w:p>
        </w:tc>
      </w:tr>
      <w:tr>
        <w:trPr>
          <w:cantSplit/>
        </w:trPr>
        <w:tc>
          <w:tcPr>
            <w:tcW w:type="dxa" w:w="3120"/>
            <w:tcMar>
              <w:top w:w="100" w:type="dxa"/>
              <w:bottom w:w="100" w:type="dxa"/>
              <w:left w:w="120" w:type="dxa"/>
              <w:right w:w="120" w:type="dxa"/>
            </w:tcMar>
            <w:shd w:val="clear" w:fill="F2F7F3"/>
          </w:tcPr>
          <w:p>
            <w:pPr>
              <w:bidi/>
              <w:jc w:val="start"/>
            </w:pPr>
            <w:r>
              <w:rPr>
                <w:rFonts w:ascii="IBM Plex Sans Arabic" w:hAnsi="IBM Plex Sans Arabic" w:cs="IBM Plex Sans Arabic"/>
                <w:rtl/>
              </w:rPr>
              <w:t>اتجاهات الطلب والموسمية</w:t>
            </w:r>
          </w:p>
        </w:tc>
        <w:tc>
          <w:tcPr>
            <w:tcW w:type="dxa" w:w="3120"/>
            <w:tcMar>
              <w:top w:w="100" w:type="dxa"/>
              <w:bottom w:w="100" w:type="dxa"/>
              <w:left w:w="120" w:type="dxa"/>
              <w:right w:w="120" w:type="dxa"/>
            </w:tcMar>
            <w:shd w:val="clear" w:fill="F2F7F3"/>
          </w:tcPr>
          <w:p>
            <w:pPr>
              <w:bidi/>
              <w:jc w:val="start"/>
            </w:pPr>
            <w:r>
              <w:rPr>
                <w:rFonts w:ascii="IBM Plex Sans Arabic" w:hAnsi="IBM Plex Sans Arabic" w:cs="IBM Plex Sans Arabic"/>
                <w:rtl/>
              </w:rPr>
              <w:t>ناجحة</w:t>
            </w:r>
          </w:p>
        </w:tc>
        <w:tc>
          <w:tcPr>
            <w:tcW w:type="dxa" w:w="3120"/>
            <w:tcMar>
              <w:top w:w="100" w:type="dxa"/>
              <w:bottom w:w="100" w:type="dxa"/>
              <w:left w:w="120" w:type="dxa"/>
              <w:right w:w="120" w:type="dxa"/>
            </w:tcMar>
            <w:shd w:val="clear" w:fill="F2F7F3"/>
          </w:tcPr>
          <w:p>
            <w:pPr>
              <w:bidi/>
              <w:jc w:val="start"/>
            </w:pPr>
            <w:r>
              <w:rPr>
                <w:rFonts w:ascii="IBM Plex Sans Arabic" w:hAnsi="IBM Plex Sans Arabic" w:cs="IBM Plex Sans Arabic"/>
                <w:rtl/>
              </w:rPr>
              <w:t>بيانات طلب محدودة</w:t>
            </w:r>
          </w:p>
        </w:tc>
      </w:tr>
      <w:tr>
        <w:trPr>
          <w:cantSplit/>
        </w:trPr>
        <w:tc>
          <w:tcPr>
            <w:tcW w:type="dxa" w:w="3120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pPr>
              <w:bidi/>
              <w:jc w:val="start"/>
            </w:pPr>
            <w:r>
              <w:rPr>
                <w:rFonts w:ascii="IBM Plex Sans Arabic" w:hAnsi="IBM Plex Sans Arabic" w:cs="IBM Plex Sans Arabic"/>
                <w:rtl/>
              </w:rPr>
              <w:t>الديموغرافيا والاقتصاد الكلي</w:t>
            </w:r>
          </w:p>
        </w:tc>
        <w:tc>
          <w:tcPr>
            <w:tcW w:type="dxa" w:w="3120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pPr>
              <w:bidi/>
              <w:jc w:val="start"/>
            </w:pPr>
            <w:r>
              <w:rPr>
                <w:rFonts w:ascii="IBM Plex Sans Arabic" w:hAnsi="IBM Plex Sans Arabic" w:cs="IBM Plex Sans Arabic"/>
                <w:rtl/>
              </w:rPr>
              <w:t>ناجحة</w:t>
            </w:r>
          </w:p>
        </w:tc>
        <w:tc>
          <w:tcPr>
            <w:tcW w:type="dxa" w:w="3120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pPr>
              <w:bidi/>
              <w:jc w:val="start"/>
            </w:pPr>
            <w:r>
              <w:rPr>
                <w:rFonts w:ascii="IBM Plex Sans Arabic" w:hAnsi="IBM Plex Sans Arabic" w:cs="IBM Plex Sans Arabic"/>
                <w:rtl/>
              </w:rPr>
              <w:t>دخل فرد مرتفع نسبياً (‏2021‏)</w:t>
            </w:r>
          </w:p>
        </w:tc>
      </w:tr>
      <w:tr>
        <w:trPr>
          <w:cantSplit/>
        </w:trPr>
        <w:tc>
          <w:tcPr>
            <w:tcW w:type="dxa" w:w="3120"/>
            <w:tcMar>
              <w:top w:w="100" w:type="dxa"/>
              <w:bottom w:w="100" w:type="dxa"/>
              <w:left w:w="120" w:type="dxa"/>
              <w:right w:w="120" w:type="dxa"/>
            </w:tcMar>
            <w:shd w:val="clear" w:fill="F2F7F3"/>
          </w:tcPr>
          <w:p>
            <w:pPr>
              <w:bidi/>
              <w:jc w:val="start"/>
            </w:pPr>
            <w:r>
              <w:rPr>
                <w:rFonts w:ascii="IBM Plex Sans Arabic" w:hAnsi="IBM Plex Sans Arabic" w:cs="IBM Plex Sans Arabic"/>
                <w:rtl/>
              </w:rPr>
              <w:t>تقييم المخاطر والمستجدات</w:t>
            </w:r>
          </w:p>
        </w:tc>
        <w:tc>
          <w:tcPr>
            <w:tcW w:type="dxa" w:w="3120"/>
            <w:tcMar>
              <w:top w:w="100" w:type="dxa"/>
              <w:bottom w:w="100" w:type="dxa"/>
              <w:left w:w="120" w:type="dxa"/>
              <w:right w:w="120" w:type="dxa"/>
            </w:tcMar>
            <w:shd w:val="clear" w:fill="F2F7F3"/>
          </w:tcPr>
          <w:p>
            <w:pPr>
              <w:bidi/>
              <w:jc w:val="start"/>
            </w:pPr>
            <w:r>
              <w:rPr>
                <w:rFonts w:ascii="IBM Plex Sans Arabic" w:hAnsi="IBM Plex Sans Arabic" w:cs="IBM Plex Sans Arabic"/>
                <w:rtl/>
              </w:rPr>
              <w:t>ناجحة</w:t>
            </w:r>
          </w:p>
        </w:tc>
        <w:tc>
          <w:tcPr>
            <w:tcW w:type="dxa" w:w="3120"/>
            <w:tcMar>
              <w:top w:w="100" w:type="dxa"/>
              <w:bottom w:w="100" w:type="dxa"/>
              <w:left w:w="120" w:type="dxa"/>
              <w:right w:w="120" w:type="dxa"/>
            </w:tcMar>
            <w:shd w:val="clear" w:fill="F2F7F3"/>
          </w:tcPr>
          <w:p>
            <w:pPr>
              <w:bidi/>
              <w:jc w:val="start"/>
            </w:pPr>
            <w:r>
              <w:rPr>
                <w:rFonts w:ascii="IBM Plex Sans Arabic" w:hAnsi="IBM Plex Sans Arabic" w:cs="IBM Plex Sans Arabic"/>
                <w:rtl/>
              </w:rPr>
              <w:t>استقرار سياسي مرتفع نسبياً</w:t>
            </w:r>
          </w:p>
        </w:tc>
      </w:tr>
    </w:tbl>
    <w:p>
      <w:pPr>
        <w:pStyle w:val="Heading2"/>
        <w:bidi/>
        <w:jc w:val="start"/>
      </w:pPr>
      <w:r>
        <w:rPr>
          <w:rFonts w:ascii="IBM Plex Sans Arabic" w:hAnsi="IBM Plex Sans Arabic" w:cs="IBM Plex Sans Arabic"/>
          <w:rtl/>
        </w:rPr>
        <w:t>التقرير الكامل (كاتب التقرير، مراجَع)</w:t>
      </w:r>
    </w:p>
    <w:p>
      <w:pPr>
        <w:pStyle w:val="Heading3"/>
        <w:bidi/>
        <w:jc w:val="start"/>
      </w:pPr>
      <w:r>
        <w:rPr>
          <w:rFonts w:ascii="IBM Plex Sans Arabic" w:hAnsi="IBM Plex Sans Arabic" w:cs="IBM Plex Sans Arabic"/>
          <w:rtl/>
        </w:rPr>
        <w:t>1. الخلاصة التنفيذية</w:t>
      </w:r>
    </w:p>
    <w:p>
      <w:pPr>
        <w:bidi/>
        <w:jc w:val="start"/>
      </w:pPr>
      <w:r>
        <w:rPr>
          <w:rFonts w:ascii="IBM Plex Sans Arabic" w:hAnsi="IBM Plex Sans Arabic" w:cs="IBM Plex Sans Arabic"/>
          <w:rtl/>
        </w:rPr>
        <w:t>الحكم مراقبة السوق بدرجة ثقة منخفضة (‏50%‏). واردات الكويت من الزبدة (‏رمز 040510‏) نحو 9 مليون</w:t>
      </w:r>
    </w:p>
    <w:p>
      <w:pPr>
        <w:bidi/>
        <w:jc w:val="start"/>
      </w:pPr>
      <w:r>
        <w:rPr>
          <w:rFonts w:ascii="IBM Plex Sans Arabic" w:hAnsi="IBM Plex Sans Arabic" w:cs="IBM Plex Sans Arabic"/>
          <w:rtl/>
        </w:rPr>
        <w:t>دولار، والمشهد مركّز (HHI (‏مؤشر يقيس تركّز السوق بين المورّدين: فوق 2500 تركّز مرتفع‏) 2900).</w:t>
      </w:r>
    </w:p>
    <w:p>
      <w:pPr>
        <w:pStyle w:val="Heading3"/>
        <w:bidi/>
        <w:jc w:val="start"/>
      </w:pPr>
      <w:r>
        <w:rPr>
          <w:rFonts w:ascii="IBM Plex Sans Arabic" w:hAnsi="IBM Plex Sans Arabic" w:cs="IBM Plex Sans Arabic"/>
          <w:rtl/>
        </w:rPr>
        <w:t>2. منهجية البحث ونطاقه</w:t>
      </w:r>
    </w:p>
    <w:p>
      <w:pPr>
        <w:pStyle w:val="Heading4"/>
        <w:bidi/>
        <w:jc w:val="start"/>
      </w:pPr>
      <w:r>
        <w:rPr>
          <w:rFonts w:ascii="IBM Plex Sans Arabic" w:hAnsi="IBM Plex Sans Arabic" w:cs="IBM Plex Sans Arabic"/>
          <w:rtl/>
        </w:rPr>
        <w:t>حدود المنهجية وجودة البيانات</w:t>
      </w:r>
    </w:p>
    <w:p>
      <w:pPr>
        <w:pStyle w:val="ListBullet"/>
        <w:bidi/>
        <w:jc w:val="start"/>
      </w:pPr>
      <w:r>
        <w:rPr>
          <w:rFonts w:ascii="IBM Plex Sans Arabic" w:hAnsi="IBM Plex Sans Arabic" w:cs="IBM Plex Sans Arabic"/>
          <w:rtl/>
        </w:rPr>
        <w:t>النص يحيل إلى «الملاحظة المنهجية» لكن لا ملاحظة/قسم بهذا المضمون موجود فعلياً في التقرير</w:t>
      </w:r>
    </w:p>
    <w:p>
      <w:pPr>
        <w:pStyle w:val="ListBullet"/>
        <w:bidi/>
        <w:jc w:val="start"/>
      </w:pPr>
      <w:r>
        <w:rPr>
          <w:rFonts w:ascii="IBM Plex Sans Arabic" w:hAnsi="IBM Plex Sans Arabic" w:cs="IBM Plex Sans Arabic"/>
          <w:rtl/>
        </w:rPr>
        <w:t>بعثة 'تقييم المخاطر والمستجدات' نجحت لكن بلا نتائج مستشهَد بها — استقرار سياسي مرتفع نسبياً</w:t>
      </w:r>
    </w:p>
    <w:p>
      <w:pPr>
        <w:bidi/>
        <w:jc w:val="start"/>
      </w:pPr>
      <w:r>
        <w:rPr>
          <w:rFonts w:ascii="IBM Plex Sans Arabic" w:hAnsi="IBM Plex Sans Arabic" w:cs="IBM Plex Sans Arabic"/>
          <w:rtl/>
        </w:rPr>
        <w:t>اثنتا عشرة بعثة بحث، ثم محلّل شامل فكاتب التقرير. رمز HS المستخدم 040510،</w:t>
      </w:r>
    </w:p>
    <w:p>
      <w:pPr>
        <w:bidi/>
        <w:jc w:val="start"/>
      </w:pPr>
      <w:r>
        <w:rPr>
          <w:rFonts w:ascii="IBM Plex Sans Arabic" w:hAnsi="IBM Plex Sans Arabic" w:cs="IBM Plex Sans Arabic"/>
          <w:rtl/>
        </w:rPr>
        <w:t>بينما العائلة الأدقّ لهذا المنتج هي البند 2008 (محضرات الفول السوداني) — انظر</w:t>
      </w:r>
    </w:p>
    <w:p>
      <w:pPr>
        <w:bidi/>
        <w:jc w:val="start"/>
      </w:pPr>
      <w:r>
        <w:rPr>
          <w:rFonts w:ascii="IBM Plex Sans Arabic" w:hAnsi="IBM Plex Sans Arabic" w:cs="IBM Plex Sans Arabic"/>
          <w:rtl/>
        </w:rPr>
        <w:t>الملاحظة المنهجية.</w:t>
      </w:r>
    </w:p>
    <w:p>
      <w:pPr>
        <w:pStyle w:val="Heading3"/>
        <w:bidi/>
        <w:jc w:val="start"/>
      </w:pPr>
      <w:r>
        <w:rPr>
          <w:rFonts w:ascii="IBM Plex Sans Arabic" w:hAnsi="IBM Plex Sans Arabic" w:cs="IBM Plex Sans Arabic"/>
          <w:rtl/>
        </w:rPr>
        <w:t>3. نظرة عامة على السوق وحجمه</w:t>
      </w:r>
    </w:p>
    <w:p>
      <w:pPr>
        <w:bidi/>
        <w:jc w:val="start"/>
      </w:pPr>
      <w:r>
        <w:rPr>
          <w:rFonts w:ascii="IBM Plex Sans Arabic" w:hAnsi="IBM Plex Sans Arabic" w:cs="IBM Plex Sans Arabic"/>
          <w:rtl/>
        </w:rPr>
        <w:t>واردات 2023 نحو 9 مليون دولار وفق UN Comtrade تحت الرمز 040510.</w:t>
      </w:r>
    </w:p>
    <w:p>
      <w:pPr>
        <w:pStyle w:val="Heading3"/>
        <w:bidi/>
        <w:jc w:val="start"/>
      </w:pPr>
      <w:r>
        <w:rPr>
          <w:rFonts w:ascii="IBM Plex Sans Arabic" w:hAnsi="IBM Plex Sans Arabic" w:cs="IBM Plex Sans Arabic"/>
          <w:rtl/>
        </w:rPr>
        <w:t>4. ديناميكيات السوق</w:t>
      </w:r>
    </w:p>
    <w:p>
      <w:pPr>
        <w:bidi/>
        <w:jc w:val="start"/>
      </w:pPr>
      <w:r>
        <w:rPr>
          <w:rFonts w:ascii="IBM Plex Sans Arabic" w:hAnsi="IBM Plex Sans Arabic" w:cs="IBM Plex Sans Arabic"/>
          <w:rtl/>
        </w:rPr>
        <w:t>نمو سنوي مركّب (CAGR (متوسط النمو السنوي المركّب)) 5% على مدى ثلاث سنوات.</w:t>
      </w:r>
    </w:p>
    <w:p>
      <w:pPr>
        <w:pStyle w:val="Heading3"/>
        <w:bidi/>
        <w:jc w:val="start"/>
      </w:pPr>
      <w:r>
        <w:rPr>
          <w:rFonts w:ascii="IBM Plex Sans Arabic" w:hAnsi="IBM Plex Sans Arabic" w:cs="IBM Plex Sans Arabic"/>
          <w:rtl/>
        </w:rPr>
        <w:t>5. تحليل المستهلك والطلب</w:t>
      </w:r>
    </w:p>
    <w:p>
      <w:pPr>
        <w:bidi/>
        <w:jc w:val="start"/>
      </w:pPr>
      <w:r>
        <w:rPr>
          <w:rFonts w:ascii="IBM Plex Sans Arabic" w:hAnsi="IBM Plex Sans Arabic" w:cs="IBM Plex Sans Arabic"/>
          <w:rtl/>
        </w:rPr>
        <w:t>دخل الفرد مرتفع نسبياً في الكويت. الطلب على «زبدة الفول السوداني» محدود</w:t>
      </w:r>
    </w:p>
    <w:p>
      <w:pPr>
        <w:bidi/>
        <w:jc w:val="start"/>
      </w:pPr>
      <w:r>
        <w:rPr>
          <w:rFonts w:ascii="IBM Plex Sans Arabic" w:hAnsi="IBM Plex Sans Arabic" w:cs="IBM Plex Sans Arabic"/>
          <w:rtl/>
        </w:rPr>
        <w:t>البيانات من Trends.</w:t>
      </w:r>
    </w:p>
    <w:p>
      <w:pPr>
        <w:pStyle w:val="Heading3"/>
        <w:bidi/>
        <w:jc w:val="start"/>
      </w:pPr>
      <w:r>
        <w:rPr>
          <w:rFonts w:ascii="IBM Plex Sans Arabic" w:hAnsi="IBM Plex Sans Arabic" w:cs="IBM Plex Sans Arabic"/>
          <w:rtl/>
        </w:rPr>
        <w:t>6. المشهد التنافسي</w:t>
      </w:r>
    </w:p>
    <w:p>
      <w:pPr>
        <w:bidi/>
        <w:jc w:val="start"/>
      </w:pPr>
      <w:r>
        <w:rPr>
          <w:rFonts w:ascii="IBM Plex Sans Arabic" w:hAnsi="IBM Plex Sans Arabic" w:cs="IBM Plex Sans Arabic"/>
          <w:rtl/>
        </w:rPr>
        <w:t>مورّدون: الإمارات، مصر، تركيا. مؤشر التركّز HHI = 2900 (سوق مركّز).</w:t>
      </w:r>
    </w:p>
    <w:p>
      <w:pPr>
        <w:bidi/>
        <w:jc w:val="start"/>
      </w:pPr>
      <w:r>
        <w:rPr>
          <w:rFonts w:ascii="IBM Plex Sans Arabic" w:hAnsi="IBM Plex Sans Arabic" w:cs="IBM Plex Sans Arabic"/>
          <w:rtl/>
        </w:rPr>
        <w:t>متوسط سعر الاستيراد الرسمي (‏UN Comtrade‏) نحو 6 دولار/كجم — مؤشر سياقي لفئة</w:t>
      </w:r>
    </w:p>
    <w:p>
      <w:pPr>
        <w:bidi/>
        <w:jc w:val="start"/>
      </w:pPr>
      <w:r>
        <w:rPr>
          <w:rFonts w:ascii="IBM Plex Sans Arabic" w:hAnsi="IBM Plex Sans Arabic" w:cs="IBM Plex Sans Arabic"/>
          <w:rtl/>
        </w:rPr>
        <w:t>مجاورة، بينما رُصد سعر تجزئة فعلي نحو 0.67 دولار/كجم لمنتج مشابه في السوق</w:t>
      </w:r>
    </w:p>
    <w:p>
      <w:pPr>
        <w:bidi/>
        <w:jc w:val="start"/>
      </w:pPr>
      <w:r>
        <w:rPr>
          <w:rFonts w:ascii="IBM Plex Sans Arabic" w:hAnsi="IBM Plex Sans Arabic" w:cs="IBM Plex Sans Arabic"/>
          <w:rtl/>
        </w:rPr>
        <w:t>المحلي؛ التناقض متوقَّع لكون رقم الاستيراد محسوباً لفئة كومتريد مجاورة لا</w:t>
      </w:r>
    </w:p>
    <w:p>
      <w:pPr>
        <w:bidi/>
        <w:jc w:val="start"/>
      </w:pPr>
      <w:r>
        <w:rPr>
          <w:rFonts w:ascii="IBM Plex Sans Arabic" w:hAnsi="IBM Plex Sans Arabic" w:cs="IBM Plex Sans Arabic"/>
          <w:rtl/>
        </w:rPr>
        <w:t>لهذا المنتج تحديداً — لا يُصلَح برقمٍ مختلَق.</w:t>
      </w:r>
    </w:p>
    <w:p>
      <w:pPr>
        <w:pStyle w:val="Heading3"/>
        <w:bidi/>
        <w:jc w:val="start"/>
      </w:pPr>
      <w:r>
        <w:rPr>
          <w:rFonts w:ascii="IBM Plex Sans Arabic" w:hAnsi="IBM Plex Sans Arabic" w:cs="IBM Plex Sans Arabic"/>
          <w:rtl/>
        </w:rPr>
        <w:t>7. التنظيم والوصول للسوق</w:t>
      </w:r>
    </w:p>
    <w:p>
      <w:pPr>
        <w:bidi/>
        <w:jc w:val="start"/>
      </w:pPr>
      <w:r>
        <w:rPr>
          <w:rFonts w:ascii="IBM Plex Sans Arabic" w:hAnsi="IBM Plex Sans Arabic" w:cs="IBM Plex Sans Arabic"/>
          <w:rtl/>
        </w:rPr>
        <w:t>اشتراطات استيراد خليجية عامة؛ لا لائحة مرقّمة مرصودة لهذا الرمز تحديداً.</w:t>
      </w:r>
    </w:p>
    <w:p>
      <w:pPr>
        <w:pStyle w:val="Heading3"/>
        <w:bidi/>
        <w:jc w:val="start"/>
      </w:pPr>
      <w:r>
        <w:rPr>
          <w:rFonts w:ascii="IBM Plex Sans Arabic" w:hAnsi="IBM Plex Sans Arabic" w:cs="IBM Plex Sans Arabic"/>
          <w:rtl/>
        </w:rPr>
        <w:t>8. اللوجستيات وسلسلة الإمداد</w:t>
      </w:r>
    </w:p>
    <w:p>
      <w:pPr>
        <w:bidi/>
        <w:jc w:val="start"/>
      </w:pPr>
      <w:r>
        <w:rPr>
          <w:rFonts w:ascii="IBM Plex Sans Arabic" w:hAnsi="IBM Plex Sans Arabic" w:cs="IBM Plex Sans Arabic"/>
          <w:rtl/>
        </w:rPr>
        <w:t>شحن بحري عبر ميناء الشويخ.</w:t>
      </w:r>
    </w:p>
    <w:p>
      <w:pPr>
        <w:pStyle w:val="Heading3"/>
        <w:bidi/>
        <w:jc w:val="start"/>
      </w:pPr>
      <w:r>
        <w:rPr>
          <w:rFonts w:ascii="IBM Plex Sans Arabic" w:hAnsi="IBM Plex Sans Arabic" w:cs="IBM Plex Sans Arabic"/>
          <w:rtl/>
        </w:rPr>
        <w:t>9. تقييم المخاطر</w:t>
      </w:r>
    </w:p>
    <w:p>
      <w:pPr>
        <w:bidi/>
        <w:jc w:val="start"/>
      </w:pPr>
      <w:r>
        <w:rPr>
          <w:rFonts w:ascii="IBM Plex Sans Arabic" w:hAnsi="IBM Plex Sans Arabic" w:cs="IBM Plex Sans Arabic"/>
          <w:rtl/>
        </w:rPr>
        <w:t>استقرار سياسي مرتفع نسبياً؛ مخاطر تركّز الموردين معلَّمة بسبب الرمز.</w:t>
      </w:r>
    </w:p>
    <w:p>
      <w:pPr>
        <w:pStyle w:val="Heading3"/>
        <w:bidi/>
        <w:jc w:val="start"/>
      </w:pPr>
      <w:r>
        <w:rPr>
          <w:rFonts w:ascii="IBM Plex Sans Arabic" w:hAnsi="IBM Plex Sans Arabic" w:cs="IBM Plex Sans Arabic"/>
          <w:rtl/>
        </w:rPr>
        <w:t>10. التوصيات الاستراتيجية</w:t>
      </w:r>
    </w:p>
    <w:p>
      <w:pPr>
        <w:bidi/>
        <w:jc w:val="start"/>
      </w:pPr>
      <w:r>
        <w:rPr>
          <w:rFonts w:ascii="IBM Plex Sans Arabic" w:hAnsi="IBM Plex Sans Arabic" w:cs="IBM Plex Sans Arabic"/>
          <w:rtl/>
        </w:rPr>
        <w:t>ينبغي التعامل مع أرقام الاستيراد كمؤشر سياقي لا كمقياس مباشر حتى تأكيد الرمز.</w:t>
      </w:r>
    </w:p>
    <w:p>
      <w:pPr>
        <w:pStyle w:val="Heading4"/>
        <w:bidi/>
        <w:jc w:val="start"/>
      </w:pPr>
      <w:r>
        <w:rPr>
          <w:rFonts w:ascii="IBM Plex Sans Arabic" w:hAnsi="IBM Plex Sans Arabic" w:cs="IBM Plex Sans Arabic"/>
          <w:rtl/>
        </w:rPr>
        <w:t>خارطة طريق الدخول (٩٠ يوماً)</w:t>
      </w:r>
    </w:p>
    <w:p>
      <w:pPr>
        <w:bidi/>
        <w:jc w:val="start"/>
      </w:pPr>
      <w:r>
        <w:rPr>
          <w:rFonts w:ascii="IBM Plex Sans Arabic" w:hAnsi="IBM Plex Sans Arabic" w:cs="IBM Plex Sans Arabic"/>
          <w:rtl/>
        </w:rPr>
        <w:t>1. الحصول على بيانات استيراد تحت الرمز الصحيح. 2. تعاقد مع موزّع محلي مؤكَّد.</w:t>
      </w:r>
    </w:p>
    <w:p>
      <w:pPr>
        <w:pStyle w:val="Heading3"/>
        <w:bidi/>
        <w:jc w:val="start"/>
      </w:pPr>
      <w:r>
        <w:rPr>
          <w:rFonts w:ascii="IBM Plex Sans Arabic" w:hAnsi="IBM Plex Sans Arabic" w:cs="IBM Plex Sans Arabic"/>
          <w:rtl/>
        </w:rPr>
        <w:t>11. الملاحق</w:t>
      </w:r>
    </w:p>
    <w:p>
      <w:pPr>
        <w:bidi/>
        <w:jc w:val="start"/>
      </w:pPr>
      <w:r>
        <w:rPr>
          <w:rFonts w:ascii="IBM Plex Sans Arabic" w:hAnsi="IBM Plex Sans Arabic" w:cs="IBM Plex Sans Arabic"/>
          <w:rtl/>
        </w:rPr>
        <w:t>UN Comtrade, World Bank, Google Maps.</w:t>
      </w:r>
    </w:p>
    <w:p>
      <w:pPr>
        <w:pStyle w:val="Heading2"/>
        <w:bidi/>
        <w:jc w:val="start"/>
      </w:pPr>
      <w:r>
        <w:rPr>
          <w:rFonts w:ascii="IBM Plex Sans Arabic" w:hAnsi="IBM Plex Sans Arabic" w:cs="IBM Plex Sans Arabic"/>
          <w:rtl/>
        </w:rPr>
        <w:t>مسرد المصطلحات</w:t>
      </w:r>
    </w:p>
    <w:p>
      <w:pPr>
        <w:pStyle w:val="ListBullet"/>
        <w:bidi/>
        <w:jc w:val="start"/>
      </w:pPr>
      <w:r>
        <w:rPr>
          <w:rFonts w:ascii="IBM Plex Sans Arabic" w:hAnsi="IBM Plex Sans Arabic" w:cs="IBM Plex Sans Arabic"/>
          <w:rtl/>
        </w:rPr>
        <w:t>HHI: مؤشر يقيس تركّز السوق بين المورّدين: فوق 2500 تركّز مرتفع</w:t>
      </w:r>
    </w:p>
    <w:p>
      <w:pPr>
        <w:pStyle w:val="ListBullet"/>
        <w:bidi/>
        <w:jc w:val="start"/>
      </w:pPr>
      <w:r>
        <w:rPr>
          <w:rFonts w:ascii="IBM Plex Sans Arabic" w:hAnsi="IBM Plex Sans Arabic" w:cs="IBM Plex Sans Arabic"/>
          <w:rtl/>
        </w:rPr>
        <w:t>CAGR: متوسط النمو السنوي المركّب</w:t>
      </w:r>
    </w:p>
    <w:p>
      <w:pPr>
        <w:pStyle w:val="Heading2"/>
        <w:bidi/>
        <w:jc w:val="start"/>
      </w:pPr>
      <w:r>
        <w:rPr>
          <w:rFonts w:ascii="IBM Plex Sans Arabic" w:hAnsi="IBM Plex Sans Arabic" w:cs="IBM Plex Sans Arabic"/>
          <w:rtl/>
        </w:rPr>
        <w:t>قائمة مستوردين وموزعين قابلين للتواصل</w:t>
      </w:r>
    </w:p>
    <w:p>
      <w:pPr>
        <w:bidi/>
        <w:jc w:val="start"/>
      </w:pPr>
      <w:r>
        <w:rPr>
          <w:rFonts w:ascii="IBM Plex Sans Arabic" w:hAnsi="IBM Plex Sans Arabic" w:cs="IBM Plex Sans Arabic"/>
          <w:rtl/>
        </w:rPr>
        <w:t>لا جهات اتصال قابلة للتواصل في هذه الدراسة — القائمة غير متاحة</w:t>
      </w:r>
    </w:p>
    <w:p>
      <w:pPr>
        <w:pStyle w:val="Heading2"/>
        <w:bidi/>
        <w:jc w:val="start"/>
      </w:pPr>
      <w:r>
        <w:rPr>
          <w:rFonts w:ascii="IBM Plex Sans Arabic" w:hAnsi="IBM Plex Sans Arabic" w:cs="IBM Plex Sans Arabic"/>
          <w:rtl/>
        </w:rPr>
        <w:t>ملحق — الأدلة الرقمية الداعمة للتقاطعات الخمسة</w:t>
      </w:r>
    </w:p>
    <w:p>
      <w:pPr>
        <w:pStyle w:val="IntenseQuote"/>
        <w:bidi/>
        <w:jc w:val="start"/>
      </w:pPr>
      <w:r>
        <w:rPr>
          <w:rFonts w:ascii="IBM Plex Sans Arabic" w:hAnsi="IBM Plex Sans Arabic" w:cs="IBM Plex Sans Arabic"/>
          <w:rtl/>
        </w:rPr>
        <w:t>كل نقطة أدناه هي الحقيقة الخام (بمصدرها) التي بُني عليها السرد أعلاه — للتحقق المباشر لا كبديل عنه.</w:t>
      </w:r>
    </w:p>
    <w:p>
      <w:pPr>
        <w:pStyle w:val="Heading3"/>
        <w:bidi/>
        <w:jc w:val="start"/>
      </w:pPr>
      <w:r>
        <w:rPr>
          <w:rFonts w:ascii="IBM Plex Sans Arabic" w:hAnsi="IBM Plex Sans Arabic" w:cs="IBM Plex Sans Arabic"/>
          <w:rtl/>
        </w:rPr>
        <w:t>الطلب الفعلي القابل للتوجيه</w:t>
      </w:r>
    </w:p>
    <w:p>
      <w:pPr>
        <w:pStyle w:val="ListBullet"/>
        <w:bidi/>
        <w:jc w:val="start"/>
      </w:pPr>
      <w:r>
        <w:rPr>
          <w:rFonts w:ascii="IBM Plex Sans Arabic" w:hAnsi="IBM Plex Sans Arabic" w:cs="IBM Plex Sans Arabic"/>
          <w:rtl/>
        </w:rPr>
        <w:t>9000000</w:t>
      </w:r>
    </w:p>
    <w:p>
      <w:pPr>
        <w:pStyle w:val="IntenseQuote"/>
        <w:bidi/>
        <w:jc w:val="start"/>
      </w:pPr>
      <w:r>
        <w:rPr>
          <w:rFonts w:ascii="IBM Plex Sans Arabic" w:hAnsi="IBM Plex Sans Arabic" w:cs="IBM Plex Sans Arabic"/>
          <w:rtl/>
        </w:rPr>
        <w:t>[‏UN Comtrade — ✓ موثّق‏] واردات تحت الرمز 040510</w:t>
      </w:r>
    </w:p>
    <w:p>
      <w:pPr>
        <w:pStyle w:val="Heading3"/>
        <w:bidi/>
        <w:jc w:val="start"/>
      </w:pPr>
      <w:r>
        <w:rPr>
          <w:rFonts w:ascii="IBM Plex Sans Arabic" w:hAnsi="IBM Plex Sans Arabic" w:cs="IBM Plex Sans Arabic"/>
          <w:rtl/>
        </w:rPr>
        <w:t>تكلفة وصعوبة الدخول</w:t>
      </w:r>
    </w:p>
    <w:p>
      <w:pPr>
        <w:bidi/>
        <w:jc w:val="start"/>
      </w:pPr>
      <w:r>
        <w:rPr>
          <w:rFonts w:ascii="IBM Plex Sans Arabic" w:hAnsi="IBM Plex Sans Arabic" w:cs="IBM Plex Sans Arabic"/>
          <w:rtl/>
        </w:rPr>
        <w:t>دليل هذا التقاطع غير متاح في هذا التشغيل — لم يُبنَ استنتاج</w:t>
      </w:r>
    </w:p>
    <w:p>
      <w:pPr>
        <w:pStyle w:val="Heading3"/>
        <w:bidi/>
        <w:jc w:val="start"/>
      </w:pPr>
      <w:r>
        <w:rPr>
          <w:rFonts w:ascii="IBM Plex Sans Arabic" w:hAnsi="IBM Plex Sans Arabic" w:cs="IBM Plex Sans Arabic"/>
          <w:rtl/>
        </w:rPr>
        <w:t>التنافسية السعرية</w:t>
      </w:r>
    </w:p>
    <w:p>
      <w:pPr>
        <w:pStyle w:val="ListBullet"/>
        <w:bidi/>
        <w:jc w:val="start"/>
      </w:pPr>
      <w:r>
        <w:rPr>
          <w:rFonts w:ascii="IBM Plex Sans Arabic" w:hAnsi="IBM Plex Sans Arabic" w:cs="IBM Plex Sans Arabic"/>
          <w:rtl/>
        </w:rPr>
        <w:t>0.67 دولار/كجم</w:t>
      </w:r>
    </w:p>
    <w:p>
      <w:pPr>
        <w:pStyle w:val="IntenseQuote"/>
        <w:bidi/>
        <w:jc w:val="start"/>
      </w:pPr>
      <w:r>
        <w:rPr>
          <w:rFonts w:ascii="IBM Plex Sans Arabic" w:hAnsi="IBM Plex Sans Arabic" w:cs="IBM Plex Sans Arabic"/>
          <w:rtl/>
        </w:rPr>
        <w:t>[‏Google Maps — ✓ موثّق‏] سعر تجزئة مرصود</w:t>
      </w:r>
    </w:p>
    <w:p>
      <w:pPr>
        <w:pStyle w:val="Heading3"/>
        <w:bidi/>
        <w:jc w:val="start"/>
      </w:pPr>
      <w:r>
        <w:rPr>
          <w:rFonts w:ascii="IBM Plex Sans Arabic" w:hAnsi="IBM Plex Sans Arabic" w:cs="IBM Plex Sans Arabic"/>
          <w:rtl/>
        </w:rPr>
        <w:t>أبواب الدخول الأكثر أماناً</w:t>
      </w:r>
    </w:p>
    <w:p>
      <w:pPr>
        <w:bidi/>
        <w:jc w:val="start"/>
      </w:pPr>
      <w:r>
        <w:rPr>
          <w:rFonts w:ascii="IBM Plex Sans Arabic" w:hAnsi="IBM Plex Sans Arabic" w:cs="IBM Plex Sans Arabic"/>
          <w:rtl/>
        </w:rPr>
        <w:t>دليل هذا التقاطع غير متاح في هذا التشغيل — لم يُبنَ استنتاج</w:t>
      </w:r>
    </w:p>
    <w:p>
      <w:pPr>
        <w:pStyle w:val="Heading3"/>
        <w:bidi/>
        <w:jc w:val="start"/>
      </w:pPr>
      <w:r>
        <w:rPr>
          <w:rFonts w:ascii="IBM Plex Sans Arabic" w:hAnsi="IBM Plex Sans Arabic" w:cs="IBM Plex Sans Arabic"/>
          <w:rtl/>
        </w:rPr>
        <w:t>SWOT من منظور المصدّر السعودي</w:t>
      </w:r>
    </w:p>
    <w:p>
      <w:pPr>
        <w:bidi/>
        <w:jc w:val="start"/>
      </w:pPr>
      <w:r>
        <w:rPr>
          <w:rFonts w:ascii="IBM Plex Sans Arabic" w:hAnsi="IBM Plex Sans Arabic" w:cs="IBM Plex Sans Arabic"/>
          <w:rtl/>
        </w:rPr>
        <w:t>دليل هذا التقاطع غير متاح في هذا التشغيل — لم يُبنَ استنتاج</w:t>
      </w:r>
    </w:p>
    <w:p>
      <w:pPr>
        <w:pStyle w:val="Heading2"/>
        <w:bidi/>
        <w:jc w:val="start"/>
      </w:pPr>
      <w:r>
        <w:rPr>
          <w:rFonts w:ascii="IBM Plex Sans Arabic" w:hAnsi="IBM Plex Sans Arabic" w:cs="IBM Plex Sans Arabic"/>
          <w:rtl/>
        </w:rPr>
        <w:t>شروط إعادة تقييم القرار</w:t>
      </w:r>
    </w:p>
    <w:p>
      <w:pPr>
        <w:pStyle w:val="ListBullet"/>
        <w:bidi/>
        <w:jc w:val="start"/>
      </w:pPr>
      <w:r>
        <w:rPr>
          <w:rFonts w:ascii="IBM Plex Sans Arabic" w:hAnsi="IBM Plex Sans Arabic" w:cs="IBM Plex Sans Arabic"/>
          <w:rtl/>
        </w:rPr>
        <w:t>توفّر بيانات استيراد موثوقة تحت رمز HS الصحيح — ○ غير محقَّق؛ يُغلَق عبر: إعادة تصنيف الرمز ثم سحب واردات كومتريد تحته</w:t>
      </w:r>
    </w:p>
    <w:p>
      <w:pPr>
        <w:pStyle w:val="ListBullet"/>
        <w:bidi/>
        <w:jc w:val="start"/>
      </w:pPr>
      <w:r>
        <w:rPr>
          <w:rFonts w:ascii="IBM Plex Sans Arabic" w:hAnsi="IBM Plex Sans Arabic" w:cs="IBM Plex Sans Arabic"/>
          <w:rtl/>
        </w:rPr>
        <w:t>التعاقد مع موزّع محلي مؤكَّد بالاسم في الكويت — ○ غير محقَّق؛ يُغلَق عبر: التحقق من نشاط الجهة واهتمامها بالمنتج، ثم الاتفاق على شروط التوزيع وتوثيق العقد</w:t>
      </w:r>
    </w:p>
    <w:p>
      <w:pPr>
        <w:pStyle w:val="Heading2"/>
        <w:bidi/>
        <w:jc w:val="start"/>
      </w:pPr>
      <w:r>
        <w:rPr>
          <w:rFonts w:ascii="IBM Plex Sans Arabic" w:hAnsi="IBM Plex Sans Arabic" w:cs="IBM Plex Sans Arabic"/>
          <w:rtl/>
        </w:rPr>
        <w:t>أسئلتك الحاسمة قبل القرار</w:t>
      </w:r>
    </w:p>
    <w:p>
      <w:pPr>
        <w:pStyle w:val="ListBullet"/>
        <w:bidi/>
        <w:jc w:val="start"/>
      </w:pPr>
      <w:r>
        <w:rPr>
          <w:rFonts w:ascii="IBM Plex Sans Arabic" w:hAnsi="IBM Plex Sans Arabic" w:cs="IBM Plex Sans Arabic"/>
          <w:rtl/>
        </w:rPr>
        <w:t>ما حجمُ هذا السوق فعلاً وهل ينمو؟ 9 مليون دولار (‏UN Comtrade 2023‏)</w:t>
      </w:r>
    </w:p>
    <w:p>
      <w:pPr>
        <w:pStyle w:val="ListBullet"/>
        <w:bidi/>
        <w:jc w:val="start"/>
      </w:pPr>
      <w:r>
        <w:rPr>
          <w:rFonts w:ascii="IBM Plex Sans Arabic" w:hAnsi="IBM Plex Sans Arabic" w:cs="IBM Plex Sans Arabic"/>
          <w:rtl/>
        </w:rPr>
        <w:t>من ينافسني فعلاً — منتجون أم وسطاء يعيدون التصدير؟ لم نعرفه بعد — كيف تعرفه: اطلب شهادةَ منشأٍ لثلاث شحناتٍ منافسةٍ من المستورد أو من بيانات جمركية مدفوعة</w:t>
      </w:r>
    </w:p>
    <w:p>
      <w:pPr>
        <w:pStyle w:val="ListBullet"/>
        <w:bidi/>
        <w:jc w:val="start"/>
      </w:pPr>
      <w:r>
        <w:rPr>
          <w:rFonts w:ascii="IBM Plex Sans Arabic" w:hAnsi="IBM Plex Sans Arabic" w:cs="IBM Plex Sans Arabic"/>
          <w:rtl/>
        </w:rPr>
        <w:t>هل لي ميزةُ تكلفةٍ حقيقية أم أنافس على السعر بلا سند؟ لم نعرفه بعد — كيف تعرفه: قارن سعرَ مدخلك الخام الفعلي بعرضٍ من مورّدٍ في بلد المنافس</w:t>
      </w:r>
    </w:p>
    <w:p>
      <w:pPr>
        <w:pStyle w:val="ListBullet"/>
        <w:bidi/>
        <w:jc w:val="start"/>
      </w:pPr>
      <w:r>
        <w:rPr>
          <w:rFonts w:ascii="IBM Plex Sans Arabic" w:hAnsi="IBM Plex Sans Arabic" w:cs="IBM Plex Sans Arabic"/>
          <w:rtl/>
        </w:rPr>
        <w:t>بكم أبيع للمصنع كي أنافس على الرف؟ بين 0.29 و0.5 دولار/كجم، إذا افترضنا الشحنَ والهوامشَ عند سيناريو المتوسط المعلن، والنطاقُ من السيناريوهين المنخفض والمرتفع</w:t>
      </w:r>
    </w:p>
    <w:p>
      <w:pPr>
        <w:pStyle w:val="ListBullet"/>
        <w:bidi/>
        <w:jc w:val="start"/>
      </w:pPr>
      <w:r>
        <w:rPr>
          <w:rFonts w:ascii="IBM Plex Sans Arabic" w:hAnsi="IBM Plex Sans Arabic" w:cs="IBM Plex Sans Arabic"/>
          <w:rtl/>
        </w:rPr>
        <w:t>ما الذي يمنع أوّلَ شحنةٍ من الدخول؟ ستة بنود</w:t>
      </w:r>
    </w:p>
    <w:p>
      <w:pPr>
        <w:pStyle w:val="ListBullet"/>
        <w:bidi/>
        <w:jc w:val="start"/>
      </w:pPr>
      <w:r>
        <w:rPr>
          <w:rFonts w:ascii="IBM Plex Sans Arabic" w:hAnsi="IBM Plex Sans Arabic" w:cs="IBM Plex Sans Arabic"/>
          <w:rtl/>
        </w:rPr>
        <w:t>ما حجمُ أوّل شحنةٍ معقولة؟ بين 13,365 و26,730 كجم، إذا افترضنا حمولة حاوية 40 قدماً المنشورة ÷ وزن كجم الواحد (‏1 كجم‏)؛ والنطاقُ من نصف حمولةٍ إلى حمولةٍ كاملة</w:t>
      </w:r>
    </w:p>
    <w:p>
      <w:pPr>
        <w:pStyle w:val="ListBullet"/>
        <w:bidi/>
        <w:jc w:val="start"/>
      </w:pPr>
      <w:r>
        <w:rPr>
          <w:rFonts w:ascii="IBM Plex Sans Arabic" w:hAnsi="IBM Plex Sans Arabic" w:cs="IBM Plex Sans Arabic"/>
          <w:rtl/>
        </w:rPr>
        <w:t>كم يتضاعف سعري من الحدود إلى الرف؟ لم نعرفه بعد — كيف تعرفه: ارصد سعرَ الرف لثلاثة منتجاتٍ منافسةٍ واقسمه على سعر الاستيراد المعلن</w:t>
      </w:r>
    </w:p>
    <w:p>
      <w:pPr>
        <w:pStyle w:val="ListBullet"/>
        <w:bidi/>
        <w:jc w:val="start"/>
      </w:pPr>
      <w:r>
        <w:rPr>
          <w:rFonts w:ascii="IBM Plex Sans Arabic" w:hAnsi="IBM Plex Sans Arabic" w:cs="IBM Plex Sans Arabic"/>
          <w:rtl/>
        </w:rPr>
        <w:t>بمَ أتمايز عن المعروض على الرف اليوم؟ لم نعرفه بعد — كيف تعرفه: صوّر رفَّ الفئة في ثلاثة متاجر واقرأ بطاقاتِ المنافسين</w:t>
      </w:r>
    </w:p>
    <w:p>
      <w:pPr>
        <w:pStyle w:val="Heading2"/>
        <w:bidi/>
        <w:jc w:val="start"/>
      </w:pPr>
      <w:r>
        <w:rPr>
          <w:rFonts w:ascii="IBM Plex Sans Arabic" w:hAnsi="IBM Plex Sans Arabic" w:cs="IBM Plex Sans Arabic"/>
          <w:rtl/>
        </w:rPr>
        <w:t>حدود قسم البحث العميق</w:t>
      </w:r>
    </w:p>
    <w:tbl>
      <w:tblPr>
        <w:tblStyle w:val="TableGrid"/>
        <w:tblW w:type="auto" w:w="0"/>
        <w:tblLayout w:type="fixed"/>
        <w:tblLook w:firstColumn="1" w:firstRow="1" w:lastColumn="0" w:lastRow="0" w:noHBand="0" w:noVBand="1" w:val="04A0"/>
        <w:tblBorders>
          <w:top w:val="single" w:sz="4" w:space="0" w:color="BBBBBB"/>
          <w:left w:val="single" w:sz="4" w:space="0" w:color="BBBBBB"/>
          <w:bottom w:val="single" w:sz="4" w:space="0" w:color="BBBBBB"/>
          <w:right w:val="single" w:sz="4" w:space="0" w:color="BBBBBB"/>
          <w:insideH w:val="single" w:sz="4" w:space="0" w:color="BBBBBB"/>
          <w:insideV w:val="single" w:sz="4" w:space="0" w:color="BBBBBB"/>
        </w:tblBorders>
        <w:bidiVisual/>
      </w:tblPr>
      <w:tblGrid>
        <w:gridCol w:w="2880"/>
        <w:gridCol w:w="2880"/>
        <w:gridCol w:w="2880"/>
      </w:tblGrid>
      <w:tr>
        <w:trPr>
          <w:cantSplit/>
          <w:tblHeader/>
        </w:trPr>
        <w:tc>
          <w:tcPr>
            <w:tcW w:type="dxa" w:w="3120"/>
            <w:shd w:val="clear" w:fill="166534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pPr>
              <w:bidi/>
              <w:jc w:val="start"/>
            </w:pPr>
            <w:r>
              <w:rPr>
                <w:rFonts w:ascii="IBM Plex Sans Arabic" w:hAnsi="IBM Plex Sans Arabic" w:cs="IBM Plex Sans Arabic"/>
                <w:b/>
                <w:color w:val="FFFFFF"/>
                <w:rtl/>
              </w:rPr>
              <w:t>المعطى</w:t>
            </w:r>
          </w:p>
        </w:tc>
        <w:tc>
          <w:tcPr>
            <w:tcW w:type="dxa" w:w="3120"/>
            <w:shd w:val="clear" w:fill="166534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pPr>
              <w:bidi/>
              <w:jc w:val="start"/>
            </w:pPr>
            <w:r>
              <w:rPr>
                <w:rFonts w:ascii="IBM Plex Sans Arabic" w:hAnsi="IBM Plex Sans Arabic" w:cs="IBM Plex Sans Arabic"/>
                <w:b/>
                <w:color w:val="FFFFFF"/>
                <w:rtl/>
              </w:rPr>
              <w:t>ما يلزم لإغلاقه</w:t>
            </w:r>
          </w:p>
        </w:tc>
        <w:tc>
          <w:tcPr>
            <w:tcW w:type="dxa" w:w="3120"/>
            <w:shd w:val="clear" w:fill="166534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pPr>
              <w:bidi/>
              <w:jc w:val="start"/>
            </w:pPr>
            <w:r>
              <w:rPr>
                <w:rFonts w:ascii="IBM Plex Sans Arabic" w:hAnsi="IBM Plex Sans Arabic" w:cs="IBM Plex Sans Arabic"/>
                <w:b/>
                <w:color w:val="FFFFFF"/>
                <w:rtl/>
              </w:rPr>
              <w:t>الحالة</w:t>
            </w:r>
          </w:p>
        </w:tc>
      </w:tr>
      <w:tr>
        <w:trPr>
          <w:cantSplit/>
        </w:trPr>
        <w:tc>
          <w:tcPr>
            <w:tcW w:type="dxa" w:w="3120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pPr>
              <w:bidi/>
              <w:jc w:val="start"/>
            </w:pPr>
            <w:r>
              <w:rPr>
                <w:rFonts w:ascii="IBM Plex Sans Arabic" w:hAnsi="IBM Plex Sans Arabic" w:cs="IBM Plex Sans Arabic"/>
                <w:rtl/>
              </w:rPr>
              <w:t>بيانات فئة مجاورة — مؤشر سياقي لا مقياس فعلي: رمز HS 040510 («زبدة (‏Butter‏)») لا يشمل صفة المنتج المميّزة (فول، سوداني)…</w:t>
            </w:r>
          </w:p>
        </w:tc>
        <w:tc>
          <w:tcPr>
            <w:tcW w:type="dxa" w:w="3120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pPr>
              <w:bidi/>
              <w:jc w:val="start"/>
            </w:pPr>
            <w:r>
              <w:rPr>
                <w:rFonts w:ascii="IBM Plex Sans Arabic" w:hAnsi="IBM Plex Sans Arabic" w:cs="IBM Plex Sans Arabic"/>
                <w:rtl/>
              </w:rPr>
              <w:t>—</w:t>
            </w:r>
          </w:p>
        </w:tc>
        <w:tc>
          <w:tcPr>
            <w:tcW w:type="dxa" w:w="3120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pPr>
              <w:bidi/>
              <w:jc w:val="start"/>
            </w:pPr>
            <w:r>
              <w:rPr>
                <w:rFonts w:ascii="IBM Plex Sans Arabic" w:hAnsi="IBM Plex Sans Arabic" w:cs="IBM Plex Sans Arabic"/>
                <w:rtl/>
              </w:rPr>
              <w:t>لم يُعرَف بعد</w:t>
            </w:r>
          </w:p>
        </w:tc>
      </w:tr>
      <w:tr>
        <w:trPr>
          <w:cantSplit/>
        </w:trPr>
        <w:tc>
          <w:tcPr>
            <w:tcW w:type="dxa" w:w="3120"/>
            <w:tcMar>
              <w:top w:w="100" w:type="dxa"/>
              <w:bottom w:w="100" w:type="dxa"/>
              <w:left w:w="120" w:type="dxa"/>
              <w:right w:w="120" w:type="dxa"/>
            </w:tcMar>
            <w:shd w:val="clear" w:fill="F2F7F3"/>
          </w:tcPr>
          <w:p>
            <w:pPr>
              <w:bidi/>
              <w:jc w:val="start"/>
            </w:pPr>
            <w:r>
              <w:rPr>
                <w:rFonts w:ascii="IBM Plex Sans Arabic" w:hAnsi="IBM Plex Sans Arabic" w:cs="IBM Plex Sans Arabic"/>
                <w:rtl/>
              </w:rPr>
              <w:t>الموسمية (رمضان/الأعياد) غير متاحة من مؤشرات البحث</w:t>
            </w:r>
          </w:p>
        </w:tc>
        <w:tc>
          <w:tcPr>
            <w:tcW w:type="dxa" w:w="3120"/>
            <w:tcMar>
              <w:top w:w="100" w:type="dxa"/>
              <w:bottom w:w="100" w:type="dxa"/>
              <w:left w:w="120" w:type="dxa"/>
              <w:right w:w="120" w:type="dxa"/>
            </w:tcMar>
            <w:shd w:val="clear" w:fill="F2F7F3"/>
          </w:tcPr>
          <w:p>
            <w:pPr>
              <w:bidi/>
              <w:jc w:val="start"/>
            </w:pPr>
            <w:r>
              <w:rPr>
                <w:rFonts w:ascii="IBM Plex Sans Arabic" w:hAnsi="IBM Plex Sans Arabic" w:cs="IBM Plex Sans Arabic"/>
                <w:rtl/>
              </w:rPr>
              <w:t>إغلاقها يتطلّب بحثاً ميدانياً أوّلياً (مقابلات موزّعين أو استبيان طلب موسمي)</w:t>
            </w:r>
          </w:p>
        </w:tc>
        <w:tc>
          <w:tcPr>
            <w:tcW w:type="dxa" w:w="3120"/>
            <w:tcMar>
              <w:top w:w="100" w:type="dxa"/>
              <w:bottom w:w="100" w:type="dxa"/>
              <w:left w:w="120" w:type="dxa"/>
              <w:right w:w="120" w:type="dxa"/>
            </w:tcMar>
            <w:shd w:val="clear" w:fill="F2F7F3"/>
          </w:tcPr>
          <w:p>
            <w:pPr>
              <w:bidi/>
              <w:jc w:val="start"/>
            </w:pPr>
            <w:r>
              <w:rPr>
                <w:rFonts w:ascii="IBM Plex Sans Arabic" w:hAnsi="IBM Plex Sans Arabic" w:cs="IBM Plex Sans Arabic"/>
                <w:rtl/>
              </w:rPr>
              <w:t>لم يُعرَف بعد</w:t>
            </w:r>
          </w:p>
        </w:tc>
      </w:tr>
      <w:tr>
        <w:trPr>
          <w:cantSplit/>
        </w:trPr>
        <w:tc>
          <w:tcPr>
            <w:tcW w:type="dxa" w:w="3120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pPr>
              <w:bidi/>
              <w:jc w:val="start"/>
            </w:pPr>
            <w:r>
              <w:rPr>
                <w:rFonts w:ascii="IBM Plex Sans Arabic" w:hAnsi="IBM Plex Sans Arabic" w:cs="IBM Plex Sans Arabic"/>
                <w:rtl/>
              </w:rPr>
              <w:t>المصدر «Google Trends» تعذّر جلب بياناته في هذه الدراسة — لم يُعتمد عليه ولا يُدرَج ضمن مصادر التقرير</w:t>
            </w:r>
          </w:p>
        </w:tc>
        <w:tc>
          <w:tcPr>
            <w:tcW w:type="dxa" w:w="3120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pPr>
              <w:bidi/>
              <w:jc w:val="start"/>
            </w:pPr>
            <w:r>
              <w:rPr>
                <w:rFonts w:ascii="IBM Plex Sans Arabic" w:hAnsi="IBM Plex Sans Arabic" w:cs="IBM Plex Sans Arabic"/>
                <w:rtl/>
              </w:rPr>
              <w:t>—</w:t>
            </w:r>
          </w:p>
        </w:tc>
        <w:tc>
          <w:tcPr>
            <w:tcW w:type="dxa" w:w="3120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pPr>
              <w:bidi/>
              <w:jc w:val="start"/>
            </w:pPr>
            <w:r>
              <w:rPr>
                <w:rFonts w:ascii="IBM Plex Sans Arabic" w:hAnsi="IBM Plex Sans Arabic" w:cs="IBM Plex Sans Arabic"/>
                <w:rtl/>
              </w:rPr>
              <w:t>لم يُعرَف بعد</w:t>
            </w:r>
          </w:p>
        </w:tc>
      </w:tr>
    </w:tbl>
    <w:p>
      <w:pPr>
        <w:bidi/>
        <w:jc w:val="start"/>
      </w:pPr>
      <w:r>
        <w:rPr>
          <w:rFonts w:ascii="IBM Plex Sans Arabic" w:hAnsi="IBM Plex Sans Arabic" w:cs="IBM Plex Sans Arabic"/>
          <w:rtl/>
        </w:rPr>
        <w:t>تفصيل الصفوف المختصَرة أعلاه:</w:t>
      </w:r>
    </w:p>
    <w:p>
      <w:pPr>
        <w:pStyle w:val="ListBullet"/>
        <w:bidi/>
        <w:jc w:val="start"/>
      </w:pPr>
      <w:r>
        <w:rPr>
          <w:rFonts w:ascii="IBM Plex Sans Arabic" w:hAnsi="IBM Plex Sans Arabic" w:cs="IBM Plex Sans Arabic"/>
          <w:rtl/>
        </w:rPr>
        <w:t>بيانات فئة مجاورة — مؤشر سياقي لا مقياس فعلي: رمز HS 040510 («زبدة (‏Butter‏)») لا يشمل صفة المنتج المميّزة (فول، سوداني) — تُقرأ أرقام الاستيراد والتركّز والحصص كمؤشر سياقي حتى تأكيد الرمز الصحيح</w:t>
      </w:r>
    </w:p>
    <w:p>
      <w:pPr>
        <w:pStyle w:val="Heading2"/>
        <w:bidi/>
        <w:jc w:val="start"/>
      </w:pPr>
      <w:r>
        <w:rPr>
          <w:rFonts w:ascii="IBM Plex Sans Arabic" w:hAnsi="IBM Plex Sans Arabic" w:cs="IBM Plex Sans Arabic"/>
          <w:rtl/>
        </w:rPr>
        <w:t>سجل الأدلة للمدققين</w:t>
      </w:r>
    </w:p>
    <w:p>
      <w:pPr>
        <w:pStyle w:val="IntenseQuote"/>
        <w:bidi/>
        <w:jc w:val="start"/>
      </w:pPr>
      <w:r>
        <w:rPr>
          <w:rFonts w:ascii="IBM Plex Sans Arabic" w:hAnsi="IBM Plex Sans Arabic" w:cs="IBM Plex Sans Arabic"/>
          <w:rtl/>
        </w:rPr>
        <w:t>لكل حقيقة مصدرها العمومي ورابطها (إن توفّر) وتاريخ جمعها وقوة دليلها (✓ موثّق، ◐ مُقدَّر، ○ غير متحقّق).</w:t>
      </w:r>
    </w:p>
    <w:tbl>
      <w:tblPr>
        <w:tblStyle w:val="TableGrid"/>
        <w:tblW w:type="auto" w:w="0"/>
        <w:tblLayout w:type="fixed"/>
        <w:tblLook w:firstColumn="1" w:firstRow="1" w:lastColumn="0" w:lastRow="0" w:noHBand="0" w:noVBand="1" w:val="04A0"/>
        <w:tblBorders>
          <w:top w:val="single" w:sz="4" w:space="0" w:color="BBBBBB"/>
          <w:left w:val="single" w:sz="4" w:space="0" w:color="BBBBBB"/>
          <w:bottom w:val="single" w:sz="4" w:space="0" w:color="BBBBBB"/>
          <w:right w:val="single" w:sz="4" w:space="0" w:color="BBBBBB"/>
          <w:insideH w:val="single" w:sz="4" w:space="0" w:color="BBBBBB"/>
          <w:insideV w:val="single" w:sz="4" w:space="0" w:color="BBBBBB"/>
        </w:tblBorders>
        <w:bidiVisual/>
      </w:tblPr>
      <w:tblGrid>
        <w:gridCol w:w="1728"/>
        <w:gridCol w:w="1728"/>
        <w:gridCol w:w="1728"/>
        <w:gridCol w:w="1728"/>
        <w:gridCol w:w="1728"/>
      </w:tblGrid>
      <w:tr>
        <w:trPr>
          <w:cantSplit/>
          <w:tblHeader/>
        </w:trPr>
        <w:tc>
          <w:tcPr>
            <w:tcW w:type="dxa" w:w="1872"/>
            <w:shd w:val="clear" w:fill="166534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pPr>
              <w:bidi/>
              <w:jc w:val="start"/>
            </w:pPr>
            <w:r>
              <w:rPr>
                <w:rFonts w:ascii="IBM Plex Sans Arabic" w:hAnsi="IBM Plex Sans Arabic" w:cs="IBM Plex Sans Arabic"/>
                <w:b/>
                <w:color w:val="FFFFFF"/>
                <w:rtl/>
              </w:rPr>
              <w:t>الحقيقة</w:t>
            </w:r>
          </w:p>
        </w:tc>
        <w:tc>
          <w:tcPr>
            <w:tcW w:type="dxa" w:w="1872"/>
            <w:shd w:val="clear" w:fill="166534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pPr>
              <w:bidi/>
              <w:jc w:val="start"/>
            </w:pPr>
            <w:r>
              <w:rPr>
                <w:rFonts w:ascii="IBM Plex Sans Arabic" w:hAnsi="IBM Plex Sans Arabic" w:cs="IBM Plex Sans Arabic"/>
                <w:b/>
                <w:color w:val="FFFFFF"/>
                <w:rtl/>
              </w:rPr>
              <w:t>المصدر</w:t>
            </w:r>
          </w:p>
        </w:tc>
        <w:tc>
          <w:tcPr>
            <w:tcW w:type="dxa" w:w="1872"/>
            <w:shd w:val="clear" w:fill="166534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pPr>
              <w:bidi/>
              <w:jc w:val="start"/>
            </w:pPr>
            <w:r>
              <w:rPr>
                <w:rFonts w:ascii="IBM Plex Sans Arabic" w:hAnsi="IBM Plex Sans Arabic" w:cs="IBM Plex Sans Arabic"/>
                <w:b/>
                <w:color w:val="FFFFFF"/>
                <w:rtl/>
              </w:rPr>
              <w:t>الرابط</w:t>
            </w:r>
          </w:p>
        </w:tc>
        <w:tc>
          <w:tcPr>
            <w:tcW w:type="dxa" w:w="1872"/>
            <w:shd w:val="clear" w:fill="166534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pPr>
              <w:bidi/>
              <w:jc w:val="start"/>
            </w:pPr>
            <w:r>
              <w:rPr>
                <w:rFonts w:ascii="IBM Plex Sans Arabic" w:hAnsi="IBM Plex Sans Arabic" w:cs="IBM Plex Sans Arabic"/>
                <w:b/>
                <w:color w:val="FFFFFF"/>
                <w:rtl/>
              </w:rPr>
              <w:t>تاريخ الجمع</w:t>
            </w:r>
          </w:p>
        </w:tc>
        <w:tc>
          <w:tcPr>
            <w:tcW w:type="dxa" w:w="1872"/>
            <w:shd w:val="clear" w:fill="166534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pPr>
              <w:bidi/>
              <w:jc w:val="start"/>
            </w:pPr>
            <w:r>
              <w:rPr>
                <w:rFonts w:ascii="IBM Plex Sans Arabic" w:hAnsi="IBM Plex Sans Arabic" w:cs="IBM Plex Sans Arabic"/>
                <w:b/>
                <w:color w:val="FFFFFF"/>
                <w:rtl/>
              </w:rPr>
              <w:t>قوة الدليل</w:t>
            </w:r>
          </w:p>
        </w:tc>
      </w:tr>
      <w:tr>
        <w:trPr>
          <w:cantSplit/>
        </w:trPr>
        <w:tc>
          <w:tcPr>
            <w:tcW w:type="dxa" w:w="1872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pPr>
              <w:bidi/>
              <w:jc w:val="start"/>
            </w:pPr>
            <w:r>
              <w:rPr>
                <w:rFonts w:ascii="IBM Plex Sans Arabic" w:hAnsi="IBM Plex Sans Arabic" w:cs="IBM Plex Sans Arabic"/>
                <w:rtl/>
              </w:rPr>
              <w:t>9000000</w:t>
            </w:r>
          </w:p>
        </w:tc>
        <w:tc>
          <w:tcPr>
            <w:tcW w:type="dxa" w:w="1872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pPr>
              <w:bidi/>
              <w:jc w:val="start"/>
            </w:pPr>
            <w:r>
              <w:rPr>
                <w:rFonts w:ascii="IBM Plex Sans Arabic" w:hAnsi="IBM Plex Sans Arabic" w:cs="IBM Plex Sans Arabic"/>
                <w:rtl/>
              </w:rPr>
              <w:t>UN Comtrade</w:t>
            </w:r>
          </w:p>
        </w:tc>
        <w:tc>
          <w:tcPr>
            <w:tcW w:type="dxa" w:w="1872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pPr>
              <w:bidi/>
              <w:jc w:val="start"/>
            </w:pPr>
            <w:r>
              <w:rPr>
                <w:rFonts w:ascii="IBM Plex Sans Arabic" w:hAnsi="IBM Plex Sans Arabic" w:cs="IBM Plex Sans Arabic"/>
                <w:rtl/>
              </w:rPr>
              <w:t>https://comtradeplus.un.org/</w:t>
            </w:r>
          </w:p>
        </w:tc>
        <w:tc>
          <w:tcPr>
            <w:tcW w:type="dxa" w:w="1872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pPr>
              <w:bidi/>
              <w:jc w:val="start"/>
            </w:pPr>
            <w:r>
              <w:rPr>
                <w:rFonts w:ascii="IBM Plex Sans Arabic" w:hAnsi="IBM Plex Sans Arabic" w:cs="IBM Plex Sans Arabic"/>
                <w:rtl/>
              </w:rPr>
              <w:t>2026-07-20</w:t>
            </w:r>
          </w:p>
        </w:tc>
        <w:tc>
          <w:tcPr>
            <w:tcW w:type="dxa" w:w="1872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pPr>
              <w:bidi/>
              <w:jc w:val="start"/>
            </w:pPr>
            <w:r>
              <w:rPr>
                <w:rFonts w:ascii="IBM Plex Sans Arabic" w:hAnsi="IBM Plex Sans Arabic" w:cs="IBM Plex Sans Arabic"/>
                <w:rtl/>
              </w:rPr>
              <w:t>◐ ثانوي</w:t>
            </w:r>
          </w:p>
        </w:tc>
      </w:tr>
      <w:tr>
        <w:trPr>
          <w:cantSplit/>
        </w:trPr>
        <w:tc>
          <w:tcPr>
            <w:tcW w:type="dxa" w:w="1872"/>
            <w:tcMar>
              <w:top w:w="100" w:type="dxa"/>
              <w:bottom w:w="100" w:type="dxa"/>
              <w:left w:w="120" w:type="dxa"/>
              <w:right w:w="120" w:type="dxa"/>
            </w:tcMar>
            <w:shd w:val="clear" w:fill="F2F7F3"/>
          </w:tcPr>
          <w:p>
            <w:pPr>
              <w:bidi/>
              <w:jc w:val="start"/>
            </w:pPr>
            <w:r>
              <w:rPr>
                <w:rFonts w:ascii="IBM Plex Sans Arabic" w:hAnsi="IBM Plex Sans Arabic" w:cs="IBM Plex Sans Arabic"/>
                <w:rtl/>
              </w:rPr>
              <w:t>~6 دولار/كجم</w:t>
            </w:r>
          </w:p>
        </w:tc>
        <w:tc>
          <w:tcPr>
            <w:tcW w:type="dxa" w:w="1872"/>
            <w:tcMar>
              <w:top w:w="100" w:type="dxa"/>
              <w:bottom w:w="100" w:type="dxa"/>
              <w:left w:w="120" w:type="dxa"/>
              <w:right w:w="120" w:type="dxa"/>
            </w:tcMar>
            <w:shd w:val="clear" w:fill="F2F7F3"/>
          </w:tcPr>
          <w:p>
            <w:pPr>
              <w:bidi/>
              <w:jc w:val="start"/>
            </w:pPr>
            <w:r>
              <w:rPr>
                <w:rFonts w:ascii="IBM Plex Sans Arabic" w:hAnsi="IBM Plex Sans Arabic" w:cs="IBM Plex Sans Arabic"/>
                <w:rtl/>
              </w:rPr>
              <w:t>UN Comtrade</w:t>
            </w:r>
          </w:p>
        </w:tc>
        <w:tc>
          <w:tcPr>
            <w:tcW w:type="dxa" w:w="1872"/>
            <w:tcMar>
              <w:top w:w="100" w:type="dxa"/>
              <w:bottom w:w="100" w:type="dxa"/>
              <w:left w:w="120" w:type="dxa"/>
              <w:right w:w="120" w:type="dxa"/>
            </w:tcMar>
            <w:shd w:val="clear" w:fill="F2F7F3"/>
          </w:tcPr>
          <w:p>
            <w:pPr>
              <w:bidi/>
              <w:jc w:val="start"/>
            </w:pPr>
            <w:r>
              <w:rPr>
                <w:rFonts w:ascii="IBM Plex Sans Arabic" w:hAnsi="IBM Plex Sans Arabic" w:cs="IBM Plex Sans Arabic"/>
                <w:rtl/>
              </w:rPr>
              <w:t>https://comtradeplus.un.org/</w:t>
            </w:r>
          </w:p>
        </w:tc>
        <w:tc>
          <w:tcPr>
            <w:tcW w:type="dxa" w:w="1872"/>
            <w:tcMar>
              <w:top w:w="100" w:type="dxa"/>
              <w:bottom w:w="100" w:type="dxa"/>
              <w:left w:w="120" w:type="dxa"/>
              <w:right w:w="120" w:type="dxa"/>
            </w:tcMar>
            <w:shd w:val="clear" w:fill="F2F7F3"/>
          </w:tcPr>
          <w:p>
            <w:pPr>
              <w:bidi/>
              <w:jc w:val="start"/>
            </w:pPr>
            <w:r>
              <w:rPr>
                <w:rFonts w:ascii="IBM Plex Sans Arabic" w:hAnsi="IBM Plex Sans Arabic" w:cs="IBM Plex Sans Arabic"/>
                <w:rtl/>
              </w:rPr>
              <w:t>2026-07-20</w:t>
            </w:r>
          </w:p>
        </w:tc>
        <w:tc>
          <w:tcPr>
            <w:tcW w:type="dxa" w:w="1872"/>
            <w:tcMar>
              <w:top w:w="100" w:type="dxa"/>
              <w:bottom w:w="100" w:type="dxa"/>
              <w:left w:w="120" w:type="dxa"/>
              <w:right w:w="120" w:type="dxa"/>
            </w:tcMar>
            <w:shd w:val="clear" w:fill="F2F7F3"/>
          </w:tcPr>
          <w:p>
            <w:pPr>
              <w:bidi/>
              <w:jc w:val="start"/>
            </w:pPr>
            <w:r>
              <w:rPr>
                <w:rFonts w:ascii="IBM Plex Sans Arabic" w:hAnsi="IBM Plex Sans Arabic" w:cs="IBM Plex Sans Arabic"/>
                <w:rtl/>
              </w:rPr>
              <w:t>✓ موثّق</w:t>
            </w:r>
          </w:p>
        </w:tc>
      </w:tr>
      <w:tr>
        <w:trPr>
          <w:cantSplit/>
        </w:trPr>
        <w:tc>
          <w:tcPr>
            <w:tcW w:type="dxa" w:w="1872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pPr>
              <w:bidi/>
              <w:jc w:val="start"/>
            </w:pPr>
            <w:r>
              <w:rPr>
                <w:rFonts w:ascii="IBM Plex Sans Arabic" w:hAnsi="IBM Plex Sans Arabic" w:cs="IBM Plex Sans Arabic"/>
                <w:rtl/>
              </w:rPr>
              <w:t>0.67 دولار/كجم</w:t>
            </w:r>
          </w:p>
        </w:tc>
        <w:tc>
          <w:tcPr>
            <w:tcW w:type="dxa" w:w="1872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pPr>
              <w:bidi/>
              <w:jc w:val="start"/>
            </w:pPr>
            <w:r>
              <w:rPr>
                <w:rFonts w:ascii="IBM Plex Sans Arabic" w:hAnsi="IBM Plex Sans Arabic" w:cs="IBM Plex Sans Arabic"/>
                <w:rtl/>
              </w:rPr>
              <w:t>Google Maps</w:t>
            </w:r>
          </w:p>
        </w:tc>
        <w:tc>
          <w:tcPr>
            <w:tcW w:type="dxa" w:w="1872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pPr>
              <w:bidi/>
              <w:jc w:val="start"/>
            </w:pPr>
            <w:r>
              <w:rPr>
                <w:rFonts w:ascii="IBM Plex Sans Arabic" w:hAnsi="IBM Plex Sans Arabic" w:cs="IBM Plex Sans Arabic"/>
                <w:rtl/>
              </w:rPr>
              <w:t>—</w:t>
            </w:r>
          </w:p>
        </w:tc>
        <w:tc>
          <w:tcPr>
            <w:tcW w:type="dxa" w:w="1872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pPr>
              <w:bidi/>
              <w:jc w:val="start"/>
            </w:pPr>
            <w:r>
              <w:rPr>
                <w:rFonts w:ascii="IBM Plex Sans Arabic" w:hAnsi="IBM Plex Sans Arabic" w:cs="IBM Plex Sans Arabic"/>
                <w:rtl/>
              </w:rPr>
              <w:t>2026-07-20</w:t>
            </w:r>
          </w:p>
        </w:tc>
        <w:tc>
          <w:tcPr>
            <w:tcW w:type="dxa" w:w="1872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pPr>
              <w:bidi/>
              <w:jc w:val="start"/>
            </w:pPr>
            <w:r>
              <w:rPr>
                <w:rFonts w:ascii="IBM Plex Sans Arabic" w:hAnsi="IBM Plex Sans Arabic" w:cs="IBM Plex Sans Arabic"/>
                <w:rtl/>
              </w:rPr>
              <w:t>✓ موثّق</w:t>
            </w:r>
          </w:p>
        </w:tc>
      </w:tr>
      <w:tr>
        <w:trPr>
          <w:cantSplit/>
        </w:trPr>
        <w:tc>
          <w:tcPr>
            <w:tcW w:type="dxa" w:w="1872"/>
            <w:tcMar>
              <w:top w:w="100" w:type="dxa"/>
              <w:bottom w:w="100" w:type="dxa"/>
              <w:left w:w="120" w:type="dxa"/>
              <w:right w:w="120" w:type="dxa"/>
            </w:tcMar>
            <w:shd w:val="clear" w:fill="F2F7F3"/>
          </w:tcPr>
          <w:p>
            <w:pPr>
              <w:bidi/>
              <w:jc w:val="start"/>
            </w:pPr>
            <w:r>
              <w:rPr>
                <w:rFonts w:ascii="IBM Plex Sans Arabic" w:hAnsi="IBM Plex Sans Arabic" w:cs="IBM Plex Sans Arabic"/>
                <w:rtl/>
              </w:rPr>
              <w:t>2900</w:t>
            </w:r>
          </w:p>
        </w:tc>
        <w:tc>
          <w:tcPr>
            <w:tcW w:type="dxa" w:w="1872"/>
            <w:tcMar>
              <w:top w:w="100" w:type="dxa"/>
              <w:bottom w:w="100" w:type="dxa"/>
              <w:left w:w="120" w:type="dxa"/>
              <w:right w:w="120" w:type="dxa"/>
            </w:tcMar>
            <w:shd w:val="clear" w:fill="F2F7F3"/>
          </w:tcPr>
          <w:p>
            <w:pPr>
              <w:bidi/>
              <w:jc w:val="start"/>
            </w:pPr>
            <w:r>
              <w:rPr>
                <w:rFonts w:ascii="IBM Plex Sans Arabic" w:hAnsi="IBM Plex Sans Arabic" w:cs="IBM Plex Sans Arabic"/>
                <w:rtl/>
              </w:rPr>
              <w:t>UN Comtrade</w:t>
            </w:r>
          </w:p>
        </w:tc>
        <w:tc>
          <w:tcPr>
            <w:tcW w:type="dxa" w:w="1872"/>
            <w:tcMar>
              <w:top w:w="100" w:type="dxa"/>
              <w:bottom w:w="100" w:type="dxa"/>
              <w:left w:w="120" w:type="dxa"/>
              <w:right w:w="120" w:type="dxa"/>
            </w:tcMar>
            <w:shd w:val="clear" w:fill="F2F7F3"/>
          </w:tcPr>
          <w:p>
            <w:pPr>
              <w:bidi/>
              <w:jc w:val="start"/>
            </w:pPr>
            <w:r>
              <w:rPr>
                <w:rFonts w:ascii="IBM Plex Sans Arabic" w:hAnsi="IBM Plex Sans Arabic" w:cs="IBM Plex Sans Arabic"/>
                <w:rtl/>
              </w:rPr>
              <w:t>https://comtradeplus.un.org/</w:t>
            </w:r>
          </w:p>
        </w:tc>
        <w:tc>
          <w:tcPr>
            <w:tcW w:type="dxa" w:w="1872"/>
            <w:tcMar>
              <w:top w:w="100" w:type="dxa"/>
              <w:bottom w:w="100" w:type="dxa"/>
              <w:left w:w="120" w:type="dxa"/>
              <w:right w:w="120" w:type="dxa"/>
            </w:tcMar>
            <w:shd w:val="clear" w:fill="F2F7F3"/>
          </w:tcPr>
          <w:p>
            <w:pPr>
              <w:bidi/>
              <w:jc w:val="start"/>
            </w:pPr>
            <w:r>
              <w:rPr>
                <w:rFonts w:ascii="IBM Plex Sans Arabic" w:hAnsi="IBM Plex Sans Arabic" w:cs="IBM Plex Sans Arabic"/>
                <w:rtl/>
              </w:rPr>
              <w:t>2026-07-20</w:t>
            </w:r>
          </w:p>
        </w:tc>
        <w:tc>
          <w:tcPr>
            <w:tcW w:type="dxa" w:w="1872"/>
            <w:tcMar>
              <w:top w:w="100" w:type="dxa"/>
              <w:bottom w:w="100" w:type="dxa"/>
              <w:left w:w="120" w:type="dxa"/>
              <w:right w:w="120" w:type="dxa"/>
            </w:tcMar>
            <w:shd w:val="clear" w:fill="F2F7F3"/>
          </w:tcPr>
          <w:p>
            <w:pPr>
              <w:bidi/>
              <w:jc w:val="start"/>
            </w:pPr>
            <w:r>
              <w:rPr>
                <w:rFonts w:ascii="IBM Plex Sans Arabic" w:hAnsi="IBM Plex Sans Arabic" w:cs="IBM Plex Sans Arabic"/>
                <w:rtl/>
              </w:rPr>
              <w:t>◐ ثانوي</w:t>
            </w:r>
          </w:p>
        </w:tc>
      </w:tr>
      <w:tr>
        <w:trPr>
          <w:cantSplit/>
        </w:trPr>
        <w:tc>
          <w:tcPr>
            <w:tcW w:type="dxa" w:w="1872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pPr>
              <w:bidi/>
              <w:jc w:val="start"/>
            </w:pPr>
            <w:r>
              <w:rPr>
                <w:rFonts w:ascii="IBM Plex Sans Arabic" w:hAnsi="IBM Plex Sans Arabic" w:cs="IBM Plex Sans Arabic"/>
                <w:rtl/>
              </w:rPr>
            </w:r>
          </w:p>
        </w:tc>
        <w:tc>
          <w:tcPr>
            <w:tcW w:type="dxa" w:w="1872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pPr>
              <w:bidi/>
              <w:jc w:val="start"/>
            </w:pPr>
            <w:r>
              <w:rPr>
                <w:rFonts w:ascii="IBM Plex Sans Arabic" w:hAnsi="IBM Plex Sans Arabic" w:cs="IBM Plex Sans Arabic"/>
                <w:rtl/>
              </w:rPr>
              <w:t>Google Trends</w:t>
            </w:r>
          </w:p>
        </w:tc>
        <w:tc>
          <w:tcPr>
            <w:tcW w:type="dxa" w:w="1872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pPr>
              <w:bidi/>
              <w:jc w:val="start"/>
            </w:pPr>
            <w:r>
              <w:rPr>
                <w:rFonts w:ascii="IBM Plex Sans Arabic" w:hAnsi="IBM Plex Sans Arabic" w:cs="IBM Plex Sans Arabic"/>
                <w:rtl/>
              </w:rPr>
              <w:t>https://trends.google.com/trends/</w:t>
            </w:r>
          </w:p>
        </w:tc>
        <w:tc>
          <w:tcPr>
            <w:tcW w:type="dxa" w:w="1872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pPr>
              <w:bidi/>
              <w:jc w:val="start"/>
            </w:pPr>
            <w:r>
              <w:rPr>
                <w:rFonts w:ascii="IBM Plex Sans Arabic" w:hAnsi="IBM Plex Sans Arabic" w:cs="IBM Plex Sans Arabic"/>
                <w:rtl/>
              </w:rPr>
              <w:t>2026-07-20</w:t>
            </w:r>
          </w:p>
        </w:tc>
        <w:tc>
          <w:tcPr>
            <w:tcW w:type="dxa" w:w="1872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pPr>
              <w:bidi/>
              <w:jc w:val="start"/>
            </w:pPr>
            <w:r>
              <w:rPr>
                <w:rFonts w:ascii="IBM Plex Sans Arabic" w:hAnsi="IBM Plex Sans Arabic" w:cs="IBM Plex Sans Arabic"/>
                <w:rtl/>
              </w:rPr>
              <w:t>○ غير متحقق</w:t>
            </w:r>
          </w:p>
        </w:tc>
      </w:tr>
      <w:tr>
        <w:trPr>
          <w:cantSplit/>
        </w:trPr>
        <w:tc>
          <w:tcPr>
            <w:tcW w:type="dxa" w:w="1872"/>
            <w:tcMar>
              <w:top w:w="100" w:type="dxa"/>
              <w:bottom w:w="100" w:type="dxa"/>
              <w:left w:w="120" w:type="dxa"/>
              <w:right w:w="120" w:type="dxa"/>
            </w:tcMar>
            <w:shd w:val="clear" w:fill="F2F7F3"/>
          </w:tcPr>
          <w:p>
            <w:pPr>
              <w:bidi/>
              <w:jc w:val="start"/>
            </w:pPr>
            <w:r>
              <w:rPr>
                <w:rFonts w:ascii="IBM Plex Sans Arabic" w:hAnsi="IBM Plex Sans Arabic" w:cs="IBM Plex Sans Arabic"/>
                <w:rtl/>
              </w:rPr>
              <w:t>35000</w:t>
            </w:r>
          </w:p>
        </w:tc>
        <w:tc>
          <w:tcPr>
            <w:tcW w:type="dxa" w:w="1872"/>
            <w:tcMar>
              <w:top w:w="100" w:type="dxa"/>
              <w:bottom w:w="100" w:type="dxa"/>
              <w:left w:w="120" w:type="dxa"/>
              <w:right w:w="120" w:type="dxa"/>
            </w:tcMar>
            <w:shd w:val="clear" w:fill="F2F7F3"/>
          </w:tcPr>
          <w:p>
            <w:pPr>
              <w:bidi/>
              <w:jc w:val="start"/>
            </w:pPr>
            <w:r>
              <w:rPr>
                <w:rFonts w:ascii="IBM Plex Sans Arabic" w:hAnsi="IBM Plex Sans Arabic" w:cs="IBM Plex Sans Arabic"/>
                <w:rtl/>
              </w:rPr>
              <w:t>World Bank</w:t>
            </w:r>
          </w:p>
        </w:tc>
        <w:tc>
          <w:tcPr>
            <w:tcW w:type="dxa" w:w="1872"/>
            <w:tcMar>
              <w:top w:w="100" w:type="dxa"/>
              <w:bottom w:w="100" w:type="dxa"/>
              <w:left w:w="120" w:type="dxa"/>
              <w:right w:w="120" w:type="dxa"/>
            </w:tcMar>
            <w:shd w:val="clear" w:fill="F2F7F3"/>
          </w:tcPr>
          <w:p>
            <w:pPr>
              <w:bidi/>
              <w:jc w:val="start"/>
            </w:pPr>
            <w:r>
              <w:rPr>
                <w:rFonts w:ascii="IBM Plex Sans Arabic" w:hAnsi="IBM Plex Sans Arabic" w:cs="IBM Plex Sans Arabic"/>
                <w:rtl/>
              </w:rPr>
              <w:t>https://data.worldbank.org/</w:t>
            </w:r>
          </w:p>
        </w:tc>
        <w:tc>
          <w:tcPr>
            <w:tcW w:type="dxa" w:w="1872"/>
            <w:tcMar>
              <w:top w:w="100" w:type="dxa"/>
              <w:bottom w:w="100" w:type="dxa"/>
              <w:left w:w="120" w:type="dxa"/>
              <w:right w:w="120" w:type="dxa"/>
            </w:tcMar>
            <w:shd w:val="clear" w:fill="F2F7F3"/>
          </w:tcPr>
          <w:p>
            <w:pPr>
              <w:bidi/>
              <w:jc w:val="start"/>
            </w:pPr>
            <w:r>
              <w:rPr>
                <w:rFonts w:ascii="IBM Plex Sans Arabic" w:hAnsi="IBM Plex Sans Arabic" w:cs="IBM Plex Sans Arabic"/>
                <w:rtl/>
              </w:rPr>
              <w:t>2026-07-20</w:t>
            </w:r>
          </w:p>
        </w:tc>
        <w:tc>
          <w:tcPr>
            <w:tcW w:type="dxa" w:w="1872"/>
            <w:tcMar>
              <w:top w:w="100" w:type="dxa"/>
              <w:bottom w:w="100" w:type="dxa"/>
              <w:left w:w="120" w:type="dxa"/>
              <w:right w:w="120" w:type="dxa"/>
            </w:tcMar>
            <w:shd w:val="clear" w:fill="F2F7F3"/>
          </w:tcPr>
          <w:p>
            <w:pPr>
              <w:bidi/>
              <w:jc w:val="start"/>
            </w:pPr>
            <w:r>
              <w:rPr>
                <w:rFonts w:ascii="IBM Plex Sans Arabic" w:hAnsi="IBM Plex Sans Arabic" w:cs="IBM Plex Sans Arabic"/>
                <w:rtl/>
              </w:rPr>
              <w:t>✓ موثّق</w:t>
            </w:r>
          </w:p>
        </w:tc>
      </w:tr>
    </w:tbl>
    <w:sectPr w:rsidR="00FC693F" w:rsidRPr="0006063C" w:rsidSect="00034616">
      <w:headerReference w:type="default" r:id="rId9"/>
      <w:footerReference w:type="default" r:id="rId10"/>
      <w:pgSz w:w="11906" w:h="16838"/>
      <w:pgMar w:top="1440" w:right="1800" w:bottom="1440" w:left="1800" w:header="720" w:footer="720" w:gutter="0"/>
      <w:cols w:space="720"/>
      <w:docGrid w:linePitch="360"/>
      <w:bidi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bidi/>
      <w:jc w:val="start"/>
    </w:pPr>
    <w:r>
      <w:rPr>
        <w:rFonts w:ascii="IBM Plex Sans Arabic" w:hAnsi="IBM Plex Sans Arabic" w:cs="IBM Plex Sans Arabic"/>
        <w:rtl/>
      </w:rPr>
      <w:t xml:space="preserve">سلك لذكاء الأسواق — منصة تحليل أسواق التصدير السعودية — صفحة </w:t>
    </w:r>
    <w:r>
      <w:rPr>
        <w:rFonts w:ascii="IBM Plex Sans Arabic" w:hAnsi="IBM Plex Sans Arabic" w:cs="IBM Plex Sans Arabic"/>
        <w:rtl/>
      </w:rPr>
      <w:fldChar w:fldCharType="begin"/>
      <w:instrText xml:space="preserve">PAGE</w:instrText>
      <w:fldChar w:fldCharType="end"/>
    </w:r>
  </w:p>
</w:ftr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  <w:bidi/>
      <w:jc w:val="start"/>
    </w:pPr>
    <w:r>
      <w:rPr>
        <w:rFonts w:ascii="IBM Plex Sans Arabic" w:hAnsi="IBM Plex Sans Arabic" w:cs="IBM Plex Sans Arabic"/>
        <w:rtl/>
      </w:rPr>
      <w:t>سلك — تقرير بحث عميق: زبدة الفول السوداني</w:t>
    </w:r>
  </w:p>
</w:hd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bidi/>
      <w:spacing w:line="345" w:lineRule="auto" w:after="180"/>
      <w:jc w:val="start"/>
    </w:pPr>
    <w:rPr>
      <w:rFonts w:ascii="IBM Plex Sans Arabic" w:hAnsi="IBM Plex Sans Arabic" w:cs="IBM Plex Sans Arabic"/>
      <w:sz w:val="22"/>
      <w:rtl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  <w:bidi/>
      <w:jc w:val="start"/>
    </w:pPr>
    <w:rPr>
      <w:rFonts w:ascii="IBM Plex Sans Arabic" w:hAnsi="IBM Plex Sans Arabic" w:cs="IBM Plex Sans Arabic"/>
      <w:color w:val="555555"/>
      <w:sz w:val="18"/>
      <w:rtl/>
    </w:r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  <w:bidi/>
      <w:jc w:val="start"/>
    </w:pPr>
    <w:rPr>
      <w:rFonts w:ascii="IBM Plex Sans Arabic" w:hAnsi="IBM Plex Sans Arabic" w:cs="IBM Plex Sans Arabic"/>
      <w:color w:val="555555"/>
      <w:sz w:val="18"/>
      <w:rtl/>
    </w:r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  <w:bidi/>
      <w:jc w:val="start"/>
    </w:pPr>
    <w:rPr>
      <w:rFonts w:asciiTheme="majorHAnsi" w:eastAsiaTheme="majorEastAsia" w:hAnsiTheme="majorHAnsi" w:cstheme="majorBidi" w:ascii="IBM Plex Sans Arabic" w:hAnsi="IBM Plex Sans Arabic" w:cs="IBM Plex Sans Arabic"/>
      <w:b/>
      <w:bCs/>
      <w:color w:val="166534"/>
      <w:sz w:val="28"/>
      <w:szCs w:val="28"/>
      <w:rtl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  <w:bidi/>
      <w:jc w:val="start"/>
    </w:pPr>
    <w:rPr>
      <w:rFonts w:asciiTheme="majorHAnsi" w:eastAsiaTheme="majorEastAsia" w:hAnsiTheme="majorHAnsi" w:cstheme="majorBidi" w:ascii="IBM Plex Sans Arabic" w:hAnsi="IBM Plex Sans Arabic" w:cs="IBM Plex Sans Arabic"/>
      <w:b/>
      <w:bCs/>
      <w:color w:val="166534"/>
      <w:sz w:val="26"/>
      <w:szCs w:val="26"/>
      <w:rtl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  <w:bidi/>
      <w:jc w:val="start"/>
    </w:pPr>
    <w:rPr>
      <w:rFonts w:asciiTheme="majorHAnsi" w:eastAsiaTheme="majorEastAsia" w:hAnsiTheme="majorHAnsi" w:cstheme="majorBidi" w:ascii="IBM Plex Sans Arabic" w:hAnsi="IBM Plex Sans Arabic" w:cs="IBM Plex Sans Arabic"/>
      <w:b/>
      <w:bCs/>
      <w:color w:val="333333"/>
      <w:sz w:val="24"/>
      <w:rtl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  <w:bidi/>
      <w:jc w:val="start"/>
    </w:pPr>
    <w:rPr>
      <w:rFonts w:asciiTheme="majorHAnsi" w:eastAsiaTheme="majorEastAsia" w:hAnsiTheme="majorHAnsi" w:cstheme="majorBidi" w:ascii="IBM Plex Sans Arabic" w:hAnsi="IBM Plex Sans Arabic" w:cs="IBM Plex Sans Arabic"/>
      <w:b/>
      <w:bCs/>
      <w:i/>
      <w:iCs/>
      <w:color w:val="4F81BD" w:themeColor="accent1"/>
      <w:rtl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  <w:bidi/>
      <w:jc w:val="start"/>
    </w:pPr>
    <w:rPr>
      <w:rFonts w:asciiTheme="majorHAnsi" w:eastAsiaTheme="majorEastAsia" w:hAnsiTheme="majorHAnsi" w:cstheme="majorBidi" w:ascii="IBM Plex Sans Arabic" w:hAnsi="IBM Plex Sans Arabic" w:cs="IBM Plex Sans Arabic"/>
      <w:color w:val="243F60" w:themeColor="accent1" w:themeShade="7F"/>
      <w:rtl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  <w:bidi/>
      <w:jc w:val="start"/>
    </w:pPr>
    <w:rPr>
      <w:rFonts w:asciiTheme="majorHAnsi" w:eastAsiaTheme="majorEastAsia" w:hAnsiTheme="majorHAnsi" w:cstheme="majorBidi" w:ascii="IBM Plex Sans Arabic" w:hAnsi="IBM Plex Sans Arabic" w:cs="IBM Plex Sans Arabic"/>
      <w:i/>
      <w:iCs/>
      <w:color w:val="243F60" w:themeColor="accent1" w:themeShade="7F"/>
      <w:rtl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  <w:bidi/>
      <w:jc w:val="start"/>
    </w:pPr>
    <w:rPr>
      <w:rFonts w:asciiTheme="majorHAnsi" w:eastAsiaTheme="majorEastAsia" w:hAnsiTheme="majorHAnsi" w:cstheme="majorBidi" w:ascii="IBM Plex Sans Arabic" w:hAnsi="IBM Plex Sans Arabic" w:cs="IBM Plex Sans Arabic"/>
      <w:i/>
      <w:iCs/>
      <w:color w:val="404040" w:themeColor="text1" w:themeTint="BF"/>
      <w:rtl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  <w:bidi/>
      <w:jc w:val="start"/>
    </w:pPr>
    <w:rPr>
      <w:rFonts w:asciiTheme="majorHAnsi" w:eastAsiaTheme="majorEastAsia" w:hAnsiTheme="majorHAnsi" w:cstheme="majorBidi" w:ascii="IBM Plex Sans Arabic" w:hAnsi="IBM Plex Sans Arabic" w:cs="IBM Plex Sans Arabic"/>
      <w:color w:val="4F81BD" w:themeColor="accent1"/>
      <w:sz w:val="20"/>
      <w:szCs w:val="20"/>
      <w:rtl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  <w:bidi/>
      <w:jc w:val="start"/>
    </w:pPr>
    <w:rPr>
      <w:rFonts w:asciiTheme="majorHAnsi" w:eastAsiaTheme="majorEastAsia" w:hAnsiTheme="majorHAnsi" w:cstheme="majorBidi" w:ascii="IBM Plex Sans Arabic" w:hAnsi="IBM Plex Sans Arabic" w:cs="IBM Plex Sans Arabic"/>
      <w:i/>
      <w:iCs/>
      <w:color w:val="404040" w:themeColor="text1" w:themeTint="BF"/>
      <w:sz w:val="20"/>
      <w:szCs w:val="20"/>
      <w:rtl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  <w:bidi/>
      <w:jc w:val="start"/>
    </w:pPr>
    <w:rPr>
      <w:rFonts w:ascii="IBM Plex Sans Arabic" w:hAnsi="IBM Plex Sans Arabic" w:cs="IBM Plex Sans Arabic"/>
      <w:rtl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  <w:bidi/>
      <w:jc w:val="start"/>
    </w:pPr>
    <w:rPr>
      <w:rFonts w:asciiTheme="majorHAnsi" w:eastAsiaTheme="majorEastAsia" w:hAnsiTheme="majorHAnsi" w:cstheme="majorBidi" w:ascii="IBM Plex Sans Arabic" w:hAnsi="IBM Plex Sans Arabic" w:cs="IBM Plex Sans Arabic"/>
      <w:b/>
      <w:color w:val="166534"/>
      <w:spacing w:val="5"/>
      <w:kern w:val="28"/>
      <w:sz w:val="36"/>
      <w:szCs w:val="52"/>
      <w:rtl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  <w:bidi/>
      <w:jc w:val="start"/>
    </w:pPr>
    <w:rPr>
      <w:rFonts w:asciiTheme="majorHAnsi" w:eastAsiaTheme="majorEastAsia" w:hAnsiTheme="majorHAnsi" w:cstheme="majorBidi" w:ascii="IBM Plex Sans Arabic" w:hAnsi="IBM Plex Sans Arabic" w:cs="IBM Plex Sans Arabic"/>
      <w:i/>
      <w:iCs/>
      <w:color w:val="4F81BD" w:themeColor="accent1"/>
      <w:spacing w:val="15"/>
      <w:sz w:val="24"/>
      <w:szCs w:val="24"/>
      <w:rtl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  <w:bidi/>
      <w:jc w:val="start"/>
    </w:pPr>
    <w:rPr>
      <w:rFonts w:ascii="IBM Plex Sans Arabic" w:hAnsi="IBM Plex Sans Arabic" w:cs="IBM Plex Sans Arabic"/>
      <w:rtl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  <w:bidi/>
      <w:jc w:val="start"/>
    </w:pPr>
    <w:rPr>
      <w:rFonts w:ascii="IBM Plex Sans Arabic" w:hAnsi="IBM Plex Sans Arabic" w:cs="IBM Plex Sans Arabic"/>
      <w:rtl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  <w:bidi/>
      <w:jc w:val="start"/>
    </w:pPr>
    <w:rPr>
      <w:rFonts w:ascii="IBM Plex Sans Arabic" w:hAnsi="IBM Plex Sans Arabic" w:cs="IBM Plex Sans Arabic"/>
      <w:rtl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  <w:bidi/>
      <w:jc w:val="start"/>
    </w:pPr>
    <w:rPr>
      <w:rFonts w:ascii="IBM Plex Sans Arabic" w:hAnsi="IBM Plex Sans Arabic" w:cs="IBM Plex Sans Arabic"/>
      <w:sz w:val="16"/>
      <w:szCs w:val="16"/>
      <w:rtl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  <w:bidi/>
      <w:jc w:val="start"/>
    </w:pPr>
    <w:rPr>
      <w:rFonts w:ascii="IBM Plex Sans Arabic" w:hAnsi="IBM Plex Sans Arabic" w:cs="IBM Plex Sans Arabic"/>
      <w:rtl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  <w:bidi/>
      <w:jc w:val="start"/>
    </w:pPr>
    <w:rPr>
      <w:rFonts w:ascii="IBM Plex Sans Arabic" w:hAnsi="IBM Plex Sans Arabic" w:cs="IBM Plex Sans Arabic"/>
      <w:rtl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  <w:bidi/>
      <w:jc w:val="start"/>
    </w:pPr>
    <w:rPr>
      <w:rFonts w:ascii="IBM Plex Sans Arabic" w:hAnsi="IBM Plex Sans Arabic" w:cs="IBM Plex Sans Arabic"/>
      <w:rtl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  <w:bidi/>
      <w:jc w:val="start"/>
    </w:pPr>
    <w:rPr>
      <w:rFonts w:ascii="IBM Plex Sans Arabic" w:hAnsi="IBM Plex Sans Arabic" w:cs="IBM Plex Sans Arabic"/>
      <w:rtl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  <w:bidi/>
      <w:jc w:val="start"/>
    </w:pPr>
    <w:rPr>
      <w:rFonts w:ascii="IBM Plex Sans Arabic" w:hAnsi="IBM Plex Sans Arabic" w:cs="IBM Plex Sans Arabic"/>
      <w:rtl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  <w:bidi/>
      <w:jc w:val="start"/>
    </w:pPr>
    <w:rPr>
      <w:rFonts w:ascii="IBM Plex Sans Arabic" w:hAnsi="IBM Plex Sans Arabic" w:cs="IBM Plex Sans Arabic"/>
      <w:rtl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  <w:bidi/>
      <w:jc w:val="start"/>
    </w:pPr>
    <w:rPr>
      <w:rFonts w:ascii="IBM Plex Sans Arabic" w:hAnsi="IBM Plex Sans Arabic" w:cs="IBM Plex Sans Arabic"/>
      <w:rtl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  <w:bidi/>
      <w:jc w:val="start"/>
    </w:pPr>
    <w:rPr>
      <w:rFonts w:ascii="IBM Plex Sans Arabic" w:hAnsi="IBM Plex Sans Arabic" w:cs="IBM Plex Sans Arabic"/>
      <w:rtl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  <w:bidi/>
      <w:jc w:val="start"/>
    </w:pPr>
    <w:rPr>
      <w:rFonts w:ascii="IBM Plex Sans Arabic" w:hAnsi="IBM Plex Sans Arabic" w:cs="IBM Plex Sans Arabic"/>
      <w:rtl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  <w:bidi/>
      <w:jc w:val="start"/>
    </w:pPr>
    <w:rPr>
      <w:rFonts w:ascii="IBM Plex Sans Arabic" w:hAnsi="IBM Plex Sans Arabic" w:cs="IBM Plex Sans Arabic"/>
      <w:rtl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  <w:bidi/>
      <w:jc w:val="start"/>
    </w:pPr>
    <w:rPr>
      <w:rFonts w:ascii="IBM Plex Sans Arabic" w:hAnsi="IBM Plex Sans Arabic" w:cs="IBM Plex Sans Arabic"/>
      <w:rtl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  <w:bidi/>
      <w:jc w:val="start"/>
    </w:pPr>
    <w:rPr>
      <w:rFonts w:ascii="IBM Plex Sans Arabic" w:hAnsi="IBM Plex Sans Arabic" w:cs="IBM Plex Sans Arabic"/>
      <w:rtl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  <w:bidi/>
      <w:jc w:val="start"/>
    </w:pPr>
    <w:rPr>
      <w:rFonts w:ascii="IBM Plex Sans Arabic" w:hAnsi="IBM Plex Sans Arabic" w:cs="IBM Plex Sans Arabic"/>
      <w:sz w:val="20"/>
      <w:szCs w:val="20"/>
      <w:rtl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pPr>
      <w:bidi/>
      <w:jc w:val="start"/>
    </w:pPr>
    <w:rPr>
      <w:rFonts w:ascii="IBM Plex Sans Arabic" w:hAnsi="IBM Plex Sans Arabic" w:cs="IBM Plex Sans Arabic"/>
      <w:i/>
      <w:iCs/>
      <w:color w:val="000000" w:themeColor="text1"/>
      <w:rtl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  <w:bidi/>
      <w:jc w:val="start"/>
    </w:pPr>
    <w:rPr>
      <w:rFonts w:ascii="IBM Plex Sans Arabic" w:hAnsi="IBM Plex Sans Arabic" w:cs="IBM Plex Sans Arabic"/>
      <w:b/>
      <w:bCs/>
      <w:color w:val="4F81BD" w:themeColor="accent1"/>
      <w:sz w:val="18"/>
      <w:szCs w:val="18"/>
      <w:rtl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  <w:bidi/>
      <w:jc w:val="start"/>
    </w:pPr>
    <w:rPr>
      <w:rFonts w:ascii="IBM Plex Sans Arabic" w:hAnsi="IBM Plex Sans Arabic" w:cs="IBM Plex Sans Arabic"/>
      <w:b/>
      <w:bCs/>
      <w:i/>
      <w:iCs/>
      <w:color w:val="4F81BD" w:themeColor="accent1"/>
      <w:rtl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  <w:bidi/>
      <w:jc w:val="start"/>
    </w:pPr>
    <w:rPr>
      <w:rFonts w:ascii="IBM Plex Sans Arabic" w:hAnsi="IBM Plex Sans Arabic" w:cs="IBM Plex Sans Arabic"/>
      <w:rtl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eader" Target="header1.xml"/><Relationship Id="rId10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