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47.6%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47.6%.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2026-09-19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2026-09-19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2026-09-19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متاح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متاح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