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يمكن قراءة هذا الحكم في اتجاهين: «جاذبية السوق» أقوى الجوانب (‏89%‏) ويدعم الدخول الكامل، و«شدة المنافسة» أضعفها (‏37%‏) ويدعم عدم الدخول.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نأخذ بأيٍّ من الاتجاهين، لأن التقييم الكلي يقع في نطاق الدخول المشروط، والقرار النهائي ينتظر استيفاء الشروط المحددة.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(‏85%‏)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2026-10-15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15 من 16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