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rPr>
          <w:cantSplit/>
        </w:trP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rPr>
          <w:cantSplit/>
        </w:trP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rPr>
          <w:cantSplit/>
        </w:trP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rPr>
          <w:cantSplit/>
        </w:trP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2026-10-15</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a confidence of 60% or more and no open conditions; we decline when it falls below 45 or when market safety breaks down; anything in between is a conditional entry, with the conditions named below.</w:t>
      </w:r>
    </w:p>
    <w:p>
      <w:r>
        <w:t>We rate this opportunity 64 out of 100, and our confidence in that rating is about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rPr>
          <w:cantSplit/>
        </w:trP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Observed from direct sources.</w:t>
            </w:r>
          </w:p>
        </w:tc>
      </w:tr>
      <w:tr>
        <w:trPr>
          <w:cantSplit/>
        </w:trP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Observed from direct sources.</w:t>
            </w:r>
          </w:p>
        </w:tc>
      </w:tr>
      <w:tr>
        <w:trPr>
          <w:cantSplit/>
        </w:trP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Measures low tariffs and how clearly the rules are published — it does not mean your facility holds the approvals.</w:t>
            </w:r>
          </w:p>
        </w:tc>
      </w:tr>
      <w:tr>
        <w:trPr>
          <w:cantSplit/>
        </w:trP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computed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rPr>
          <w:cantSplit/>
        </w:trP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computed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Condition 1: The Margin headroom aspect is not computed yet — it requires: price headroom at the border, your price against the market. Close these before you commit to production or shipping.</w:t>
      </w:r>
    </w:p>
    <w:p>
      <w:pPr>
        <w:pStyle w:val="ListBullet"/>
      </w:pPr>
      <w:r>
        <w:t>Condition 2: The Market safety (risk) aspect is not computed yet — it requires: political stability, regulatory quality, logistics performance, currency stability. Close these before you commit to production or shipping.</w:t>
      </w:r>
    </w:p>
    <w:p>
      <w:pPr>
        <w:pStyle w:val="ListBullet"/>
      </w:pPr>
      <w:r>
        <w:t>Condition 3: Pillar Regulatory fit is weak (38%) — address it before you commit, or enter at a size that can absorb it.</w:t>
      </w:r>
    </w:p>
    <w:p>
      <w:pPr>
        <w:pStyle w:val="Heading2"/>
      </w:pPr>
      <w:r>
        <w:t>90-day plan frame</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b/>
                <w:color w:val="FFFFFF"/>
              </w:rPr>
              <w:t>Condition</w:t>
            </w:r>
          </w:p>
        </w:tc>
        <w:tc>
          <w:tcPr>
            <w:tcW w:type="dxa" w:w="2246"/>
            <w:shd w:val="clear" w:fill="166534"/>
            <w:tcMar>
              <w:top w:w="100" w:type="dxa"/>
              <w:bottom w:w="100" w:type="dxa"/>
              <w:left w:w="120" w:type="dxa"/>
              <w:right w:w="120" w:type="dxa"/>
            </w:tcMar>
          </w:tcPr>
          <w:p>
            <w:pPr>
              <w:bidi/>
              <w:jc w:val="start"/>
            </w:pPr>
            <w:r>
              <w:rPr>
                <w:b/>
                <w:color w:val="FFFFFF"/>
              </w:rPr>
              <w:t>Action</w:t>
            </w:r>
          </w:p>
        </w:tc>
        <w:tc>
          <w:tcPr>
            <w:tcW w:type="dxa" w:w="1497"/>
            <w:shd w:val="clear" w:fill="166534"/>
            <w:tcMar>
              <w:top w:w="100" w:type="dxa"/>
              <w:bottom w:w="100" w:type="dxa"/>
              <w:left w:w="120" w:type="dxa"/>
              <w:right w:w="120" w:type="dxa"/>
            </w:tcMar>
          </w:tcPr>
          <w:p>
            <w:pPr>
              <w:bidi/>
              <w:jc w:val="start"/>
            </w:pPr>
            <w:r>
              <w:rPr>
                <w:b/>
                <w:color w:val="FFFFFF"/>
              </w:rPr>
              <w:t>Owner</w:t>
            </w:r>
          </w:p>
        </w:tc>
        <w:tc>
          <w:tcPr>
            <w:tcW w:type="dxa" w:w="1347"/>
            <w:shd w:val="clear" w:fill="166534"/>
            <w:tcMar>
              <w:top w:w="100" w:type="dxa"/>
              <w:bottom w:w="100" w:type="dxa"/>
              <w:left w:w="120" w:type="dxa"/>
              <w:right w:w="120" w:type="dxa"/>
            </w:tcMar>
          </w:tcPr>
          <w:p>
            <w:pPr>
              <w:bidi/>
              <w:jc w:val="start"/>
            </w:pPr>
            <w:r>
              <w:rPr>
                <w:b/>
                <w:color w:val="FFFFFF"/>
              </w:rPr>
              <w:t>Timing</w:t>
            </w:r>
          </w:p>
        </w:tc>
        <w:tc>
          <w:tcPr>
            <w:tcW w:type="dxa" w:w="1497"/>
            <w:shd w:val="clear" w:fill="166534"/>
            <w:tcMar>
              <w:top w:w="100" w:type="dxa"/>
              <w:bottom w:w="100" w:type="dxa"/>
              <w:left w:w="120" w:type="dxa"/>
              <w:right w:w="120" w:type="dxa"/>
            </w:tcMar>
          </w:tcPr>
          <w:p>
            <w:pPr>
              <w:bidi/>
              <w:jc w:val="start"/>
            </w:pPr>
            <w:r>
              <w:rPr>
                <w:b/>
                <w:color w:val="FFFFFF"/>
              </w:rPr>
              <w:t>Output</w:t>
            </w:r>
          </w:p>
        </w:tc>
        <w:tc>
          <w:tcPr>
            <w:tcW w:type="dxa" w:w="1872"/>
            <w:shd w:val="clear" w:fill="166534"/>
            <w:tcMar>
              <w:top w:w="100" w:type="dxa"/>
              <w:bottom w:w="100" w:type="dxa"/>
              <w:left w:w="120" w:type="dxa"/>
              <w:right w:w="120" w:type="dxa"/>
            </w:tcMar>
          </w:tcPr>
          <w:p>
            <w:pPr>
              <w:bidi/>
              <w:jc w:val="start"/>
            </w:pPr>
            <w:r>
              <w:rPr>
                <w:b/>
                <w:color w:val="FFFFFF"/>
              </w:rPr>
              <w:t>Continue or stop</w:t>
            </w:r>
          </w:p>
        </w:tc>
      </w:tr>
      <w:tr>
        <w:trPr>
          <w:cantSplit/>
        </w:trPr>
        <w:tc>
          <w:tcPr>
            <w:tcW w:type="dxa" w:w="898"/>
            <w:tcMar>
              <w:top w:w="100" w:type="dxa"/>
              <w:bottom w:w="100" w:type="dxa"/>
              <w:left w:w="120" w:type="dxa"/>
              <w:right w:w="120" w:type="dxa"/>
            </w:tcMar>
          </w:tcPr>
          <w:p>
            <w:pPr>
              <w:bidi/>
              <w:jc w:val="start"/>
            </w:pPr>
            <w:r>
              <w:t>Condition 1</w:t>
            </w:r>
          </w:p>
        </w:tc>
        <w:tc>
          <w:tcPr>
            <w:tcW w:type="dxa" w:w="2246"/>
            <w:tcMar>
              <w:top w:w="100" w:type="dxa"/>
              <w:bottom w:w="100" w:type="dxa"/>
              <w:left w:w="120" w:type="dxa"/>
              <w:right w:w="120" w:type="dxa"/>
            </w:tcMar>
          </w:tcPr>
          <w:p>
            <w:pPr>
              <w:bidi/>
              <w:jc w:val="start"/>
            </w:pPr>
            <w:r>
              <w:t>complete price headroom at the border, your price against the market</w:t>
            </w:r>
          </w:p>
        </w:tc>
        <w:tc>
          <w:tcPr>
            <w:tcW w:type="dxa" w:w="1497"/>
            <w:tcMar>
              <w:top w:w="100" w:type="dxa"/>
              <w:bottom w:w="100" w:type="dxa"/>
              <w:left w:w="120" w:type="dxa"/>
              <w:right w:w="120" w:type="dxa"/>
            </w:tcMar>
          </w:tcPr>
          <w:p>
            <w:pPr>
              <w:bidi/>
              <w:jc w:val="start"/>
            </w:pPr>
            <w:r>
              <w:t>Factory — cost and price (suggested)</w:t>
            </w:r>
          </w:p>
        </w:tc>
        <w:tc>
          <w:tcPr>
            <w:tcW w:type="dxa" w:w="1347"/>
            <w:tcMar>
              <w:top w:w="100" w:type="dxa"/>
              <w:bottom w:w="100" w:type="dxa"/>
              <w:left w:w="120" w:type="dxa"/>
              <w:right w:w="120" w:type="dxa"/>
            </w:tcMar>
          </w:tcPr>
          <w:p>
            <w:pPr>
              <w:bidi/>
              <w:jc w:val="start"/>
            </w:pPr>
            <w:r>
              <w:t>Weeks 1–4</w:t>
            </w:r>
          </w:p>
        </w:tc>
        <w:tc>
          <w:tcPr>
            <w:tcW w:type="dxa" w:w="1497"/>
            <w:tcMar>
              <w:top w:w="100" w:type="dxa"/>
              <w:bottom w:w="100" w:type="dxa"/>
              <w:left w:w="120" w:type="dxa"/>
              <w:right w:w="120" w:type="dxa"/>
            </w:tcMar>
          </w:tcPr>
          <w:p>
            <w:pPr>
              <w:bidi/>
              <w:jc w:val="start"/>
            </w:pPr>
            <w:r>
              <w:t>Completed inputs, then a re-evaluation</w:t>
            </w:r>
          </w:p>
        </w:tc>
        <w:tc>
          <w:tcPr>
            <w:tcW w:type="dxa" w:w="1872"/>
            <w:tcMar>
              <w:top w:w="100" w:type="dxa"/>
              <w:bottom w:w="100" w:type="dxa"/>
              <w:left w:w="120" w:type="dxa"/>
              <w:right w:w="120" w:type="dxa"/>
            </w:tcMar>
          </w:tcPr>
          <w:p>
            <w:pPr>
              <w:bidi/>
              <w:jc w:val="start"/>
            </w:pPr>
            <w:r>
              <w:t>Re-evaluate with the inputs — the recommendation does not turn into "enter" automatically</w:t>
            </w:r>
          </w:p>
        </w:tc>
      </w:tr>
      <w:tr>
        <w:trPr>
          <w:cantSplit/>
        </w:trPr>
        <w:tc>
          <w:tcPr>
            <w:tcW w:type="dxa" w:w="898"/>
            <w:tcMar>
              <w:top w:w="100" w:type="dxa"/>
              <w:bottom w:w="100" w:type="dxa"/>
              <w:left w:w="120" w:type="dxa"/>
              <w:right w:w="120" w:type="dxa"/>
            </w:tcMar>
            <w:shd w:val="clear" w:fill="F2F7F3"/>
          </w:tcPr>
          <w:p>
            <w:pPr>
              <w:bidi/>
              <w:jc w:val="start"/>
            </w:pPr>
            <w:r>
              <w:t>Condition 2</w:t>
            </w:r>
          </w:p>
        </w:tc>
        <w:tc>
          <w:tcPr>
            <w:tcW w:type="dxa" w:w="2246"/>
            <w:tcMar>
              <w:top w:w="100" w:type="dxa"/>
              <w:bottom w:w="100" w:type="dxa"/>
              <w:left w:w="120" w:type="dxa"/>
              <w:right w:w="120" w:type="dxa"/>
            </w:tcMar>
            <w:shd w:val="clear" w:fill="F2F7F3"/>
          </w:tcPr>
          <w:p>
            <w:pPr>
              <w:bidi/>
              <w:jc w:val="start"/>
            </w:pPr>
            <w:r>
              <w:t>complete political stability, regulatory quality, logistics performance, currency stability</w:t>
            </w:r>
          </w:p>
        </w:tc>
        <w:tc>
          <w:tcPr>
            <w:tcW w:type="dxa" w:w="1497"/>
            <w:tcMar>
              <w:top w:w="100" w:type="dxa"/>
              <w:bottom w:w="100" w:type="dxa"/>
              <w:left w:w="120" w:type="dxa"/>
              <w:right w:w="120" w:type="dxa"/>
            </w:tcMar>
            <w:shd w:val="clear" w:fill="F2F7F3"/>
          </w:tcPr>
          <w:p>
            <w:pPr>
              <w:bidi/>
              <w:jc w:val="start"/>
            </w:pPr>
            <w:r>
              <w:t>Study team — complete the data (suggested)</w:t>
            </w:r>
          </w:p>
        </w:tc>
        <w:tc>
          <w:tcPr>
            <w:tcW w:type="dxa" w:w="1347"/>
            <w:tcMar>
              <w:top w:w="100" w:type="dxa"/>
              <w:bottom w:w="100" w:type="dxa"/>
              <w:left w:w="120" w:type="dxa"/>
              <w:right w:w="120" w:type="dxa"/>
            </w:tcMar>
            <w:shd w:val="clear" w:fill="F2F7F3"/>
          </w:tcPr>
          <w:p>
            <w:pPr>
              <w:bidi/>
              <w:jc w:val="start"/>
            </w:pPr>
            <w:r>
              <w:t>Weeks 1–4</w:t>
            </w:r>
          </w:p>
        </w:tc>
        <w:tc>
          <w:tcPr>
            <w:tcW w:type="dxa" w:w="1497"/>
            <w:tcMar>
              <w:top w:w="100" w:type="dxa"/>
              <w:bottom w:w="100" w:type="dxa"/>
              <w:left w:w="120" w:type="dxa"/>
              <w:right w:w="120" w:type="dxa"/>
            </w:tcMar>
            <w:shd w:val="clear" w:fill="F2F7F3"/>
          </w:tcPr>
          <w:p>
            <w:pPr>
              <w:bidi/>
              <w:jc w:val="start"/>
            </w:pPr>
            <w:r>
              <w:t>Completed inputs, then a re-evaluation</w:t>
            </w:r>
          </w:p>
        </w:tc>
        <w:tc>
          <w:tcPr>
            <w:tcW w:type="dxa" w:w="1872"/>
            <w:tcMar>
              <w:top w:w="100" w:type="dxa"/>
              <w:bottom w:w="100" w:type="dxa"/>
              <w:left w:w="120" w:type="dxa"/>
              <w:right w:w="120" w:type="dxa"/>
            </w:tcMar>
            <w:shd w:val="clear" w:fill="F2F7F3"/>
          </w:tcPr>
          <w:p>
            <w:pPr>
              <w:bidi/>
              <w:jc w:val="start"/>
            </w:pPr>
            <w:r>
              <w:t>Re-evaluate with the inputs — the recommendation does not turn into "enter" automatically</w:t>
            </w:r>
          </w:p>
        </w:tc>
      </w:tr>
      <w:tr>
        <w:trPr>
          <w:cantSplit/>
        </w:trPr>
        <w:tc>
          <w:tcPr>
            <w:tcW w:type="dxa" w:w="898"/>
            <w:tcMar>
              <w:top w:w="100" w:type="dxa"/>
              <w:bottom w:w="100" w:type="dxa"/>
              <w:left w:w="120" w:type="dxa"/>
              <w:right w:w="120" w:type="dxa"/>
            </w:tcMar>
          </w:tcPr>
          <w:p>
            <w:pPr>
              <w:bidi/>
              <w:jc w:val="start"/>
            </w:pPr>
            <w:r>
              <w:t>Condition 3</w:t>
            </w:r>
          </w:p>
        </w:tc>
        <w:tc>
          <w:tcPr>
            <w:tcW w:type="dxa" w:w="2246"/>
            <w:tcMar>
              <w:top w:w="100" w:type="dxa"/>
              <w:bottom w:w="100" w:type="dxa"/>
              <w:left w:w="120" w:type="dxa"/>
              <w:right w:w="120" w:type="dxa"/>
            </w:tcMar>
          </w:tcPr>
          <w:p>
            <w:pPr>
              <w:bidi/>
              <w:jc w:val="start"/>
            </w:pPr>
            <w:r>
              <w:t>Address the weak Regulatory fit aspect before committing</w:t>
            </w:r>
          </w:p>
        </w:tc>
        <w:tc>
          <w:tcPr>
            <w:tcW w:type="dxa" w:w="1497"/>
            <w:tcMar>
              <w:top w:w="100" w:type="dxa"/>
              <w:bottom w:w="100" w:type="dxa"/>
              <w:left w:w="120" w:type="dxa"/>
              <w:right w:w="120" w:type="dxa"/>
            </w:tcMar>
          </w:tcPr>
          <w:p>
            <w:pPr>
              <w:bidi/>
              <w:jc w:val="start"/>
            </w:pPr>
            <w:r>
              <w:t>Factory management — commercial decision (suggested)</w:t>
            </w:r>
          </w:p>
        </w:tc>
        <w:tc>
          <w:tcPr>
            <w:tcW w:type="dxa" w:w="1347"/>
            <w:tcMar>
              <w:top w:w="100" w:type="dxa"/>
              <w:bottom w:w="100" w:type="dxa"/>
              <w:left w:w="120" w:type="dxa"/>
              <w:right w:w="120" w:type="dxa"/>
            </w:tcMar>
          </w:tcPr>
          <w:p>
            <w:pPr>
              <w:bidi/>
              <w:jc w:val="start"/>
            </w:pPr>
            <w:r>
              <w:t>Weeks 5–8, after the data is complete</w:t>
            </w:r>
          </w:p>
        </w:tc>
        <w:tc>
          <w:tcPr>
            <w:tcW w:type="dxa" w:w="1497"/>
            <w:tcMar>
              <w:top w:w="100" w:type="dxa"/>
              <w:bottom w:w="100" w:type="dxa"/>
              <w:left w:w="120" w:type="dxa"/>
              <w:right w:w="120" w:type="dxa"/>
            </w:tcMar>
          </w:tcPr>
          <w:p>
            <w:pPr>
              <w:bidi/>
              <w:jc w:val="start"/>
            </w:pPr>
            <w:r>
              <w:t>A documented decision to fix or accept the weakness</w:t>
            </w:r>
          </w:p>
        </w:tc>
        <w:tc>
          <w:tcPr>
            <w:tcW w:type="dxa" w:w="1872"/>
            <w:tcMar>
              <w:top w:w="100" w:type="dxa"/>
              <w:bottom w:w="100" w:type="dxa"/>
              <w:left w:w="120" w:type="dxa"/>
              <w:right w:w="120" w:type="dxa"/>
            </w:tcMar>
          </w:tcPr>
          <w:p>
            <w:pPr>
              <w:bidi/>
              <w:jc w:val="start"/>
            </w:pPr>
            <w:r>
              <w:t>Continue if the aspect reaches 50% or more; otherwise defer</w:t>
            </w:r>
          </w:p>
        </w:tc>
      </w:tr>
    </w:tbl>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2"/>
      </w:pPr>
      <w:r>
        <w:t>Entry and exit requirements by type</w:t>
      </w:r>
    </w:p>
    <w:p>
      <w:r>
        <w:t>8 requirement items, 2 of them legally mandatory — the item texts are in the Arabic edition of this study.</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r>
        <w:t>Lowest competing shelf price observed in the market: 14.0 € (pricing basis: retail).</w:t>
      </w:r>
    </w:p>
    <w:p>
      <w:r>
        <w:t>To match that price after freight, duties and distribution margins, your ex-factory cost must not exceed 15.29 €/kg (under the mid scenario assumptions below).</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b/>
                <w:color w:val="FFFFFF"/>
              </w:rPr>
              <w:t>Scenario</w:t>
            </w:r>
          </w:p>
        </w:tc>
        <w:tc>
          <w:tcPr>
            <w:tcW w:type="dxa" w:w="1872"/>
            <w:shd w:val="clear" w:fill="166534"/>
            <w:tcMar>
              <w:top w:w="100" w:type="dxa"/>
              <w:bottom w:w="100" w:type="dxa"/>
              <w:left w:w="120" w:type="dxa"/>
              <w:right w:w="120" w:type="dxa"/>
            </w:tcMar>
          </w:tcPr>
          <w:p>
            <w:pPr>
              <w:bidi/>
              <w:jc w:val="start"/>
            </w:pPr>
            <w:r>
              <w:rPr>
                <w:b/>
                <w:color w:val="FFFFFF"/>
              </w:rPr>
              <w:t>Freight %</w:t>
            </w:r>
          </w:p>
        </w:tc>
        <w:tc>
          <w:tcPr>
            <w:tcW w:type="dxa" w:w="1872"/>
            <w:shd w:val="clear" w:fill="166534"/>
            <w:tcMar>
              <w:top w:w="100" w:type="dxa"/>
              <w:bottom w:w="100" w:type="dxa"/>
              <w:left w:w="120" w:type="dxa"/>
              <w:right w:w="120" w:type="dxa"/>
            </w:tcMar>
          </w:tcPr>
          <w:p>
            <w:pPr>
              <w:bidi/>
              <w:jc w:val="start"/>
            </w:pPr>
            <w:r>
              <w:rPr>
                <w:b/>
                <w:color w:val="FFFFFF"/>
              </w:rPr>
              <w:t>Distributor margin %</w:t>
            </w:r>
          </w:p>
        </w:tc>
        <w:tc>
          <w:tcPr>
            <w:tcW w:type="dxa" w:w="1872"/>
            <w:shd w:val="clear" w:fill="166534"/>
            <w:tcMar>
              <w:top w:w="100" w:type="dxa"/>
              <w:bottom w:w="100" w:type="dxa"/>
              <w:left w:w="120" w:type="dxa"/>
              <w:right w:w="120" w:type="dxa"/>
            </w:tcMar>
          </w:tcPr>
          <w:p>
            <w:pPr>
              <w:bidi/>
              <w:jc w:val="start"/>
            </w:pPr>
            <w:r>
              <w:rPr>
                <w:b/>
                <w:color w:val="FFFFFF"/>
              </w:rPr>
              <w:t>Retail margin %</w:t>
            </w:r>
          </w:p>
        </w:tc>
        <w:tc>
          <w:tcPr>
            <w:tcW w:type="dxa" w:w="1872"/>
            <w:shd w:val="clear" w:fill="166534"/>
            <w:tcMar>
              <w:top w:w="100" w:type="dxa"/>
              <w:bottom w:w="100" w:type="dxa"/>
              <w:left w:w="120" w:type="dxa"/>
              <w:right w:w="120" w:type="dxa"/>
            </w:tcMar>
          </w:tcPr>
          <w:p>
            <w:pPr>
              <w:bidi/>
              <w:jc w:val="start"/>
            </w:pPr>
            <w:r>
              <w:rPr>
                <w:b/>
                <w:color w:val="FFFFFF"/>
              </w:rPr>
              <w:t>Max ex-factory price (€/kg)</w:t>
            </w:r>
          </w:p>
        </w:tc>
      </w:tr>
      <w:tr>
        <w:trPr>
          <w:cantSplit/>
        </w:trPr>
        <w:tc>
          <w:tcPr>
            <w:tcW w:type="dxa" w:w="1872"/>
            <w:tcMar>
              <w:top w:w="100" w:type="dxa"/>
              <w:bottom w:w="100" w:type="dxa"/>
              <w:left w:w="120" w:type="dxa"/>
              <w:right w:w="120" w:type="dxa"/>
            </w:tcMar>
          </w:tcPr>
          <w:p>
            <w:pPr>
              <w:bidi/>
              <w:jc w:val="start"/>
            </w:pPr>
            <w:r>
              <w:t>low</w:t>
            </w:r>
          </w:p>
        </w:tc>
        <w:tc>
          <w:tcPr>
            <w:tcW w:type="dxa" w:w="1872"/>
            <w:tcMar>
              <w:top w:w="100" w:type="dxa"/>
              <w:bottom w:w="100" w:type="dxa"/>
              <w:left w:w="120" w:type="dxa"/>
              <w:right w:w="120" w:type="dxa"/>
            </w:tcMar>
          </w:tcPr>
          <w:p>
            <w:pPr>
              <w:bidi/>
              <w:jc w:val="start"/>
            </w:pPr>
            <w:r>
              <w:t>5.0</w:t>
            </w:r>
          </w:p>
        </w:tc>
        <w:tc>
          <w:tcPr>
            <w:tcW w:type="dxa" w:w="1872"/>
            <w:tcMar>
              <w:top w:w="100" w:type="dxa"/>
              <w:bottom w:w="100" w:type="dxa"/>
              <w:left w:w="120" w:type="dxa"/>
              <w:right w:w="120" w:type="dxa"/>
            </w:tcMar>
          </w:tcPr>
          <w:p>
            <w:pPr>
              <w:bidi/>
              <w:jc w:val="start"/>
            </w:pPr>
            <w:r>
              <w:t>10.0</w:t>
            </w:r>
          </w:p>
        </w:tc>
        <w:tc>
          <w:tcPr>
            <w:tcW w:type="dxa" w:w="1872"/>
            <w:tcMar>
              <w:top w:w="100" w:type="dxa"/>
              <w:bottom w:w="100" w:type="dxa"/>
              <w:left w:w="120" w:type="dxa"/>
              <w:right w:w="120" w:type="dxa"/>
            </w:tcMar>
          </w:tcPr>
          <w:p>
            <w:pPr>
              <w:bidi/>
              <w:jc w:val="start"/>
            </w:pPr>
            <w:r>
              <w:t>15.0</w:t>
            </w:r>
          </w:p>
        </w:tc>
        <w:tc>
          <w:tcPr>
            <w:tcW w:type="dxa" w:w="1872"/>
            <w:tcMar>
              <w:top w:w="100" w:type="dxa"/>
              <w:bottom w:w="100" w:type="dxa"/>
              <w:left w:w="120" w:type="dxa"/>
              <w:right w:w="120" w:type="dxa"/>
            </w:tcMar>
          </w:tcPr>
          <w:p>
            <w:pPr>
              <w:bidi/>
              <w:jc w:val="start"/>
            </w:pPr>
            <w:r>
              <w:t>19.3398</w:t>
            </w:r>
          </w:p>
        </w:tc>
      </w:tr>
      <w:tr>
        <w:trPr>
          <w:cantSplit/>
        </w:trPr>
        <w:tc>
          <w:tcPr>
            <w:tcW w:type="dxa" w:w="1872"/>
            <w:tcMar>
              <w:top w:w="100" w:type="dxa"/>
              <w:bottom w:w="100" w:type="dxa"/>
              <w:left w:w="120" w:type="dxa"/>
              <w:right w:w="120" w:type="dxa"/>
            </w:tcMar>
            <w:shd w:val="clear" w:fill="F2F7F3"/>
          </w:tcPr>
          <w:p>
            <w:pPr>
              <w:bidi/>
              <w:jc w:val="start"/>
            </w:pPr>
            <w:r>
              <w:t>mid</w:t>
            </w:r>
          </w:p>
        </w:tc>
        <w:tc>
          <w:tcPr>
            <w:tcW w:type="dxa" w:w="1872"/>
            <w:tcMar>
              <w:top w:w="100" w:type="dxa"/>
              <w:bottom w:w="100" w:type="dxa"/>
              <w:left w:w="120" w:type="dxa"/>
              <w:right w:w="120" w:type="dxa"/>
            </w:tcMar>
            <w:shd w:val="clear" w:fill="F2F7F3"/>
          </w:tcPr>
          <w:p>
            <w:pPr>
              <w:bidi/>
              <w:jc w:val="start"/>
            </w:pPr>
            <w:r>
              <w:t>12.0</w:t>
            </w:r>
          </w:p>
        </w:tc>
        <w:tc>
          <w:tcPr>
            <w:tcW w:type="dxa" w:w="1872"/>
            <w:tcMar>
              <w:top w:w="100" w:type="dxa"/>
              <w:bottom w:w="100" w:type="dxa"/>
              <w:left w:w="120" w:type="dxa"/>
              <w:right w:w="120" w:type="dxa"/>
            </w:tcMar>
            <w:shd w:val="clear" w:fill="F2F7F3"/>
          </w:tcPr>
          <w:p>
            <w:pPr>
              <w:bidi/>
              <w:jc w:val="start"/>
            </w:pPr>
            <w:r>
              <w:t>20.0</w:t>
            </w:r>
          </w:p>
        </w:tc>
        <w:tc>
          <w:tcPr>
            <w:tcW w:type="dxa" w:w="1872"/>
            <w:tcMar>
              <w:top w:w="100" w:type="dxa"/>
              <w:bottom w:w="100" w:type="dxa"/>
              <w:left w:w="120" w:type="dxa"/>
              <w:right w:w="120" w:type="dxa"/>
            </w:tcMar>
            <w:shd w:val="clear" w:fill="F2F7F3"/>
          </w:tcPr>
          <w:p>
            <w:pPr>
              <w:bidi/>
              <w:jc w:val="start"/>
            </w:pPr>
            <w:r>
              <w:t>25.0</w:t>
            </w:r>
          </w:p>
        </w:tc>
        <w:tc>
          <w:tcPr>
            <w:tcW w:type="dxa" w:w="1872"/>
            <w:tcMar>
              <w:top w:w="100" w:type="dxa"/>
              <w:bottom w:w="100" w:type="dxa"/>
              <w:left w:w="120" w:type="dxa"/>
              <w:right w:w="120" w:type="dxa"/>
            </w:tcMar>
            <w:shd w:val="clear" w:fill="F2F7F3"/>
          </w:tcPr>
          <w:p>
            <w:pPr>
              <w:bidi/>
              <w:jc w:val="start"/>
            </w:pPr>
            <w:r>
              <w:t>15.2905</w:t>
            </w:r>
          </w:p>
        </w:tc>
      </w:tr>
      <w:tr>
        <w:trPr>
          <w:cantSplit/>
        </w:trPr>
        <w:tc>
          <w:tcPr>
            <w:tcW w:type="dxa" w:w="1872"/>
            <w:tcMar>
              <w:top w:w="100" w:type="dxa"/>
              <w:bottom w:w="100" w:type="dxa"/>
              <w:left w:w="120" w:type="dxa"/>
              <w:right w:w="120" w:type="dxa"/>
            </w:tcMar>
          </w:tcPr>
          <w:p>
            <w:pPr>
              <w:bidi/>
              <w:jc w:val="start"/>
            </w:pPr>
            <w:r>
              <w:t>high</w:t>
            </w:r>
          </w:p>
        </w:tc>
        <w:tc>
          <w:tcPr>
            <w:tcW w:type="dxa" w:w="1872"/>
            <w:tcMar>
              <w:top w:w="100" w:type="dxa"/>
              <w:bottom w:w="100" w:type="dxa"/>
              <w:left w:w="120" w:type="dxa"/>
              <w:right w:w="120" w:type="dxa"/>
            </w:tcMar>
          </w:tcPr>
          <w:p>
            <w:pPr>
              <w:bidi/>
              <w:jc w:val="start"/>
            </w:pPr>
            <w:r>
              <w:t>25.0</w:t>
            </w:r>
          </w:p>
        </w:tc>
        <w:tc>
          <w:tcPr>
            <w:tcW w:type="dxa" w:w="1872"/>
            <w:tcMar>
              <w:top w:w="100" w:type="dxa"/>
              <w:bottom w:w="100" w:type="dxa"/>
              <w:left w:w="120" w:type="dxa"/>
              <w:right w:w="120" w:type="dxa"/>
            </w:tcMar>
          </w:tcPr>
          <w:p>
            <w:pPr>
              <w:bidi/>
              <w:jc w:val="start"/>
            </w:pPr>
            <w:r>
              <w:t>30.0</w:t>
            </w:r>
          </w:p>
        </w:tc>
        <w:tc>
          <w:tcPr>
            <w:tcW w:type="dxa" w:w="1872"/>
            <w:tcMar>
              <w:top w:w="100" w:type="dxa"/>
              <w:bottom w:w="100" w:type="dxa"/>
              <w:left w:w="120" w:type="dxa"/>
              <w:right w:w="120" w:type="dxa"/>
            </w:tcMar>
          </w:tcPr>
          <w:p>
            <w:pPr>
              <w:bidi/>
              <w:jc w:val="start"/>
            </w:pPr>
            <w:r>
              <w:t>40.0</w:t>
            </w:r>
          </w:p>
        </w:tc>
        <w:tc>
          <w:tcPr>
            <w:tcW w:type="dxa" w:w="1872"/>
            <w:tcMar>
              <w:top w:w="100" w:type="dxa"/>
              <w:bottom w:w="100" w:type="dxa"/>
              <w:left w:w="120" w:type="dxa"/>
              <w:right w:w="120" w:type="dxa"/>
            </w:tcMar>
          </w:tcPr>
          <w:p>
            <w:pPr>
              <w:bidi/>
              <w:jc w:val="start"/>
            </w:pPr>
            <w:r>
              <w:t>11.2915</w:t>
            </w:r>
          </w:p>
        </w:tc>
      </w:tr>
    </w:tbl>
    <w:p>
      <w:r>
        <w:t>The values above are declared, adjustable assumptions — enter your actual figures (your freight and distributor margins) to refine the ceiling.</w:t>
      </w:r>
    </w:p>
    <w:p>
      <w:pPr>
        <w:pStyle w:val="Heading3"/>
      </w:pPr>
      <w:r>
        <w:t>Sensitivity of the maximum ex-works price</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Factor</w:t>
            </w:r>
          </w:p>
        </w:tc>
        <w:tc>
          <w:tcPr>
            <w:tcW w:type="dxa" w:w="3120"/>
            <w:shd w:val="clear" w:fill="166534"/>
            <w:tcMar>
              <w:top w:w="100" w:type="dxa"/>
              <w:bottom w:w="100" w:type="dxa"/>
              <w:left w:w="120" w:type="dxa"/>
              <w:right w:w="120" w:type="dxa"/>
            </w:tcMar>
          </w:tcPr>
          <w:p>
            <w:pPr>
              <w:bidi/>
              <w:jc w:val="start"/>
            </w:pPr>
            <w:r>
              <w:rPr>
                <w:b/>
                <w:color w:val="FFFFFF"/>
              </w:rPr>
              <w:t>Change</w:t>
            </w:r>
          </w:p>
        </w:tc>
        <w:tc>
          <w:tcPr>
            <w:tcW w:type="dxa" w:w="3120"/>
            <w:shd w:val="clear" w:fill="166534"/>
            <w:tcMar>
              <w:top w:w="100" w:type="dxa"/>
              <w:bottom w:w="100" w:type="dxa"/>
              <w:left w:w="120" w:type="dxa"/>
              <w:right w:w="120" w:type="dxa"/>
            </w:tcMar>
          </w:tcPr>
          <w:p>
            <w:pPr>
              <w:bidi/>
              <w:jc w:val="start"/>
            </w:pPr>
            <w:r>
              <w:rPr>
                <w:b/>
                <w:color w:val="FFFFFF"/>
              </w:rPr>
              <w:t>Max ex-factory price</w:t>
            </w:r>
          </w:p>
        </w:tc>
      </w:tr>
      <w:tr>
        <w:trPr>
          <w:cantSplit/>
        </w:trPr>
        <w:tc>
          <w:tcPr>
            <w:tcW w:type="dxa" w:w="3120"/>
            <w:tcMar>
              <w:top w:w="100" w:type="dxa"/>
              <w:bottom w:w="100" w:type="dxa"/>
              <w:left w:w="120" w:type="dxa"/>
              <w:right w:w="120" w:type="dxa"/>
            </w:tcMar>
          </w:tcPr>
          <w:p>
            <w:pPr>
              <w:bidi/>
              <w:jc w:val="start"/>
            </w:pPr>
            <w:r>
              <w:t>Competitor shelf price</w:t>
            </w:r>
          </w:p>
        </w:tc>
        <w:tc>
          <w:tcPr>
            <w:tcW w:type="dxa" w:w="3120"/>
            <w:tcMar>
              <w:top w:w="100" w:type="dxa"/>
              <w:bottom w:w="100" w:type="dxa"/>
              <w:left w:w="120" w:type="dxa"/>
              <w:right w:w="120" w:type="dxa"/>
            </w:tcMar>
          </w:tcPr>
          <w:p>
            <w:pPr>
              <w:bidi/>
              <w:jc w:val="start"/>
            </w:pPr>
            <w:r>
              <w:t>-10%</w:t>
            </w:r>
          </w:p>
        </w:tc>
        <w:tc>
          <w:tcPr>
            <w:tcW w:type="dxa" w:w="3120"/>
            <w:tcMar>
              <w:top w:w="100" w:type="dxa"/>
              <w:bottom w:w="100" w:type="dxa"/>
              <w:left w:w="120" w:type="dxa"/>
              <w:right w:w="120" w:type="dxa"/>
            </w:tcMar>
          </w:tcPr>
          <w:p>
            <w:pPr>
              <w:bidi w:val="0"/>
              <w:jc w:val="start"/>
            </w:pPr>
            <w:r>
              <w:rPr>
                <w:rtl w:val="0"/>
              </w:rPr>
              <w:t>13.76 €/kg</w:t>
            </w:r>
          </w:p>
        </w:tc>
      </w:tr>
      <w:tr>
        <w:trPr>
          <w:cantSplit/>
        </w:trPr>
        <w:tc>
          <w:tcPr>
            <w:tcW w:type="dxa" w:w="3120"/>
            <w:tcMar>
              <w:top w:w="100" w:type="dxa"/>
              <w:bottom w:w="100" w:type="dxa"/>
              <w:left w:w="120" w:type="dxa"/>
              <w:right w:w="120" w:type="dxa"/>
            </w:tcMar>
            <w:shd w:val="clear" w:fill="F2F7F3"/>
          </w:tcPr>
          <w:p>
            <w:pPr>
              <w:bidi/>
              <w:jc w:val="start"/>
            </w:pPr>
            <w:r>
              <w:t>Competitor shelf price</w:t>
            </w:r>
          </w:p>
        </w:tc>
        <w:tc>
          <w:tcPr>
            <w:tcW w:type="dxa" w:w="3120"/>
            <w:tcMar>
              <w:top w:w="100" w:type="dxa"/>
              <w:bottom w:w="100" w:type="dxa"/>
              <w:left w:w="120" w:type="dxa"/>
              <w:right w:w="120" w:type="dxa"/>
            </w:tcMar>
            <w:shd w:val="clear" w:fill="F2F7F3"/>
          </w:tcPr>
          <w:p>
            <w:pPr>
              <w:bidi/>
              <w:jc w:val="start"/>
            </w:pPr>
            <w:r>
              <w:t>+10%</w:t>
            </w:r>
          </w:p>
        </w:tc>
        <w:tc>
          <w:tcPr>
            <w:tcW w:type="dxa" w:w="3120"/>
            <w:tcMar>
              <w:top w:w="100" w:type="dxa"/>
              <w:bottom w:w="100" w:type="dxa"/>
              <w:left w:w="120" w:type="dxa"/>
              <w:right w:w="120" w:type="dxa"/>
            </w:tcMar>
            <w:shd w:val="clear" w:fill="F2F7F3"/>
          </w:tcPr>
          <w:p>
            <w:pPr>
              <w:bidi w:val="0"/>
              <w:jc w:val="start"/>
            </w:pPr>
            <w:r>
              <w:rPr>
                <w:rtl w:val="0"/>
              </w:rPr>
              <w:t>16.82 €/kg</w:t>
            </w:r>
          </w:p>
        </w:tc>
      </w:tr>
      <w:tr>
        <w:trPr>
          <w:cantSplit/>
        </w:trPr>
        <w:tc>
          <w:tcPr>
            <w:tcW w:type="dxa" w:w="3120"/>
            <w:tcMar>
              <w:top w:w="100" w:type="dxa"/>
              <w:bottom w:w="100" w:type="dxa"/>
              <w:left w:w="120" w:type="dxa"/>
              <w:right w:w="120" w:type="dxa"/>
            </w:tcMar>
          </w:tcPr>
          <w:p>
            <w:pPr>
              <w:bidi/>
              <w:jc w:val="start"/>
            </w:pPr>
            <w:r>
              <w:t>Freight as share of ex-works</w:t>
            </w:r>
          </w:p>
        </w:tc>
        <w:tc>
          <w:tcPr>
            <w:tcW w:type="dxa" w:w="3120"/>
            <w:tcMar>
              <w:top w:w="100" w:type="dxa"/>
              <w:bottom w:w="100" w:type="dxa"/>
              <w:left w:w="120" w:type="dxa"/>
              <w:right w:w="120" w:type="dxa"/>
            </w:tcMar>
          </w:tcPr>
          <w:p>
            <w:pPr>
              <w:bidi/>
              <w:jc w:val="start"/>
            </w:pPr>
            <w:r>
              <w:t>+5 pt</w:t>
            </w:r>
          </w:p>
        </w:tc>
        <w:tc>
          <w:tcPr>
            <w:tcW w:type="dxa" w:w="3120"/>
            <w:tcMar>
              <w:top w:w="100" w:type="dxa"/>
              <w:bottom w:w="100" w:type="dxa"/>
              <w:left w:w="120" w:type="dxa"/>
              <w:right w:w="120" w:type="dxa"/>
            </w:tcMar>
          </w:tcPr>
          <w:p>
            <w:pPr>
              <w:bidi w:val="0"/>
              <w:jc w:val="start"/>
            </w:pPr>
            <w:r>
              <w:rPr>
                <w:rtl w:val="0"/>
              </w:rPr>
              <w:t>14.64 €/kg</w:t>
            </w:r>
          </w:p>
        </w:tc>
      </w:tr>
      <w:tr>
        <w:trPr>
          <w:cantSplit/>
        </w:trPr>
        <w:tc>
          <w:tcPr>
            <w:tcW w:type="dxa" w:w="3120"/>
            <w:tcMar>
              <w:top w:w="100" w:type="dxa"/>
              <w:bottom w:w="100" w:type="dxa"/>
              <w:left w:w="120" w:type="dxa"/>
              <w:right w:w="120" w:type="dxa"/>
            </w:tcMar>
            <w:shd w:val="clear" w:fill="F2F7F3"/>
          </w:tcPr>
          <w:p>
            <w:pPr>
              <w:bidi/>
              <w:jc w:val="start"/>
            </w:pPr>
            <w:r>
              <w:t>Freight as share of ex-works</w:t>
            </w:r>
          </w:p>
        </w:tc>
        <w:tc>
          <w:tcPr>
            <w:tcW w:type="dxa" w:w="3120"/>
            <w:tcMar>
              <w:top w:w="100" w:type="dxa"/>
              <w:bottom w:w="100" w:type="dxa"/>
              <w:left w:w="120" w:type="dxa"/>
              <w:right w:w="120" w:type="dxa"/>
            </w:tcMar>
            <w:shd w:val="clear" w:fill="F2F7F3"/>
          </w:tcPr>
          <w:p>
            <w:pPr>
              <w:bidi/>
              <w:jc w:val="start"/>
            </w:pPr>
            <w:r>
              <w:t>-5 pt</w:t>
            </w:r>
          </w:p>
        </w:tc>
        <w:tc>
          <w:tcPr>
            <w:tcW w:type="dxa" w:w="3120"/>
            <w:tcMar>
              <w:top w:w="100" w:type="dxa"/>
              <w:bottom w:w="100" w:type="dxa"/>
              <w:left w:w="120" w:type="dxa"/>
              <w:right w:w="120" w:type="dxa"/>
            </w:tcMar>
            <w:shd w:val="clear" w:fill="F2F7F3"/>
          </w:tcPr>
          <w:p>
            <w:pPr>
              <w:bidi w:val="0"/>
              <w:jc w:val="start"/>
            </w:pPr>
            <w:r>
              <w:rPr>
                <w:rtl w:val="0"/>
              </w:rPr>
              <w:t>16.0 €/kg</w:t>
            </w:r>
          </w:p>
        </w:tc>
      </w:tr>
    </w:tbl>
    <w:p>
      <w:r>
        <w:t>Each row changes one factor and holds the rest at the middle scenario — a reading of direction and size, not a forecast.</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come from official direct sources;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rPr>
          <w:cantSplit/>
        </w:trPr>
        <w:tc>
          <w:tcPr>
            <w:tcW w:type="dxa" w:w="4680"/>
            <w:tcMar>
              <w:top w:w="100" w:type="dxa"/>
              <w:bottom w:w="100" w:type="dxa"/>
              <w:left w:w="120" w:type="dxa"/>
              <w:right w:w="120" w:type="dxa"/>
            </w:tcMar>
          </w:tcPr>
          <w:p>
            <w:pPr>
              <w:bidi/>
              <w:jc w:val="start"/>
            </w:pPr>
            <w:r>
              <w:t>From an official direct source</w:t>
            </w:r>
          </w:p>
        </w:tc>
        <w:tc>
          <w:tcPr>
            <w:tcW w:type="dxa" w:w="4680"/>
            <w:tcMar>
              <w:top w:w="100" w:type="dxa"/>
              <w:bottom w:w="100" w:type="dxa"/>
              <w:left w:w="120" w:type="dxa"/>
              <w:right w:w="120" w:type="dxa"/>
            </w:tcMar>
          </w:tcPr>
          <w:p>
            <w:pPr>
              <w:bidi/>
              <w:jc w:val="start"/>
            </w:pPr>
            <w:r>
              <w:t>9</w:t>
            </w:r>
          </w:p>
        </w:tc>
      </w:tr>
      <w:tr>
        <w:trPr>
          <w:cantSplit/>
        </w:trP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rPr>
          <w:cantSplit/>
        </w:trP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rPr>
          <w:cantSplit/>
        </w:trP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between 11.29 and 19.34 €/كجم, assuming the range comes from the three declared freight and margin scenarios (low/mid/high); the figure shown is the mid scenario</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income, saudi momentum and 9 more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rPr>
          <w:cantSplit/>
          <w:tblHeader/>
        </w:trPr>
        <w:tc>
          <w:tcPr>
            <w:tcW w:type="dxa" w:w="9360"/>
            <w:shd w:val="clear" w:fill="166534"/>
            <w:tcMar>
              <w:top w:w="100" w:type="dxa"/>
              <w:bottom w:w="100" w:type="dxa"/>
              <w:left w:w="120" w:type="dxa"/>
              <w:right w:w="120" w:type="dxa"/>
            </w:tcMar>
          </w:tcPr>
          <w:p>
            <w:pPr>
              <w:bidi/>
              <w:jc w:val="start"/>
            </w:pPr>
            <w:r>
              <w:rPr>
                <w:b/>
                <w:color w:val="FFFFFF"/>
              </w:rPr>
              <w:t>What we don't know yet</w:t>
            </w:r>
          </w:p>
        </w:tc>
      </w:tr>
      <w:tr>
        <w:trPr>
          <w:cantSplit/>
        </w:trPr>
        <w:tc>
          <w:tcPr>
            <w:tcW w:type="dxa" w:w="9360"/>
            <w:tcMar>
              <w:top w:w="100" w:type="dxa"/>
              <w:bottom w:w="100" w:type="dxa"/>
              <w:left w:w="120" w:type="dxa"/>
              <w:right w:w="120" w:type="dxa"/>
            </w:tcMar>
          </w:tcPr>
          <w:p>
            <w:pPr>
              <w:bidi/>
              <w:jc w:val="start"/>
            </w:pPr>
            <w:r>
              <w:t>entry requirements — supported only by unofficial sources</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 — supports: market imports, latest imports data year, supplier concentration (HHI)</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b/>
                <w:color w:val="FFFFFF"/>
              </w:rPr>
              <w:t>Name</w:t>
            </w:r>
          </w:p>
        </w:tc>
        <w:tc>
          <w:tcPr>
            <w:tcW w:type="dxa" w:w="2005"/>
            <w:shd w:val="clear" w:fill="166534"/>
            <w:tcMar>
              <w:top w:w="100" w:type="dxa"/>
              <w:bottom w:w="100" w:type="dxa"/>
              <w:left w:w="120" w:type="dxa"/>
              <w:right w:w="120" w:type="dxa"/>
            </w:tcMar>
          </w:tcPr>
          <w:p>
            <w:pPr>
              <w:bidi/>
              <w:jc w:val="start"/>
            </w:pPr>
            <w:r>
              <w:rPr>
                <w:b/>
                <w:color w:val="FFFFFF"/>
              </w:rPr>
              <w:t>Address</w:t>
            </w:r>
          </w:p>
        </w:tc>
        <w:tc>
          <w:tcPr>
            <w:tcW w:type="dxa" w:w="1337"/>
            <w:shd w:val="clear" w:fill="166534"/>
            <w:tcMar>
              <w:top w:w="100" w:type="dxa"/>
              <w:bottom w:w="100" w:type="dxa"/>
              <w:left w:w="120" w:type="dxa"/>
              <w:right w:w="120" w:type="dxa"/>
            </w:tcMar>
          </w:tcPr>
          <w:p>
            <w:pPr>
              <w:bidi/>
              <w:jc w:val="start"/>
            </w:pPr>
            <w:r>
              <w:rPr>
                <w:b/>
                <w:color w:val="FFFFFF"/>
              </w:rPr>
              <w:t>Phone</w:t>
            </w:r>
          </w:p>
        </w:tc>
        <w:tc>
          <w:tcPr>
            <w:tcW w:type="dxa" w:w="1671"/>
            <w:shd w:val="clear" w:fill="166534"/>
            <w:tcMar>
              <w:top w:w="100" w:type="dxa"/>
              <w:bottom w:w="100" w:type="dxa"/>
              <w:left w:w="120" w:type="dxa"/>
              <w:right w:w="120" w:type="dxa"/>
            </w:tcMar>
          </w:tcPr>
          <w:p>
            <w:pPr>
              <w:bidi/>
              <w:jc w:val="start"/>
            </w:pPr>
            <w:r>
              <w:rPr>
                <w:b/>
                <w:color w:val="FFFFFF"/>
              </w:rPr>
              <w:t>Email</w:t>
            </w:r>
          </w:p>
        </w:tc>
        <w:tc>
          <w:tcPr>
            <w:tcW w:type="dxa" w:w="1671"/>
            <w:shd w:val="clear" w:fill="166534"/>
            <w:tcMar>
              <w:top w:w="100" w:type="dxa"/>
              <w:bottom w:w="100" w:type="dxa"/>
              <w:left w:w="120" w:type="dxa"/>
              <w:right w:w="120" w:type="dxa"/>
            </w:tcMar>
          </w:tcPr>
          <w:p>
            <w:pPr>
              <w:bidi/>
              <w:jc w:val="start"/>
            </w:pPr>
            <w:r>
              <w:rPr>
                <w:b/>
                <w:color w:val="FFFFFF"/>
              </w:rPr>
              <w:t>Website</w:t>
            </w:r>
          </w:p>
        </w:tc>
        <w:tc>
          <w:tcPr>
            <w:tcW w:type="dxa" w:w="668"/>
            <w:shd w:val="clear" w:fill="166534"/>
            <w:tcMar>
              <w:top w:w="100" w:type="dxa"/>
              <w:bottom w:w="100" w:type="dxa"/>
              <w:left w:w="120" w:type="dxa"/>
              <w:right w:w="120" w:type="dxa"/>
            </w:tcMar>
          </w:tcPr>
          <w:p>
            <w:pPr>
              <w:bidi/>
              <w:jc w:val="start"/>
            </w:pPr>
            <w:r>
              <w:rPr>
                <w:b/>
                <w:color w:val="FFFFFF"/>
              </w:rPr>
              <w:t>Rating</w:t>
            </w:r>
          </w:p>
        </w:tc>
      </w:tr>
      <w:tr>
        <w:trPr>
          <w:cantSplit/>
        </w:trPr>
        <w:tc>
          <w:tcPr>
            <w:tcW w:type="dxa" w:w="2005"/>
            <w:tcMar>
              <w:top w:w="100" w:type="dxa"/>
              <w:bottom w:w="100" w:type="dxa"/>
              <w:left w:w="120" w:type="dxa"/>
              <w:right w:w="120" w:type="dxa"/>
            </w:tcMar>
          </w:tcPr>
          <w:p>
            <w:pPr>
              <w:bidi/>
              <w:jc w:val="start"/>
            </w:pPr>
            <w:r>
              <w:t>Ejmar Import BV</w:t>
            </w:r>
          </w:p>
        </w:tc>
        <w:tc>
          <w:tcPr>
            <w:tcW w:type="dxa" w:w="2005"/>
            <w:tcMar>
              <w:top w:w="100" w:type="dxa"/>
              <w:bottom w:w="100" w:type="dxa"/>
              <w:left w:w="120" w:type="dxa"/>
              <w:right w:w="120" w:type="dxa"/>
            </w:tcMar>
          </w:tcPr>
          <w:p>
            <w:pPr>
              <w:bidi/>
              <w:jc w:val="start"/>
            </w:pPr>
            <w:r>
              <w:t>Barcelona (نموذج)</w:t>
            </w:r>
          </w:p>
        </w:tc>
        <w:tc>
          <w:tcPr>
            <w:tcW w:type="dxa" w:w="1337"/>
            <w:tcMar>
              <w:top w:w="100" w:type="dxa"/>
              <w:bottom w:w="100" w:type="dxa"/>
              <w:left w:w="120" w:type="dxa"/>
              <w:right w:w="120" w:type="dxa"/>
            </w:tcMar>
          </w:tcPr>
          <w:p>
            <w:pPr>
              <w:bidi w:val="0"/>
              <w:jc w:val="start"/>
            </w:pPr>
            <w:r>
              <w:rPr>
                <w:rtl w:val="0"/>
              </w:rPr>
              <w:t>+34 93 000 0000</w:t>
            </w:r>
          </w:p>
        </w:tc>
        <w:tc>
          <w:tcPr>
            <w:tcW w:type="dxa" w:w="1671"/>
            <w:tcMar>
              <w:top w:w="100" w:type="dxa"/>
              <w:bottom w:w="100" w:type="dxa"/>
              <w:left w:w="120" w:type="dxa"/>
              <w:right w:w="120" w:type="dxa"/>
            </w:tcMar>
          </w:tcPr>
          <w:p>
            <w:pPr>
              <w:bidi w:val="0"/>
              <w:jc w:val="start"/>
            </w:pPr>
            <w:r>
              <w:rPr>
                <w:rtl w:val="0"/>
              </w:rPr>
              <w:t>info@ejmar.example</w:t>
            </w:r>
          </w:p>
        </w:tc>
        <w:tc>
          <w:tcPr>
            <w:tcW w:type="dxa" w:w="1671"/>
            <w:tcMar>
              <w:top w:w="100" w:type="dxa"/>
              <w:bottom w:w="100" w:type="dxa"/>
              <w:left w:w="120" w:type="dxa"/>
              <w:right w:w="120" w:type="dxa"/>
            </w:tcMar>
          </w:tcPr>
          <w:p>
            <w:pPr>
              <w:bidi w:val="0"/>
              <w:jc w:val="start"/>
            </w:pPr>
            <w:r>
              <w:rPr>
                <w:rtl w:val="0"/>
              </w:rPr>
              <w:t>https://maps.google/ejmar</w:t>
            </w:r>
          </w:p>
        </w:tc>
        <w:tc>
          <w:tcPr>
            <w:tcW w:type="dxa" w:w="668"/>
            <w:tcMar>
              <w:top w:w="100" w:type="dxa"/>
              <w:bottom w:w="100" w:type="dxa"/>
              <w:left w:w="120" w:type="dxa"/>
              <w:right w:w="120" w:type="dxa"/>
            </w:tcMar>
          </w:tcPr>
          <w:p>
            <w:pPr>
              <w:bidi/>
              <w:jc w:val="start"/>
            </w:pPr>
            <w:r>
              <w:t>4.4 (76)</w:t>
            </w:r>
          </w:p>
        </w:tc>
      </w:tr>
    </w:tbl>
    <w:p>
      <w:pPr>
        <w:pStyle w:val="Heading3"/>
      </w:pPr>
      <w:r>
        <w:t>Channel and next step per contact</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Channel</w:t>
            </w:r>
          </w:p>
        </w:tc>
        <w:tc>
          <w:tcPr>
            <w:tcW w:type="dxa" w:w="2730"/>
            <w:shd w:val="clear" w:fill="166534"/>
            <w:tcMar>
              <w:top w:w="100" w:type="dxa"/>
              <w:bottom w:w="100" w:type="dxa"/>
              <w:left w:w="120" w:type="dxa"/>
              <w:right w:w="120" w:type="dxa"/>
            </w:tcMar>
          </w:tcPr>
          <w:p>
            <w:pPr>
              <w:bidi/>
              <w:jc w:val="start"/>
            </w:pPr>
            <w:r>
              <w:rPr>
                <w:b/>
                <w:color w:val="FFFFFF"/>
              </w:rPr>
              <w:t>Why listed</w:t>
            </w:r>
          </w:p>
        </w:tc>
        <w:tc>
          <w:tcPr>
            <w:tcW w:type="dxa" w:w="2730"/>
            <w:shd w:val="clear" w:fill="166534"/>
            <w:tcMar>
              <w:top w:w="100" w:type="dxa"/>
              <w:bottom w:w="100" w:type="dxa"/>
              <w:left w:w="120" w:type="dxa"/>
              <w:right w:w="120" w:type="dxa"/>
            </w:tcMar>
          </w:tcPr>
          <w:p>
            <w:pPr>
              <w:bidi/>
              <w:jc w:val="start"/>
            </w:pPr>
            <w:r>
              <w:rPr>
                <w:b/>
                <w:color w:val="FFFFFF"/>
              </w:rPr>
              <w:t>Next step</w:t>
            </w:r>
          </w:p>
        </w:tc>
      </w:tr>
      <w:tr>
        <w:trPr>
          <w:cantSplit/>
        </w:trPr>
        <w:tc>
          <w:tcPr>
            <w:tcW w:type="dxa" w:w="234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Not stated</w:t>
            </w:r>
          </w:p>
        </w:tc>
        <w:tc>
          <w:tcPr>
            <w:tcW w:type="dxa" w:w="2730"/>
            <w:tcMar>
              <w:top w:w="100" w:type="dxa"/>
              <w:bottom w:w="100" w:type="dxa"/>
              <w:left w:w="120" w:type="dxa"/>
              <w:right w:w="120" w:type="dxa"/>
            </w:tcMar>
          </w:tcPr>
          <w:p>
            <w:pPr>
              <w:bidi/>
              <w:jc w:val="start"/>
            </w:pPr>
            <w:r>
              <w:t>Activity not declared</w:t>
            </w:r>
          </w:p>
        </w:tc>
        <w:tc>
          <w:tcPr>
            <w:tcW w:type="dxa" w:w="2730"/>
            <w:tcMar>
              <w:top w:w="100" w:type="dxa"/>
              <w:bottom w:w="100" w:type="dxa"/>
              <w:left w:w="120" w:type="dxa"/>
              <w:right w:w="120" w:type="dxa"/>
            </w:tcMar>
          </w:tcPr>
          <w:p>
            <w:pPr>
              <w:bidi/>
              <w:jc w:val="start"/>
            </w:pPr>
            <w:r>
              <w:t>Verify its actual activity before any commercial contact</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rPr>
          <w:cantSplit/>
        </w:trP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rPr>
          <w:cantSplit/>
        </w:trP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2026-10-15</w:t>
            </w:r>
          </w:p>
        </w:tc>
      </w:tr>
      <w:tr>
        <w:trPr>
          <w:cantSplit/>
        </w:trP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rPr>
          <w:cantSplit/>
        </w:trP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r>
        <w:trPr>
          <w:cantSplit/>
        </w:trPr>
        <w:tc>
          <w:tcPr>
            <w:tcW w:type="dxa" w:w="4680"/>
            <w:tcMar>
              <w:top w:w="100" w:type="dxa"/>
              <w:bottom w:w="100" w:type="dxa"/>
              <w:left w:w="120" w:type="dxa"/>
              <w:right w:w="120" w:type="dxa"/>
            </w:tcMar>
            <w:shd w:val="clear" w:fill="F2F7F3"/>
          </w:tcPr>
          <w:p>
            <w:pPr>
              <w:bidi/>
              <w:jc w:val="start"/>
            </w:pPr>
            <w:r>
              <w:t>Decision rules version</w:t>
            </w:r>
          </w:p>
        </w:tc>
        <w:tc>
          <w:tcPr>
            <w:tcW w:type="dxa" w:w="4680"/>
            <w:tcMar>
              <w:top w:w="100" w:type="dxa"/>
              <w:bottom w:w="100" w:type="dxa"/>
              <w:left w:w="120" w:type="dxa"/>
              <w:right w:w="120" w:type="dxa"/>
            </w:tcMar>
            <w:shd w:val="clear" w:fill="F2F7F3"/>
          </w:tcPr>
          <w:p>
            <w:pPr>
              <w:bidi/>
              <w:jc w:val="start"/>
            </w:pPr>
            <w:r>
              <w:t>silk.decision/v1</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generated_at=2026-10-15; schema_version=silk.report/v1; engine_version=silk.i18n/1.0; rules_version=silk.decision/v1; input_fingerprint=142895074ae0</dc:description>
  <cp:lastModifiedBy/>
  <cp:revision>1</cp:revision>
  <dcterms:created xsi:type="dcterms:W3CDTF">2013-12-23T23:15:00Z</dcterms:created>
  <dcterms:modified xsi:type="dcterms:W3CDTF">2013-12-23T23:15:00Z</dcterms:modified>
  <cp:category/>
  <dc:language>en-US</dc:language>
</cp:coreProperties>
</file>