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2026-09-23</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What we don't know yet</w:t>
            </w:r>
          </w:p>
        </w:tc>
        <w:tc>
          <w:tcPr>
            <w:tcW w:type="dxa" w:w="4680"/>
            <w:shd w:val="clear" w:fill="166534"/>
            <w:tcMar>
              <w:top w:w="100" w:type="dxa"/>
              <w:bottom w:w="100" w:type="dxa"/>
              <w:left w:w="120" w:type="dxa"/>
              <w:right w:w="120" w:type="dxa"/>
            </w:tcMar>
          </w:tcPr>
          <w:p>
            <w:pPr>
              <w:bidi/>
              <w:jc w:val="start"/>
            </w:pPr>
            <w:r>
              <w:rPr>
                <w:b/>
                <w:color w:val="FFFFFF"/>
              </w:rPr>
              <w:t>How to find out</w:t>
            </w:r>
          </w:p>
        </w:tc>
      </w:tr>
      <w:tr>
        <w:tc>
          <w:tcPr>
            <w:tcW w:type="dxa" w:w="4680"/>
            <w:tcMar>
              <w:top w:w="100" w:type="dxa"/>
              <w:bottom w:w="100" w:type="dxa"/>
              <w:left w:w="120" w:type="dxa"/>
              <w:right w:w="120" w:type="dxa"/>
            </w:tcMar>
          </w:tcPr>
          <w:p>
            <w:pPr>
              <w:bidi/>
              <w:jc w:val="start"/>
            </w:pPr>
            <w:r>
              <w:t>entry requirements — supported only by unofficial sources</w:t>
            </w:r>
          </w:p>
        </w:tc>
        <w:tc>
          <w:tcPr>
            <w:tcW w:type="dxa" w:w="4680"/>
            <w:tcMar>
              <w:top w:w="100" w:type="dxa"/>
              <w:bottom w:w="100" w:type="dxa"/>
              <w:left w:w="120" w:type="dxa"/>
              <w:right w:w="120" w:type="dxa"/>
            </w:tcMar>
          </w:tcPr>
          <w:p>
            <w:pPr>
              <w:bidi/>
              <w:jc w:val="start"/>
            </w:pPr>
            <w:r>
              <w:t>—</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2026-09-23</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generated_at=2026-09-23;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