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ويبلغ مستوى الثقة 60%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يقيس انخفاضَ التعرفة ووضوحَ الاشتراطات المنشورة — لا يعني حصولَ منشأتك على الموافقات.</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الشرط 1: جانب هامش الربحية لم يُحسب بعد — يتطلب: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الشرط 2: جانب أمان السوق (المخاطر) لم يُحسب بعد — يتطلب: الاستقرار السياسي، جودة التنظيم، أداء اللوجستيات، استقرار العملة. أكمِلها قبل أي التزام إنتاجي أو شحني.</w:t>
      </w:r>
    </w:p>
    <w:p>
      <w:pPr>
        <w:pStyle w:val="ListBullet"/>
        <w:bidi/>
        <w:jc w:val="start"/>
      </w:pPr>
      <w:r>
        <w:rPr>
          <w:rFonts w:ascii="IBM Plex Sans Arabic" w:hAnsi="IBM Plex Sans Arabic" w:cs="IBM Plex Sans Arabic"/>
          <w:rtl/>
        </w:rPr>
        <w:t>الشرط 3: جانب الملاءمة التنظيمية ضعيف (‏38%‏) — عالِجه قبل الالتزام، أو ادخل بحجمٍ يحتمل ضعفه.</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rPr>
          <w:cantSplit/>
          <w:tblHeader/>
        </w:trP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2"/>
        <w:bidi/>
        <w:jc w:val="start"/>
      </w:pPr>
      <w:r>
        <w:rPr>
          <w:rFonts w:ascii="IBM Plex Sans Arabic" w:hAnsi="IBM Plex Sans Arabic" w:cs="IBM Plex Sans Arabic"/>
          <w:rtl/>
        </w:rPr>
        <w:t>متطلبات الدخول والخروج بحسب نوعها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995"/>
        <w:gridCol w:w="1123"/>
        <w:gridCol w:w="1872"/>
        <w:gridCol w:w="1497"/>
        <w:gridCol w:w="1872"/>
      </w:tblGrid>
      <w:tr>
        <w:trPr>
          <w:cantSplit/>
          <w:tblHeader/>
        </w:trPr>
        <w:tc>
          <w:tcPr>
            <w:tcW w:type="dxa" w:w="299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1123"/>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الاتجاه</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الجهة</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النوع</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الرابط</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التحقق من ملاحق الرقابة المشددة — هل فئة المنتج/بلد المنشأ مدرجان بنسب فحص مرتفعة أو شهادة رسمية + تقرير مختبر لكل شحنة؟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2019/1793 — ملاحقها تُراجع دورياً (‏~كل 6 أشهر‏)</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https://eur-lex.europa.eu/eli/reg_impl/2019/1793/oj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متبقيات المبيدات (‏قاعدة MRL قابلة للاستعلام بالمنتج × المادة‏) والملوثات — افحص مخبرياً قبل الشحن لا عند الوصول</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اللائحتان (‏EC‏) 396/2005 (متبقيات) و(‏EU‏) 2023/915 (ملوثات)</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https://food.ec.europa.eu/plants/pesticides/eu-pesticides-database_en</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هل المنتج «غذاء جديد»؟ مكونات لم تُستهلك بشكل معتبر في أوروبا قبل 1997 تتطلب ترخيصاً مسبقاً</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2015/2283</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https://eur-lex.europa.eu/eli/reg/2015/2283/oj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الملصق بلغة الدولة المستوردة بالمتطلبات الإلزامية (مغذيات، مسببات حساسية، منشأ)</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اللائحة (‏EU‏) 1169/2011</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https://eur-lex.europa.eu/eli/reg/2011/1169/oj</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الإجراء الحدودي: إخطار مسبق عبر TRACES (‏وثيقة CHED‏) بنقطة تفتيش حدودية BCP + مستورد أوروبي مسجّل برقم EORI</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المفوضية الأوروبية — نظام TRACES</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https://food.ec.europa.eu/horizontal-topics/traces_en</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المنشأ السعودية للصادرات (وزارة التجارة / الغرف التجارية)</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وزارة التجارة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https://mc.gov.sa</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متطلبات SFDA لتصدير الفئات الخاضعة (منشآت مرخّصة وشهادات صحية عند طلب سوق الوجهة)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الهيئة العامة للغذاء والدواء SFDA</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https://www.sfda.gov.sa</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التسجيل في بوابة هيئة تنمية الصادرات السعودية (خدمات وبرامج دعم المصدرين)</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هيئة تنمية الصادرات السعودية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اختياري داعم</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https://saudiexports.sa</w:t>
            </w:r>
          </w:p>
        </w:tc>
      </w:tr>
    </w:tbl>
    <w:p>
      <w:pPr>
        <w:bidi/>
        <w:jc w:val="start"/>
      </w:pPr>
      <w:r>
        <w:rPr>
          <w:rFonts w:ascii="IBM Plex Sans Arabic" w:hAnsi="IBM Plex Sans Arabic" w:cs="IBM Plex Sans Arabic"/>
          <w:rtl/>
        </w:rPr>
        <w:t>النوعُ من المرجع المنسّق لكلّ بند؛ يُتحقَّق من انطباقه على منتجك وقناتك قبل الشحن، ولا تاريخَ تحقّقٍ مسجّلاً للبنود بعد. إعفاءُ التعرفة لا يعني انعدامَ بقية الرسوم ولا تحقّقَ الامتثال.</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rPr>
          <w:cantSplit/>
        </w:trP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سعةٌ لوجستية لا حجمُ طلب — الكميةُ الفعلية يحدّدها طلبُ الموزّع والحدُّ الأدنى للطلب؛ وعرضُ أسعارٍ رسميّ من خطٍّ ملاحيّ للحاوية والممرّ المحددين — 3–5 أيام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استرداد كلفة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الاسترداد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نقطة التعادل التشغيلي</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التكاليف الثابتة ذات الصلة للسنة الأولى (تسجيل واعتماد، تسويق أولي، وكيل أو ممثل محلي) بعملة تكلفتك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يُعرف كم وحدة تغطي المصروف الثابت — مقياسٌ غير استرداد الشحنة التجريبية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 التكاليف الثابتة المتوقعة للسنة الأولى في سعر المصنع المُدخَل</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w:t>
      </w:r>
    </w:p>
    <w:p>
      <w:pPr>
        <w:pStyle w:val="ListBullet"/>
        <w:bidi/>
        <w:jc w:val="start"/>
      </w:pPr>
      <w:r>
        <w:rPr>
          <w:rFonts w:ascii="IBM Plex Sans Arabic" w:hAnsi="IBM Plex Sans Arabic" w:cs="IBM Plex Sans Arabic"/>
          <w:rtl/>
        </w:rPr>
        <w:t>سعر تجزئة مرصود برابط — المنشأ المغرب</w:t>
      </w:r>
    </w:p>
    <w:p>
      <w:pPr>
        <w:pStyle w:val="ListBullet"/>
        <w:bidi/>
        <w:jc w:val="start"/>
      </w:pPr>
      <w:r>
        <w:rPr>
          <w:rFonts w:ascii="IBM Plex Sans Arabic" w:hAnsi="IBM Plex Sans Arabic" w:cs="IBM Plex Sans Arabic"/>
          <w:rtl/>
        </w:rPr>
        <w:t>سعر تجزئة مرصود — قناة متخصصة</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 — يسند: واردات السوق، أحدث سنة بيانات للواردات، مؤشر تركّز المورّدين</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33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66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rPr>
          <w:cantSplit/>
        </w:trPr>
        <w:tc>
          <w:tcPr>
            <w:tcW w:type="dxa" w:w="2005"/>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2005"/>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337"/>
            <w:tcMar>
              <w:top w:w="100" w:type="dxa"/>
              <w:bottom w:w="100" w:type="dxa"/>
              <w:left w:w="120" w:type="dxa"/>
              <w:right w:w="120" w:type="dxa"/>
            </w:tcMar>
          </w:tcPr>
          <w:p>
            <w:pPr>
              <w:bidi w:val="0"/>
              <w:jc w:val="start"/>
            </w:pPr>
            <w:r>
              <w:rPr>
                <w:rFonts w:ascii="IBM Plex Sans Arabic" w:hAnsi="IBM Plex Sans Arabic" w:cs="IBM Plex Sans Arabic"/>
                <w:rtl w:val="0"/>
              </w:rPr>
              <w:t>+34 93 000 0000</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info@ejmar.example</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https://maps.google/ejmar</w:t>
            </w:r>
          </w:p>
        </w:tc>
        <w:tc>
          <w:tcPr>
            <w:tcW w:type="dxa" w:w="668"/>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قواعد القرار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silk.decision/v1</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generated_at=2026-09-23; schema_version=silk.report/v1; engine_version=silk.i18n/1.0; rules_version=silk.decision/v1; input_fingerprint=622f16568ac1</dc:description>
  <cp:lastModifiedBy/>
  <cp:revision>1</cp:revision>
  <dcterms:created xsi:type="dcterms:W3CDTF">2013-12-23T23:15:00Z</dcterms:created>
  <dcterms:modified xsi:type="dcterms:W3CDTF">2013-12-23T23:15:00Z</dcterms:modified>
  <cp:category/>
  <dc:language>ar-SA</dc:language>
</cp:coreProperties>
</file>