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2026-09-27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ضريبة المبيعات أو الاستيراد لهذا الصنف في السوق غير مرصودة — تحتاج تحققاً ولم تدخل الحساب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الموردين: مقياسٌ من 0 إلى 10000؛ فوق 2500 يعني سوقاً بيد قلّة، وأقلّ يعني موزّعاً على كثيرين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005"/>
        <w:gridCol w:w="2005"/>
        <w:gridCol w:w="1337"/>
        <w:gridCol w:w="1671"/>
        <w:gridCol w:w="1671"/>
        <w:gridCol w:w="668"/>
      </w:tblGrid>
      <w:tr>
        <w:trPr>
          <w:cantSplit/>
          <w:tblHeader/>
        </w:trPr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2005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671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668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+34 93 000 0000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info@ejmar.example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https://maps.google/ejmar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rPr>
          <w:cantSplit/>
        </w:trPr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2005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+34 91 000 0000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ventas@halalm.example</w:t>
            </w:r>
          </w:p>
        </w:tc>
        <w:tc>
          <w:tcPr>
            <w:tcW w:type="dxa" w:w="1671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 w:val="0"/>
              <w:jc w:val="start"/>
            </w:pPr>
            <w:r>
              <w:rPr>
                <w:rFonts w:ascii="IBM Plex Sans Arabic" w:hAnsi="IBM Plex Sans Arabic" w:cs="IBM Plex Sans Arabic"/>
                <w:rtl w:val="0"/>
              </w:rPr>
              <w:t>https://maps.google/halalm</w:t>
            </w:r>
          </w:p>
        </w:tc>
        <w:tc>
          <w:tcPr>
            <w:tcW w:type="dxa" w:w="668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قناة كل جهة وخطوتها التالية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340"/>
        <w:gridCol w:w="1560"/>
        <w:gridCol w:w="2730"/>
        <w:gridCol w:w="2730"/>
      </w:tblGrid>
      <w:tr>
        <w:trPr>
          <w:cantSplit/>
          <w:tblHeader/>
        </w:trP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القناة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سبب الترشيح</w:t>
            </w:r>
          </w:p>
        </w:tc>
        <w:tc>
          <w:tcPr>
            <w:tcW w:type="dxa" w:w="273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الخطوة التالية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  <w:tr>
        <w:trPr>
          <w:cantSplit/>
        </w:trP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محدد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نشاطُها غير مُصرَّح</w:t>
            </w:r>
          </w:p>
        </w:tc>
        <w:tc>
          <w:tcPr>
            <w:tcW w:type="dxa" w:w="273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تحقق من نشاطها الفعلي قبل التواصل التجاري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