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90-day plan frame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b/>
                <w:color w:val="FFFFFF"/>
              </w:rPr>
              <w:t>Condition</w:t>
            </w:r>
          </w:p>
        </w:tc>
        <w:tc>
          <w:tcPr>
            <w:tcW w:type="dxa" w:w="2246"/>
            <w:shd w:val="clear" w:fill="166534"/>
            <w:tcMar>
              <w:top w:w="100" w:type="dxa"/>
              <w:bottom w:w="100" w:type="dxa"/>
              <w:left w:w="120" w:type="dxa"/>
              <w:right w:w="120" w:type="dxa"/>
            </w:tcMar>
          </w:tcPr>
          <w:p>
            <w:pPr>
              <w:bidi/>
              <w:jc w:val="start"/>
            </w:pPr>
            <w:r>
              <w:rPr>
                <w:b/>
                <w:color w:val="FFFFFF"/>
              </w:rPr>
              <w:t>Action</w:t>
            </w:r>
          </w:p>
        </w:tc>
        <w:tc>
          <w:tcPr>
            <w:tcW w:type="dxa" w:w="1497"/>
            <w:shd w:val="clear" w:fill="166534"/>
            <w:tcMar>
              <w:top w:w="100" w:type="dxa"/>
              <w:bottom w:w="100" w:type="dxa"/>
              <w:left w:w="120" w:type="dxa"/>
              <w:right w:w="120" w:type="dxa"/>
            </w:tcMar>
          </w:tcPr>
          <w:p>
            <w:pPr>
              <w:bidi/>
              <w:jc w:val="start"/>
            </w:pPr>
            <w:r>
              <w:rPr>
                <w:b/>
                <w:color w:val="FFFFFF"/>
              </w:rPr>
              <w:t>Owner</w:t>
            </w:r>
          </w:p>
        </w:tc>
        <w:tc>
          <w:tcPr>
            <w:tcW w:type="dxa" w:w="1347"/>
            <w:shd w:val="clear" w:fill="166534"/>
            <w:tcMar>
              <w:top w:w="100" w:type="dxa"/>
              <w:bottom w:w="100" w:type="dxa"/>
              <w:left w:w="120" w:type="dxa"/>
              <w:right w:w="120" w:type="dxa"/>
            </w:tcMar>
          </w:tcPr>
          <w:p>
            <w:pPr>
              <w:bidi/>
              <w:jc w:val="start"/>
            </w:pPr>
            <w:r>
              <w:rPr>
                <w:b/>
                <w:color w:val="FFFFFF"/>
              </w:rPr>
              <w:t>Timing</w:t>
            </w:r>
          </w:p>
        </w:tc>
        <w:tc>
          <w:tcPr>
            <w:tcW w:type="dxa" w:w="1497"/>
            <w:shd w:val="clear" w:fill="166534"/>
            <w:tcMar>
              <w:top w:w="100" w:type="dxa"/>
              <w:bottom w:w="100" w:type="dxa"/>
              <w:left w:w="120" w:type="dxa"/>
              <w:right w:w="120" w:type="dxa"/>
            </w:tcMar>
          </w:tcPr>
          <w:p>
            <w:pPr>
              <w:bidi/>
              <w:jc w:val="start"/>
            </w:pPr>
            <w:r>
              <w:rPr>
                <w:b/>
                <w:color w:val="FFFFFF"/>
              </w:rPr>
              <w:t>Output</w:t>
            </w:r>
          </w:p>
        </w:tc>
        <w:tc>
          <w:tcPr>
            <w:tcW w:type="dxa" w:w="1872"/>
            <w:shd w:val="clear" w:fill="166534"/>
            <w:tcMar>
              <w:top w:w="100" w:type="dxa"/>
              <w:bottom w:w="100" w:type="dxa"/>
              <w:left w:w="120" w:type="dxa"/>
              <w:right w:w="120" w:type="dxa"/>
            </w:tcMar>
          </w:tcPr>
          <w:p>
            <w:pPr>
              <w:bidi/>
              <w:jc w:val="start"/>
            </w:pPr>
            <w:r>
              <w:rPr>
                <w:b/>
                <w:color w:val="FFFFFF"/>
              </w:rPr>
              <w:t>Continue or stop</w:t>
            </w:r>
          </w:p>
        </w:tc>
      </w:tr>
      <w:tr>
        <w:trPr>
          <w:cantSplit/>
        </w:trPr>
        <w:tc>
          <w:tcPr>
            <w:tcW w:type="dxa" w:w="898"/>
            <w:tcMar>
              <w:top w:w="100" w:type="dxa"/>
              <w:bottom w:w="100" w:type="dxa"/>
              <w:left w:w="120" w:type="dxa"/>
              <w:right w:w="120" w:type="dxa"/>
            </w:tcMar>
          </w:tcPr>
          <w:p>
            <w:pPr>
              <w:bidi/>
              <w:jc w:val="start"/>
            </w:pPr>
            <w:r>
              <w:t>Condition 1</w:t>
            </w:r>
          </w:p>
        </w:tc>
        <w:tc>
          <w:tcPr>
            <w:tcW w:type="dxa" w:w="2246"/>
            <w:tcMar>
              <w:top w:w="100" w:type="dxa"/>
              <w:bottom w:w="100" w:type="dxa"/>
              <w:left w:w="120" w:type="dxa"/>
              <w:right w:w="120" w:type="dxa"/>
            </w:tcMar>
          </w:tcPr>
          <w:p>
            <w:pPr>
              <w:bidi/>
              <w:jc w:val="start"/>
            </w:pPr>
            <w:r>
              <w:t>complete price headroom at the border, your price against the market</w:t>
            </w:r>
          </w:p>
        </w:tc>
        <w:tc>
          <w:tcPr>
            <w:tcW w:type="dxa" w:w="1497"/>
            <w:tcMar>
              <w:top w:w="100" w:type="dxa"/>
              <w:bottom w:w="100" w:type="dxa"/>
              <w:left w:w="120" w:type="dxa"/>
              <w:right w:w="120" w:type="dxa"/>
            </w:tcMar>
          </w:tcPr>
          <w:p>
            <w:pPr>
              <w:bidi/>
              <w:jc w:val="start"/>
            </w:pPr>
            <w:r>
              <w:t>Factory — cost and price (suggested)</w:t>
            </w:r>
          </w:p>
        </w:tc>
        <w:tc>
          <w:tcPr>
            <w:tcW w:type="dxa" w:w="1347"/>
            <w:tcMar>
              <w:top w:w="100" w:type="dxa"/>
              <w:bottom w:w="100" w:type="dxa"/>
              <w:left w:w="120" w:type="dxa"/>
              <w:right w:w="120" w:type="dxa"/>
            </w:tcMar>
          </w:tcPr>
          <w:p>
            <w:pPr>
              <w:bidi/>
              <w:jc w:val="start"/>
            </w:pPr>
            <w:r>
              <w:t>Weeks 1–4</w:t>
            </w:r>
          </w:p>
        </w:tc>
        <w:tc>
          <w:tcPr>
            <w:tcW w:type="dxa" w:w="1497"/>
            <w:tcMar>
              <w:top w:w="100" w:type="dxa"/>
              <w:bottom w:w="100" w:type="dxa"/>
              <w:left w:w="120" w:type="dxa"/>
              <w:right w:w="120" w:type="dxa"/>
            </w:tcMar>
          </w:tcPr>
          <w:p>
            <w:pPr>
              <w:bidi/>
              <w:jc w:val="start"/>
            </w:pPr>
            <w:r>
              <w:t>Completed inputs, then a re-evaluation</w:t>
            </w:r>
          </w:p>
        </w:tc>
        <w:tc>
          <w:tcPr>
            <w:tcW w:type="dxa" w:w="1872"/>
            <w:tcMar>
              <w:top w:w="100" w:type="dxa"/>
              <w:bottom w:w="100" w:type="dxa"/>
              <w:left w:w="120" w:type="dxa"/>
              <w:right w:w="120" w:type="dxa"/>
            </w:tcMar>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shd w:val="clear" w:fill="F2F7F3"/>
          </w:tcPr>
          <w:p>
            <w:pPr>
              <w:bidi/>
              <w:jc w:val="start"/>
            </w:pPr>
            <w:r>
              <w:t>Condition 2</w:t>
            </w:r>
          </w:p>
        </w:tc>
        <w:tc>
          <w:tcPr>
            <w:tcW w:type="dxa" w:w="2246"/>
            <w:tcMar>
              <w:top w:w="100" w:type="dxa"/>
              <w:bottom w:w="100" w:type="dxa"/>
              <w:left w:w="120" w:type="dxa"/>
              <w:right w:w="120" w:type="dxa"/>
            </w:tcMar>
            <w:shd w:val="clear" w:fill="F2F7F3"/>
          </w:tcPr>
          <w:p>
            <w:pPr>
              <w:bidi/>
              <w:jc w:val="start"/>
            </w:pPr>
            <w:r>
              <w:t>complete political stability, regulatory quality, logistics performance, currency stability</w:t>
            </w:r>
          </w:p>
        </w:tc>
        <w:tc>
          <w:tcPr>
            <w:tcW w:type="dxa" w:w="1497"/>
            <w:tcMar>
              <w:top w:w="100" w:type="dxa"/>
              <w:bottom w:w="100" w:type="dxa"/>
              <w:left w:w="120" w:type="dxa"/>
              <w:right w:w="120" w:type="dxa"/>
            </w:tcMar>
            <w:shd w:val="clear" w:fill="F2F7F3"/>
          </w:tcPr>
          <w:p>
            <w:pPr>
              <w:bidi/>
              <w:jc w:val="start"/>
            </w:pPr>
            <w:r>
              <w:t>Study team — complete the data (suggested)</w:t>
            </w:r>
          </w:p>
        </w:tc>
        <w:tc>
          <w:tcPr>
            <w:tcW w:type="dxa" w:w="1347"/>
            <w:tcMar>
              <w:top w:w="100" w:type="dxa"/>
              <w:bottom w:w="100" w:type="dxa"/>
              <w:left w:w="120" w:type="dxa"/>
              <w:right w:w="120" w:type="dxa"/>
            </w:tcMar>
            <w:shd w:val="clear" w:fill="F2F7F3"/>
          </w:tcPr>
          <w:p>
            <w:pPr>
              <w:bidi/>
              <w:jc w:val="start"/>
            </w:pPr>
            <w:r>
              <w:t>Weeks 1–4</w:t>
            </w:r>
          </w:p>
        </w:tc>
        <w:tc>
          <w:tcPr>
            <w:tcW w:type="dxa" w:w="1497"/>
            <w:tcMar>
              <w:top w:w="100" w:type="dxa"/>
              <w:bottom w:w="100" w:type="dxa"/>
              <w:left w:w="120" w:type="dxa"/>
              <w:right w:w="120" w:type="dxa"/>
            </w:tcMar>
            <w:shd w:val="clear" w:fill="F2F7F3"/>
          </w:tcPr>
          <w:p>
            <w:pPr>
              <w:bidi/>
              <w:jc w:val="start"/>
            </w:pPr>
            <w:r>
              <w:t>Completed inputs, then a re-evaluation</w:t>
            </w:r>
          </w:p>
        </w:tc>
        <w:tc>
          <w:tcPr>
            <w:tcW w:type="dxa" w:w="1872"/>
            <w:tcMar>
              <w:top w:w="100" w:type="dxa"/>
              <w:bottom w:w="100" w:type="dxa"/>
              <w:left w:w="120" w:type="dxa"/>
              <w:right w:w="120" w:type="dxa"/>
            </w:tcMar>
            <w:shd w:val="clear" w:fill="F2F7F3"/>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tcPr>
          <w:p>
            <w:pPr>
              <w:bidi/>
              <w:jc w:val="start"/>
            </w:pPr>
            <w:r>
              <w:t>Condition 3</w:t>
            </w:r>
          </w:p>
        </w:tc>
        <w:tc>
          <w:tcPr>
            <w:tcW w:type="dxa" w:w="2246"/>
            <w:tcMar>
              <w:top w:w="100" w:type="dxa"/>
              <w:bottom w:w="100" w:type="dxa"/>
              <w:left w:w="120" w:type="dxa"/>
              <w:right w:w="120" w:type="dxa"/>
            </w:tcMar>
          </w:tcPr>
          <w:p>
            <w:pPr>
              <w:bidi/>
              <w:jc w:val="start"/>
            </w:pPr>
            <w:r>
              <w:t>Address the weak Regulatory fit aspect before committing</w:t>
            </w:r>
          </w:p>
        </w:tc>
        <w:tc>
          <w:tcPr>
            <w:tcW w:type="dxa" w:w="1497"/>
            <w:tcMar>
              <w:top w:w="100" w:type="dxa"/>
              <w:bottom w:w="100" w:type="dxa"/>
              <w:left w:w="120" w:type="dxa"/>
              <w:right w:w="120" w:type="dxa"/>
            </w:tcMar>
          </w:tcPr>
          <w:p>
            <w:pPr>
              <w:bidi/>
              <w:jc w:val="start"/>
            </w:pPr>
            <w:r>
              <w:t>Factory management — commercial decision (suggested)</w:t>
            </w:r>
          </w:p>
        </w:tc>
        <w:tc>
          <w:tcPr>
            <w:tcW w:type="dxa" w:w="1347"/>
            <w:tcMar>
              <w:top w:w="100" w:type="dxa"/>
              <w:bottom w:w="100" w:type="dxa"/>
              <w:left w:w="120" w:type="dxa"/>
              <w:right w:w="120" w:type="dxa"/>
            </w:tcMar>
          </w:tcPr>
          <w:p>
            <w:pPr>
              <w:bidi/>
              <w:jc w:val="start"/>
            </w:pPr>
            <w:r>
              <w:t>Weeks 5–8, after the data is complete</w:t>
            </w:r>
          </w:p>
        </w:tc>
        <w:tc>
          <w:tcPr>
            <w:tcW w:type="dxa" w:w="1497"/>
            <w:tcMar>
              <w:top w:w="100" w:type="dxa"/>
              <w:bottom w:w="100" w:type="dxa"/>
              <w:left w:w="120" w:type="dxa"/>
              <w:right w:w="120" w:type="dxa"/>
            </w:tcMar>
          </w:tcPr>
          <w:p>
            <w:pPr>
              <w:bidi/>
              <w:jc w:val="start"/>
            </w:pPr>
            <w:r>
              <w:t>A documented decision to fix or accept the weakness</w:t>
            </w:r>
          </w:p>
        </w:tc>
        <w:tc>
          <w:tcPr>
            <w:tcW w:type="dxa" w:w="1872"/>
            <w:tcMar>
              <w:top w:w="100" w:type="dxa"/>
              <w:bottom w:w="100" w:type="dxa"/>
              <w:left w:w="120" w:type="dxa"/>
              <w:right w:w="120" w:type="dxa"/>
            </w:tcMar>
          </w:tcPr>
          <w:p>
            <w:pPr>
              <w:bidi/>
              <w:jc w:val="start"/>
            </w:pPr>
            <w:r>
              <w:t>Continue if the aspect reaches 50% or more; otherwise defer</w:t>
            </w:r>
          </w:p>
        </w:tc>
      </w:tr>
    </w:tbl>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3"/>
      </w:pPr>
      <w:r>
        <w:t>Sensitivity of the maximum ex-works price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Factor</w:t>
            </w:r>
          </w:p>
        </w:tc>
        <w:tc>
          <w:tcPr>
            <w:tcW w:type="dxa" w:w="3120"/>
            <w:shd w:val="clear" w:fill="166534"/>
            <w:tcMar>
              <w:top w:w="100" w:type="dxa"/>
              <w:bottom w:w="100" w:type="dxa"/>
              <w:left w:w="120" w:type="dxa"/>
              <w:right w:w="120" w:type="dxa"/>
            </w:tcMar>
          </w:tcPr>
          <w:p>
            <w:pPr>
              <w:bidi/>
              <w:jc w:val="start"/>
            </w:pPr>
            <w:r>
              <w:rPr>
                <w:b/>
                <w:color w:val="FFFFFF"/>
              </w:rPr>
              <w:t>Change</w:t>
            </w:r>
          </w:p>
        </w:tc>
        <w:tc>
          <w:tcPr>
            <w:tcW w:type="dxa" w:w="3120"/>
            <w:shd w:val="clear" w:fill="166534"/>
            <w:tcMar>
              <w:top w:w="100" w:type="dxa"/>
              <w:bottom w:w="100" w:type="dxa"/>
              <w:left w:w="120" w:type="dxa"/>
              <w:right w:w="120" w:type="dxa"/>
            </w:tcMar>
          </w:tcPr>
          <w:p>
            <w:pPr>
              <w:bidi/>
              <w:jc w:val="start"/>
            </w:pPr>
            <w:r>
              <w:rPr>
                <w:b/>
                <w:color w:val="FFFFFF"/>
              </w:rPr>
              <w:t>Max ex-factory price</w:t>
            </w:r>
          </w:p>
        </w:tc>
      </w:tr>
      <w:tr>
        <w:trPr>
          <w:cantSplit/>
        </w:trPr>
        <w:tc>
          <w:tcPr>
            <w:tcW w:type="dxa" w:w="3120"/>
            <w:tcMar>
              <w:top w:w="100" w:type="dxa"/>
              <w:bottom w:w="100" w:type="dxa"/>
              <w:left w:w="120" w:type="dxa"/>
              <w:right w:w="120" w:type="dxa"/>
            </w:tcMar>
          </w:tcPr>
          <w:p>
            <w:pPr>
              <w:bidi/>
              <w:jc w:val="start"/>
            </w:pPr>
            <w:r>
              <w:t>Competitor shelf price</w:t>
            </w:r>
          </w:p>
        </w:tc>
        <w:tc>
          <w:tcPr>
            <w:tcW w:type="dxa" w:w="3120"/>
            <w:tcMar>
              <w:top w:w="100" w:type="dxa"/>
              <w:bottom w:w="100" w:type="dxa"/>
              <w:left w:w="120" w:type="dxa"/>
              <w:right w:w="120" w:type="dxa"/>
            </w:tcMar>
          </w:tcPr>
          <w:p>
            <w:pPr>
              <w:bidi/>
              <w:jc w:val="start"/>
            </w:pPr>
            <w:r>
              <w:t>-10%</w:t>
            </w:r>
          </w:p>
        </w:tc>
        <w:tc>
          <w:tcPr>
            <w:tcW w:type="dxa" w:w="3120"/>
            <w:tcMar>
              <w:top w:w="100" w:type="dxa"/>
              <w:bottom w:w="100" w:type="dxa"/>
              <w:left w:w="120" w:type="dxa"/>
              <w:right w:w="120" w:type="dxa"/>
            </w:tcMar>
          </w:tcPr>
          <w:p>
            <w:pPr>
              <w:bidi w:val="0"/>
              <w:jc w:val="start"/>
            </w:pPr>
            <w:r>
              <w:rPr>
                <w:rtl w:val="0"/>
              </w:rPr>
              <w:t>13.76 €/kg</w:t>
            </w:r>
          </w:p>
        </w:tc>
      </w:tr>
      <w:tr>
        <w:trPr>
          <w:cantSplit/>
        </w:trPr>
        <w:tc>
          <w:tcPr>
            <w:tcW w:type="dxa" w:w="3120"/>
            <w:tcMar>
              <w:top w:w="100" w:type="dxa"/>
              <w:bottom w:w="100" w:type="dxa"/>
              <w:left w:w="120" w:type="dxa"/>
              <w:right w:w="120" w:type="dxa"/>
            </w:tcMar>
            <w:shd w:val="clear" w:fill="F2F7F3"/>
          </w:tcPr>
          <w:p>
            <w:pPr>
              <w:bidi/>
              <w:jc w:val="start"/>
            </w:pPr>
            <w:r>
              <w:t>Competitor shelf price</w:t>
            </w:r>
          </w:p>
        </w:tc>
        <w:tc>
          <w:tcPr>
            <w:tcW w:type="dxa" w:w="3120"/>
            <w:tcMar>
              <w:top w:w="100" w:type="dxa"/>
              <w:bottom w:w="100" w:type="dxa"/>
              <w:left w:w="120" w:type="dxa"/>
              <w:right w:w="120" w:type="dxa"/>
            </w:tcMar>
            <w:shd w:val="clear" w:fill="F2F7F3"/>
          </w:tcPr>
          <w:p>
            <w:pPr>
              <w:bidi/>
              <w:jc w:val="start"/>
            </w:pPr>
            <w:r>
              <w:t>+10%</w:t>
            </w:r>
          </w:p>
        </w:tc>
        <w:tc>
          <w:tcPr>
            <w:tcW w:type="dxa" w:w="3120"/>
            <w:tcMar>
              <w:top w:w="100" w:type="dxa"/>
              <w:bottom w:w="100" w:type="dxa"/>
              <w:left w:w="120" w:type="dxa"/>
              <w:right w:w="120" w:type="dxa"/>
            </w:tcMar>
            <w:shd w:val="clear" w:fill="F2F7F3"/>
          </w:tcPr>
          <w:p>
            <w:pPr>
              <w:bidi w:val="0"/>
              <w:jc w:val="start"/>
            </w:pPr>
            <w:r>
              <w:rPr>
                <w:rtl w:val="0"/>
              </w:rPr>
              <w:t>16.82 €/kg</w:t>
            </w:r>
          </w:p>
        </w:tc>
      </w:tr>
      <w:tr>
        <w:trPr>
          <w:cantSplit/>
        </w:trPr>
        <w:tc>
          <w:tcPr>
            <w:tcW w:type="dxa" w:w="3120"/>
            <w:tcMar>
              <w:top w:w="100" w:type="dxa"/>
              <w:bottom w:w="100" w:type="dxa"/>
              <w:left w:w="120" w:type="dxa"/>
              <w:right w:w="120" w:type="dxa"/>
            </w:tcMar>
          </w:tcPr>
          <w:p>
            <w:pPr>
              <w:bidi/>
              <w:jc w:val="start"/>
            </w:pPr>
            <w:r>
              <w:t>Freight as share of ex-works</w:t>
            </w:r>
          </w:p>
        </w:tc>
        <w:tc>
          <w:tcPr>
            <w:tcW w:type="dxa" w:w="3120"/>
            <w:tcMar>
              <w:top w:w="100" w:type="dxa"/>
              <w:bottom w:w="100" w:type="dxa"/>
              <w:left w:w="120" w:type="dxa"/>
              <w:right w:w="120" w:type="dxa"/>
            </w:tcMar>
          </w:tcPr>
          <w:p>
            <w:pPr>
              <w:bidi/>
              <w:jc w:val="start"/>
            </w:pPr>
            <w:r>
              <w:t>+5 pt</w:t>
            </w:r>
          </w:p>
        </w:tc>
        <w:tc>
          <w:tcPr>
            <w:tcW w:type="dxa" w:w="3120"/>
            <w:tcMar>
              <w:top w:w="100" w:type="dxa"/>
              <w:bottom w:w="100" w:type="dxa"/>
              <w:left w:w="120" w:type="dxa"/>
              <w:right w:w="120" w:type="dxa"/>
            </w:tcMar>
          </w:tcPr>
          <w:p>
            <w:pPr>
              <w:bidi w:val="0"/>
              <w:jc w:val="start"/>
            </w:pPr>
            <w:r>
              <w:rPr>
                <w:rtl w:val="0"/>
              </w:rPr>
              <w:t>14.64 €/kg</w:t>
            </w:r>
          </w:p>
        </w:tc>
      </w:tr>
      <w:tr>
        <w:trPr>
          <w:cantSplit/>
        </w:trPr>
        <w:tc>
          <w:tcPr>
            <w:tcW w:type="dxa" w:w="3120"/>
            <w:tcMar>
              <w:top w:w="100" w:type="dxa"/>
              <w:bottom w:w="100" w:type="dxa"/>
              <w:left w:w="120" w:type="dxa"/>
              <w:right w:w="120" w:type="dxa"/>
            </w:tcMar>
            <w:shd w:val="clear" w:fill="F2F7F3"/>
          </w:tcPr>
          <w:p>
            <w:pPr>
              <w:bidi/>
              <w:jc w:val="start"/>
            </w:pPr>
            <w:r>
              <w:t>Freight as share of ex-works</w:t>
            </w:r>
          </w:p>
        </w:tc>
        <w:tc>
          <w:tcPr>
            <w:tcW w:type="dxa" w:w="3120"/>
            <w:tcMar>
              <w:top w:w="100" w:type="dxa"/>
              <w:bottom w:w="100" w:type="dxa"/>
              <w:left w:w="120" w:type="dxa"/>
              <w:right w:w="120" w:type="dxa"/>
            </w:tcMar>
            <w:shd w:val="clear" w:fill="F2F7F3"/>
          </w:tcPr>
          <w:p>
            <w:pPr>
              <w:bidi/>
              <w:jc w:val="start"/>
            </w:pPr>
            <w:r>
              <w:t>-5 pt</w:t>
            </w:r>
          </w:p>
        </w:tc>
        <w:tc>
          <w:tcPr>
            <w:tcW w:type="dxa" w:w="3120"/>
            <w:tcMar>
              <w:top w:w="100" w:type="dxa"/>
              <w:bottom w:w="100" w:type="dxa"/>
              <w:left w:w="120" w:type="dxa"/>
              <w:right w:w="120" w:type="dxa"/>
            </w:tcMar>
            <w:shd w:val="clear" w:fill="F2F7F3"/>
          </w:tcPr>
          <w:p>
            <w:pPr>
              <w:bidi w:val="0"/>
              <w:jc w:val="start"/>
            </w:pPr>
            <w:r>
              <w:rPr>
                <w:rtl w:val="0"/>
              </w:rPr>
              <w:t>16.0 €/kg</w:t>
            </w:r>
          </w:p>
        </w:tc>
      </w:tr>
    </w:tbl>
    <w:p>
      <w:r>
        <w:t>Each row changes one factor and holds the rest at the middle scenario — a reading of direction and size, not a forecast.</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income, saudi momentum and 9 more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rPr>
          <w:cantSplit/>
        </w:trP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Heading3"/>
      </w:pPr>
      <w:r>
        <w:t>Channel and next step per contact</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Channel</w:t>
            </w:r>
          </w:p>
        </w:tc>
        <w:tc>
          <w:tcPr>
            <w:tcW w:type="dxa" w:w="2730"/>
            <w:shd w:val="clear" w:fill="166534"/>
            <w:tcMar>
              <w:top w:w="100" w:type="dxa"/>
              <w:bottom w:w="100" w:type="dxa"/>
              <w:left w:w="120" w:type="dxa"/>
              <w:right w:w="120" w:type="dxa"/>
            </w:tcMar>
          </w:tcPr>
          <w:p>
            <w:pPr>
              <w:bidi/>
              <w:jc w:val="start"/>
            </w:pPr>
            <w:r>
              <w:rPr>
                <w:b/>
                <w:color w:val="FFFFFF"/>
              </w:rPr>
              <w:t>Why listed</w:t>
            </w:r>
          </w:p>
        </w:tc>
        <w:tc>
          <w:tcPr>
            <w:tcW w:type="dxa" w:w="2730"/>
            <w:shd w:val="clear" w:fill="166534"/>
            <w:tcMar>
              <w:top w:w="100" w:type="dxa"/>
              <w:bottom w:w="100" w:type="dxa"/>
              <w:left w:w="120" w:type="dxa"/>
              <w:right w:w="120" w:type="dxa"/>
            </w:tcMar>
          </w:tcPr>
          <w:p>
            <w:pPr>
              <w:bidi/>
              <w:jc w:val="start"/>
            </w:pPr>
            <w:r>
              <w:rPr>
                <w:b/>
                <w:color w:val="FFFFFF"/>
              </w:rPr>
              <w:t>Next step</w:t>
            </w:r>
          </w:p>
        </w:tc>
      </w:tr>
      <w:tr>
        <w:trPr>
          <w:cantSplit/>
        </w:trPr>
        <w:tc>
          <w:tcPr>
            <w:tcW w:type="dxa" w:w="234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Not stated</w:t>
            </w:r>
          </w:p>
        </w:tc>
        <w:tc>
          <w:tcPr>
            <w:tcW w:type="dxa" w:w="2730"/>
            <w:tcMar>
              <w:top w:w="100" w:type="dxa"/>
              <w:bottom w:w="100" w:type="dxa"/>
              <w:left w:w="120" w:type="dxa"/>
              <w:right w:w="120" w:type="dxa"/>
            </w:tcMar>
          </w:tcPr>
          <w:p>
            <w:pPr>
              <w:bidi/>
              <w:jc w:val="start"/>
            </w:pPr>
            <w:r>
              <w:t>Activity not declared</w:t>
            </w:r>
          </w:p>
        </w:tc>
        <w:tc>
          <w:tcPr>
            <w:tcW w:type="dxa" w:w="2730"/>
            <w:tcMar>
              <w:top w:w="100" w:type="dxa"/>
              <w:bottom w:w="100" w:type="dxa"/>
              <w:left w:w="120" w:type="dxa"/>
              <w:right w:w="120" w:type="dxa"/>
            </w:tcMar>
          </w:tcPr>
          <w:p>
            <w:pPr>
              <w:bidi/>
              <w:jc w:val="start"/>
            </w:pPr>
            <w:r>
              <w:t>Verify its actual activity before any commercial contact</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 rules_version=silk.decision/v1; input_fingerprint=c2fcadff4bdf</dc:description>
  <cp:lastModifiedBy/>
  <cp:revision>1</cp:revision>
  <dcterms:created xsi:type="dcterms:W3CDTF">2013-12-23T23:15:00Z</dcterms:created>
  <dcterms:modified xsi:type="dcterms:W3CDTF">2013-12-23T23:15:00Z</dcterms:modified>
  <cp:category/>
  <dc:language>en-US</dc:language>
</cp:coreProperties>
</file>