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bidi/>
        <w:jc w:val="start"/>
      </w:pPr>
      <w:r>
        <w:rPr>
          <w:rFonts w:ascii="IBM Plex Sans Arabic" w:hAnsi="IBM Plex Sans Arabic" w:cs="IBM Plex Sans Arabic"/>
          <w:b/>
          <w:color w:val="1B3B6F"/>
          <w:sz w:val="56"/>
          <w:rtl/>
          <w:szCs w:val="56"/>
        </w:rPr>
        <w:t>سلك</w:t>
      </w:r>
    </w:p>
    <w:p>
      <w:pPr>
        <w:pStyle w:val="Title"/>
        <w:bidi/>
        <w:jc w:val="start"/>
      </w:pPr>
      <w:r>
        <w:rPr>
          <w:rFonts w:ascii="IBM Plex Sans Arabic" w:hAnsi="IBM Plex Sans Arabic" w:cs="IBM Plex Sans Arabic"/>
          <w:rtl/>
        </w:rPr>
        <w:t>سلك — تقرير بحث عميق: تمور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أُعد بواسطة منصة سلك لذكاء الأسواق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⚠ TEST RUN — تشغيل برهاني ببدائل موسومة، ليس تقريراً إنتاجياً</w:t>
      </w:r>
    </w:p>
    <w:p>
      <w:pPr>
        <w:bidi/>
        <w:jc w:val="start"/>
      </w:pPr>
      <w:r>
        <w:rPr>
          <w:rFonts w:ascii="IBM Plex Sans Arabic" w:hAnsi="IBM Plex Sans Arabic" w:cs="IBM Plex Sans Arabic"/>
          <w:b/>
          <w:color w:val="000000"/>
          <w:sz w:val="32"/>
          <w:highlight w:val="darkCyan"/>
          <w:rtl/>
          <w:szCs w:val="32"/>
        </w:rPr>
        <w:t xml:space="preserve">  دخول مشروط  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  <w:bidiVisual/>
      </w:tblPr>
      <w:tblGrid>
        <w:gridCol w:w="4320"/>
        <w:gridCol w:w="4320"/>
      </w:tblGrid>
      <w:tr>
        <w:tc>
          <w:tcPr>
            <w:tcW w:type="dxa" w:w="468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البند</w:t>
            </w:r>
          </w:p>
        </w:tc>
        <w:tc>
          <w:tcPr>
            <w:tcW w:type="dxa" w:w="468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القيمة</w:t>
            </w:r>
          </w:p>
        </w:tc>
      </w:tr>
      <w:tr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المنتج</w:t>
            </w:r>
          </w:p>
        </w:tc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تمور</w:t>
            </w:r>
          </w:p>
        </w:tc>
      </w:tr>
      <w:tr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رمز HS</w:t>
            </w:r>
          </w:p>
        </w:tc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080410</w:t>
            </w:r>
          </w:p>
        </w:tc>
      </w:tr>
      <w:tr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المنشأ</w:t>
            </w:r>
          </w:p>
        </w:tc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المملكة العربية السعودية</w:t>
            </w:r>
          </w:p>
        </w:tc>
      </w:tr>
      <w:tr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السوق المستهدف</w:t>
            </w:r>
          </w:p>
        </w:tc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إسبانيا</w:t>
            </w:r>
          </w:p>
        </w:tc>
      </w:tr>
      <w:tr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تاريخ الإعداد</w:t>
            </w:r>
          </w:p>
        </w:tc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2026-09-19</w:t>
            </w:r>
          </w:p>
        </w:tc>
      </w:tr>
    </w:tbl>
    <w:p>
      <w:pPr>
        <w:pStyle w:val="Heading1"/>
        <w:bidi/>
        <w:jc w:val="start"/>
      </w:pPr>
      <w:r>
        <w:rPr>
          <w:rFonts w:ascii="IBM Plex Sans Arabic" w:hAnsi="IBM Plex Sans Arabic" w:cs="IBM Plex Sans Arabic"/>
          <w:rtl/>
        </w:rPr>
        <w:t>المحتويات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1. الخلاصة التنفيذية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2. ملخّص مصادر البحث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3. التقرير الكامل (كاتب التقرير، مراجَع)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4. ملحق — الأدلة الرقمية الداعمة للتقاطعات الخمسة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5. حدود هذا التقرير</w:t>
      </w:r>
    </w:p>
    <w:p>
      <w:pPr>
        <w:pStyle w:val="Heading1"/>
        <w:bidi/>
        <w:jc w:val="start"/>
      </w:pPr>
      <w:r>
        <w:rPr>
          <w:rFonts w:ascii="IBM Plex Sans Arabic" w:hAnsi="IBM Plex Sans Arabic" w:cs="IBM Plex Sans Arabic"/>
          <w:rtl/>
        </w:rPr>
        <w:t>١. الخلاصة التنفيذية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الحكم: دخول مشروط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الأدلة تدعم دخولاً مشروطاً بتأمين الأهلية التنظيمية أولاً — تجزّؤ سوق المورّدين (‏HHI معتدل‏) والفجوة السعرية كافيان، والمخاطرة الرئيسية إجرائية لا سوقية.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مبني على 12/12 بعثة بحث نجحت في جمع نتائج مبنية على استشهاد، إضافة إلى المحلل الشامل وكاتب التقرير (راجع «حدود هذا التقرير» أدناه لكل معطى ناقص).</w:t>
      </w:r>
    </w:p>
    <w:p>
      <w:pPr>
        <w:pStyle w:val="Heading1"/>
        <w:bidi/>
        <w:jc w:val="start"/>
      </w:pPr>
      <w:r>
        <w:rPr>
          <w:rFonts w:ascii="IBM Plex Sans Arabic" w:hAnsi="IBM Plex Sans Arabic" w:cs="IBM Plex Sans Arabic"/>
          <w:rtl/>
        </w:rPr>
        <w:t>النموذج الاقتصادي — التكلفة الواصلة وأقصى سعر مصنع منافس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الأسعار المرصودة ليست أسعار رفّ للمستهلك (مستوى غير محدد) — والفرق بينها وبين سعر الرفّ أضعاف، فبناء الهامش عليها يعطي ربحاً أكبر من الحقيقي. الحل العكسي يبقى معلَّقاً حتى يُرصد سعر رفّ واحد على الأقل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التعرفة غير متاحة — اعتُمدت 0% معلنةً في الحل العكسي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تكلفة المصنع (‏EXW‏) غير مدخلة — أدخل سعر المصنع للكيلوغرام لاستكمال أحد مدخلات سلسلة التكلفة حتى الرف</w:t>
      </w:r>
    </w:p>
    <w:p>
      <w:pPr>
        <w:pStyle w:val="Heading1"/>
        <w:bidi/>
        <w:jc w:val="start"/>
      </w:pPr>
      <w:r>
        <w:rPr>
          <w:rFonts w:ascii="IBM Plex Sans Arabic" w:hAnsi="IBM Plex Sans Arabic" w:cs="IBM Plex Sans Arabic"/>
          <w:rtl/>
        </w:rPr>
        <w:t>قسم البحث العميق — التقاطعات الخمسة والمحلل الشامل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السوق: إسبانيا (‏ESP‏) — الحكم: دخول مشروط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قراءة تحليلية للذكاء الاصطناعي (استشارية — ليست التوصية): دخول مشروط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الأدلة تدعم دخولاً مشروطاً بتأمين الأهلية التنظيمية أولاً — تجزّؤ سوق المورّدين (‏HHI معتدل‏) والفجوة السعرية كافيان، والمخاطرة الرئيسية إجرائية لا سوقية.</w:t>
      </w:r>
    </w:p>
    <w:p>
      <w:pPr>
        <w:pStyle w:val="Heading2"/>
        <w:bidi/>
        <w:jc w:val="start"/>
      </w:pPr>
      <w:r>
        <w:rPr>
          <w:rFonts w:ascii="IBM Plex Sans Arabic" w:hAnsi="IBM Plex Sans Arabic" w:cs="IBM Plex Sans Arabic"/>
          <w:rtl/>
        </w:rPr>
        <w:t>ملخّص مصادر البحث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  <w:bidiVisual/>
      </w:tblPr>
      <w:tblGrid>
        <w:gridCol w:w="2880"/>
        <w:gridCol w:w="2880"/>
        <w:gridCol w:w="2880"/>
      </w:tblGrid>
      <w:tr>
        <w:tc>
          <w:tcPr>
            <w:tcW w:type="dxa" w:w="312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البعثة</w:t>
            </w:r>
          </w:p>
        </w:tc>
        <w:tc>
          <w:tcPr>
            <w:tcW w:type="dxa" w:w="312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الحالة</w:t>
            </w:r>
          </w:p>
        </w:tc>
        <w:tc>
          <w:tcPr>
            <w:tcW w:type="dxa" w:w="312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الملخّص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تدفقات التجارة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ناجحة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تدفقات تجارية مؤكَّدة من Comtrade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اتجاهات الطلب والموسمية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ناجحة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اتجاه طلب موسمي واضح حول رمضان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تحليل الأسعار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ناجحة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سلّم أسعار ثلاثي الطبقات مرصود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ثقافة المستهلك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ناجحة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نمط استهلاك موسمي مرتبط برمضان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قنوات التوزيع والاستيراد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ناجحة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موزّع محتمل واحد مرصود، يتطلب تحققاً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تحليل المنافسين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ناجحة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سوق مورّدين مجزَّأ — HHI معتدل، لا مورّد مهيمناً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تقييم المخاطر والمستجدات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ناجحة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تقلّب عملة منخفض (٢٪)، لا مخاطر إخبارية جوهرية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الديموغرافيا والاقتصاد الكلي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ناجحة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مؤشرات اقتصادية مستقرة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الاشتراطات الجمركية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ناجحة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اشتراط أهلية أوروبي واحد حرج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التعريفات الجمركية والاتفاقيات التجارية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ناجحة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تعريفة صفرية مؤكَّدة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الفرص الاستراتيجية والفجوات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ناجحة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لا فجوات إضافية مرصودة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اللوجستيات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ناجحة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بنية لوجستية ناضجة</w:t>
            </w:r>
          </w:p>
        </w:tc>
      </w:tr>
    </w:tbl>
    <w:p>
      <w:pPr>
        <w:pStyle w:val="Heading2"/>
        <w:bidi/>
        <w:jc w:val="start"/>
      </w:pPr>
      <w:r>
        <w:rPr>
          <w:rFonts w:ascii="IBM Plex Sans Arabic" w:hAnsi="IBM Plex Sans Arabic" w:cs="IBM Plex Sans Arabic"/>
          <w:rtl/>
        </w:rPr>
        <w:t>التقرير الكامل (كاتب التقرير، مراجَع)</w:t>
      </w:r>
    </w:p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1. الخلاصة التنفيذية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التوصية دخول مشروط لثلاثة أسباب متضافرة: أولاً الشريحة المسلمة في إسبانيا نحو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2.1 مليون نسمة ضمن واردات تمور سنوية تبلغ 61 مليون دولار؛ وثانياً سوق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مورّدين مجزَّأ (HHI (‏مؤشر يقيس تركّز السوق بين المورّدين: فوق 2500 تركّز مرتفع‏)≈2350، لا مورّد مهيمناً) يفتح مجالاً حقيقياً لمورّد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جديد منافس بالسعر؛ وثالثاً نمو الواردات 9% مركّباً على ثلاث سنوات. تتحول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التوصية إلى التوصية بالدخول أقوى متى تأكدت شهادة المنشأة المعتمدة EU 2017/625 خلال ٩٠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يوماً، ثم تعاقد المصدّر مع موزّع واحد على الأقل من الباب الأول أدناه خلال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المهلة نفسها. المخاطر الرئيسية الثلاث: بوابة الأهلية الأوروبية أولاً، ثم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تقلّب سعري محدود لليورو بين آخر سنتين، ثم منافسة تونس والمغرب بالسعر.</w:t>
      </w:r>
    </w:p>
    <w:p>
      <w:pPr>
        <w:bidi/>
        <w:jc w:val="start"/>
      </w:pPr>
      <w:r>
        <w:rPr>
          <w:rFonts w:ascii="IBM Plex Sans Arabic" w:hAnsi="IBM Plex Sans Arabic" w:cs="IBM Plex Sans Arabic"/>
          <w:b/>
          <w:rtl/>
        </w:rPr>
        <w:t>ماذا يعني هذا لقرارك: ابدأ تجهيز ملف الأهلية الأوروبية الآن — هو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البوابة الحرجة الوحيدة قبل أي خطوة تسويقية.</w:t>
      </w:r>
    </w:p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2. منهجية البحث ونطاقه</w:t>
      </w:r>
    </w:p>
    <w:p>
      <w:pPr>
        <w:pStyle w:val="Heading4"/>
        <w:bidi/>
        <w:jc w:val="start"/>
      </w:pPr>
      <w:r>
        <w:rPr>
          <w:rFonts w:ascii="IBM Plex Sans Arabic" w:hAnsi="IBM Plex Sans Arabic" w:cs="IBM Plex Sans Arabic"/>
          <w:rtl/>
        </w:rPr>
        <w:t>حدود المنهجية وجودة البيانات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اسمان متقاربان على الأرجح لنفس الكيان بترتيب كلمات مختلف: «World</w:t>
        <w:br/>
        <w:t>Bank» و«World Bank» — وحِّدهما في سجلّ كيانات واحد لكل تقرير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الحكم القانوني الحالي «دخول مشروط» لكن المتن يذكر تسمية درجة أعلى «التوصية بالدخول» — صف الترقية كشرطٍ مستقبلي (‏«يتحول إلى X إذا تحقق كذا»‏) لا حكماً حالياً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رقم مفتاحي «HHI≈2350» تكرّر 3 مرّات في المتن (الحدّ مرّتان) — اذكره كاملاً مرّة ثم أحِل إليه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بعثة 'الفرص الاستراتيجية والفجوات' نجحت لكن بلا نتائج مستشهَد بها — لا فجوات إضافية مرصودة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اعتمد هذا التقرير على Comtrade (تدفقات الاستيراد والمورّدون)، World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Bank (السكان والدخل ومؤشرات الحوكمة وسعر الصرف)، WITS (التعريفة)،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وبحث ويب موجَّه (الأسعار والمستوردون وثقافة الاستهلاك). ١٠ من ١٢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بعثة أنتجت أدلة مستشهَداً بها. سنة البيانات الأساسية 2023. تعريف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السوق: إسبانيا (‏ESP‏)، رمز HS080410 (تمور).</w:t>
      </w:r>
    </w:p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3. نظرة عامة على السوق وحجمه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واردات إسبانيا من تمور HS080410 بلغت 61 مليون دولار عام 2023 (UN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Comtrade)، بنمو 9% مركّباً على ثلاث سنوات. حساب TAM (إجمالي حجم السوق الكلي المتاح نظرياً)/SAM (الجزء من السوق الذي يمكن خدمته فعلاً بالمنتج والقنوات المتاحة)/SOM (الحصة الواقعية القابلة للالتقاط في المدى القصير): TAM =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61,000,000$ (إجمالي واردات السوق). SAM = TAM × 3.4% (حصة الشريحة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الحلال المتخصصة المقدَّرة من نمط استهلاك الجاليات المسلمة) ≈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2,074,000$. SOM = SAM × 8% (حصة واقعية مستهدَفة في أول ثلاث سنوات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دخول، افتراض متحفظ لمورّد جديد) ≈ 166,000$ سنوياً.</w:t>
      </w:r>
    </w:p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4. ديناميكيات السوق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محرّكات: نمو سكاني للجالية المسلمة ونمو دخل للفرد. معوّقات: بوابة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الأهلية الأوروبية الإلزامية. فرص: تجزّؤ المورّدين (‏HHI≈2350‏) يترك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مجالاً لمنافس جديد. تهديدات: منافسة تونس والمغرب بأسعار أقل في نفس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القناة المتخصصة.</w:t>
      </w:r>
    </w:p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5. تحليل المستهلك والطلب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حساب صريح لحجم الشريحة: عدد سكان إسبانيا 47,500,000 × نسبة الشريحة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المسلمة المقدَّرة 4.4% ≈ 2,090,000 نسمة. بافتراض استهلاك موسمي 2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كغم/فرد سنوياً (نمط رمضان في أسواق أوروبية مشابهة) × متوسط سعر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تجزئة 9 يورو/كغم ≈ نطاق إيرادات محتمل يتراوح بين 3.3 و4.2 مليون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يورو سنوياً لكامل الشريحة. اتجاه بحث خمس سنوات صاعد بذروة موسمية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واضحة حول رمضان (‏Google Trends‏).</w:t>
      </w:r>
    </w:p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6. المشهد التنافسي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مؤشر تركّز المورّدين HHI≈2350 (نطاق معتدل — لا مورّد مهيمناً) من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comtrade_competitors: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  <w:bidiVisual/>
      </w:tblPr>
      <w:tblGrid>
        <w:gridCol w:w="4320"/>
        <w:gridCol w:w="4320"/>
      </w:tblGrid>
      <w:tr>
        <w:tc>
          <w:tcPr>
            <w:tcW w:type="dxa" w:w="468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الدولة المورّدة</w:t>
            </w:r>
          </w:p>
        </w:tc>
        <w:tc>
          <w:tcPr>
            <w:tcW w:type="dxa" w:w="468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الحصة</w:t>
            </w:r>
          </w:p>
        </w:tc>
      </w:tr>
      <w:tr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تونس</w:t>
            </w:r>
          </w:p>
        </w:tc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34%</w:t>
            </w:r>
          </w:p>
        </w:tc>
      </w:tr>
      <w:tr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الجزائر</w:t>
            </w:r>
          </w:p>
        </w:tc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22%</w:t>
            </w:r>
          </w:p>
        </w:tc>
      </w:tr>
      <w:tr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المغرب</w:t>
            </w:r>
          </w:p>
        </w:tc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18%</w:t>
            </w:r>
          </w:p>
        </w:tc>
      </w:tr>
      <w:tr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باقي المورّدين</w:t>
            </w:r>
          </w:p>
        </w:tc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26%</w:t>
            </w:r>
          </w:p>
        </w:tc>
      </w:tr>
    </w:tbl>
    <w:p>
      <w:pPr>
        <w:bidi/>
        <w:jc w:val="start"/>
      </w:pPr>
      <w:r>
        <w:rPr>
          <w:rFonts w:ascii="IBM Plex Sans Arabic" w:hAnsi="IBM Plex Sans Arabic" w:cs="IBM Plex Sans Arabic"/>
          <w:rtl/>
        </w:rPr>
        <w:t>سلّم أسعار التجزئة المرصود: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  <w:bidiVisual/>
      </w:tblPr>
      <w:tblGrid>
        <w:gridCol w:w="2160"/>
        <w:gridCol w:w="2160"/>
        <w:gridCol w:w="2160"/>
        <w:gridCol w:w="2160"/>
      </w:tblGrid>
      <w:tr>
        <w:tc>
          <w:tcPr>
            <w:tcW w:type="dxa" w:w="234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المنتج/العلامة</w:t>
            </w:r>
          </w:p>
        </w:tc>
        <w:tc>
          <w:tcPr>
            <w:tcW w:type="dxa" w:w="234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السعر</w:t>
            </w:r>
          </w:p>
        </w:tc>
        <w:tc>
          <w:tcPr>
            <w:tcW w:type="dxa" w:w="234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العملة</w:t>
            </w:r>
          </w:p>
        </w:tc>
        <w:tc>
          <w:tcPr>
            <w:tcW w:type="dxa" w:w="234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المصدر</w:t>
            </w:r>
          </w:p>
        </w:tc>
      </w:tr>
      <w:tr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تمور اقتصادية (سوبرماركت عام)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5.80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EUR/كغم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Mercadona (رصد ويب)</w:t>
            </w:r>
          </w:p>
        </w:tc>
      </w:tr>
      <w:tr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تمور متوسطة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8.90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EUR/كغم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Carrefour (رصد ويب)</w:t>
            </w:r>
          </w:p>
        </w:tc>
      </w:tr>
      <w:tr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تمور فاخرة (متجر متخصص)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13.50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EUR/كغم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رصد ويب متعدد</w:t>
            </w:r>
          </w:p>
        </w:tc>
      </w:tr>
    </w:tbl>
    <w:p>
      <w:pPr>
        <w:bidi/>
        <w:jc w:val="start"/>
      </w:pPr>
      <w:r>
        <w:rPr>
          <w:rFonts w:ascii="IBM Plex Sans Arabic" w:hAnsi="IBM Plex Sans Arabic" w:cs="IBM Plex Sans Arabic"/>
          <w:rtl/>
        </w:rPr>
        <w:t>حساب الهامش: سعر التصدير 9.1$/كغم + شحن 0.85$/كغم + تعريفة 0% =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تكلفة واصلة 9.95$/كغم ≈ 9.2 يورو/كغم — يقع عند حافة الطبقة المتوسطة/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الفاخرة، هامش موجب فقط عند استهداف القناة المتخصصة لا السوبرماركت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العام.</w:t>
      </w:r>
    </w:p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7. التنظيم والوصول للسوق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  <w:bidiVisual/>
      </w:tblPr>
      <w:tblGrid>
        <w:gridCol w:w="2880"/>
        <w:gridCol w:w="2880"/>
        <w:gridCol w:w="2880"/>
      </w:tblGrid>
      <w:tr>
        <w:tc>
          <w:tcPr>
            <w:tcW w:type="dxa" w:w="312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الاشتراط</w:t>
            </w:r>
          </w:p>
        </w:tc>
        <w:tc>
          <w:tcPr>
            <w:tcW w:type="dxa" w:w="312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رقم اللائحة</w:t>
            </w:r>
          </w:p>
        </w:tc>
        <w:tc>
          <w:tcPr>
            <w:tcW w:type="dxa" w:w="312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الإجراء المطلوب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تسجيل منشأة معتمدة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EU 2017/625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تسجيل قبل أي شحنة — بوابة أهلية إلزامية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شهادة حلال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معيار GSO 993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شهادة معتمدة من جهة مانحة معترف بها</w:t>
            </w:r>
          </w:p>
        </w:tc>
      </w:tr>
    </w:tbl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التعريفة الأوروبية على HS080410 صفر وفق نظام GSP+ للسعودية.</w:t>
      </w:r>
    </w:p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8. اللوجستيات وسلسلة الإمداد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ميناء فالنسيا أقرب بوابة استيراد رئيسية، مؤشر أداء اللوجستيات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الإسباني جيد نسبياً (World Bank LPI (‏تقييم البنك الدولي لجودة الشحن واللوجستيات من 5‏)). أنواع القنوات المتاحة: موزّع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أغذية متخصص، سلاسل سوبرماركت إثنية، تجارة إلكترونية.</w:t>
      </w:r>
    </w:p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9. تقييم المخاطر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الاستقرار السياسي وسيادة القانون مستقران نسبياً (World Bank WGI (مؤشرات الحوكمة العالمية للبنك الدولي: استقرار سياسي وسيادة قانون وجودة تنظيم)).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تقلّب سعر الصرف محدود: اليورو/دولار تحرّك نحو 2% بين آخر سنتين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مرصودتين (‏World Bank سعر الصرف‏) — تقلّب منخفض نسبياً. لا أخبار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مخاطر قطاعية جوهرية خلال 12 شهراً (‏GDELT‏).</w:t>
      </w:r>
    </w:p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10. التوصيات الاستراتيجية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تدعم الأدلة دخولاً مشروطاً بتأمين الأهلية التنظيمية أولاً. أقوى ثلاثة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أسباب: أولاً شريحة مستهدَفة 2.09 مليون نسمة ضمن واردات السوق؛ وثانياً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سوق مورّدين مجزَّأ (‏HHI≈2350‏) يسمح بدخول منافس جديد؛ وثالثاً نمو واردات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9% مركّباً. الشرط اللازم لبقاء الحكم: تأكيد الأهلية التنظيمية.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  <w:bidiVisual/>
      </w:tblPr>
      <w:tblGrid>
        <w:gridCol w:w="4320"/>
        <w:gridCol w:w="4320"/>
      </w:tblGrid>
      <w:tr>
        <w:tc>
          <w:tcPr>
            <w:tcW w:type="dxa" w:w="468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البند</w:t>
            </w:r>
          </w:p>
        </w:tc>
        <w:tc>
          <w:tcPr>
            <w:tcW w:type="dxa" w:w="468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القيمة</w:t>
            </w:r>
          </w:p>
        </w:tc>
      </w:tr>
      <w:tr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التوصية</w:t>
            </w:r>
          </w:p>
        </w:tc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دخول مشروط</w:t>
            </w:r>
          </w:p>
        </w:tc>
      </w:tr>
      <w:tr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درجة الثقة</w:t>
            </w:r>
          </w:p>
        </w:tc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متوسطة</w:t>
            </w:r>
          </w:p>
        </w:tc>
      </w:tr>
    </w:tbl>
    <w:p>
      <w:pPr>
        <w:pStyle w:val="Heading4"/>
        <w:bidi/>
        <w:jc w:val="start"/>
      </w:pPr>
      <w:r>
        <w:rPr>
          <w:rFonts w:ascii="IBM Plex Sans Arabic" w:hAnsi="IBM Plex Sans Arabic" w:cs="IBM Plex Sans Arabic"/>
          <w:rtl/>
        </w:rPr>
        <w:t>خارطة طريق الدخول (٩٠ يوماً)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(أ) الشريحة المستهدَفة هي شريحة الطلب المحسوبة في تحليل المستهلك (نحو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2,090,000 نسمة). (ب) التموضع بين طبقة Carrefour المتوسطة (‏8.90€‏) وطبقة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الفاخر (‏13.50€‏) وفق سلّم الأسعار المرصود، بهامش تقديري 1.2-2.0 يورو/كغم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بعد تكلفة الهبوط 9.2€ عند القناة المتخصصة حصراً. (ج) الباب الأول: موزّعو أغذية حلال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متخصصون في مدريد وبرشلونة (○ غير متحقق، يتطلب تحققاً مباشراً). (د)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أول ثلاث خطوات: 1) تسجيل المنشأة كمعتمدة EU 2017/625 — مسؤول: فريق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الامتثال، تكلفة متوسطة؛ 2) عيّنة تجريبية لموزّع مرشّح — مسؤول: فريق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المبيعات، تكلفة منخفضة؛ 3) دراسة تسعير تنافسي مباشر مقابل تونس/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الجزائر — مسؤول: فريق التسويق، تكلفة منخفضة. (هـ) مؤشرا القلب: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تسجيل الأهلية خلال ٩٠ يوماً، ورد فعل سعري من موزّع واحد على الأقل.</w:t>
      </w:r>
    </w:p>
    <w:p>
      <w:pPr>
        <w:bidi/>
        <w:jc w:val="start"/>
      </w:pPr>
      <w:r>
        <w:rPr>
          <w:rFonts w:ascii="IBM Plex Sans Arabic" w:hAnsi="IBM Plex Sans Arabic" w:cs="IBM Plex Sans Arabic"/>
          <w:b/>
          <w:rtl/>
        </w:rPr>
        <w:t>ماذا يعني هذا لقرارك: هذه الخطوات الثلاث تحدد إن كانت التوصية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تتحول لـ التوصية بالدخول كامل خلال ربع واحد أو تتجمّد.</w:t>
      </w:r>
    </w:p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11. الملاحق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أدلة التقاطعات الخمسة الكاملة (الطلب، تكلفة الدخول، التنافسية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السعرية، أبواب الدخول، SWOT) والملحق التقني الكامل (كل استشهاد برقم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ثقته الخام ومصدره وتاريخه) يليان أسفل هذا القسم.</w:t>
      </w:r>
    </w:p>
    <w:p>
      <w:pPr>
        <w:pStyle w:val="Heading2"/>
        <w:bidi/>
        <w:jc w:val="start"/>
      </w:pPr>
      <w:r>
        <w:rPr>
          <w:rFonts w:ascii="IBM Plex Sans Arabic" w:hAnsi="IBM Plex Sans Arabic" w:cs="IBM Plex Sans Arabic"/>
          <w:rtl/>
        </w:rPr>
        <w:t>مسرد المصطلحات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HHI: مؤشر يقيس تركّز السوق بين المورّدين: فوق 2500 تركّز مرتفع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TAM: إجمالي حجم السوق الكلي المتاح نظرياً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SAM: الجزء من السوق الذي يمكن خدمته فعلاً بالمنتج والقنوات المتاحة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SOM: الحصة الواقعية القابلة للالتقاط في المدى القصير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LPI: تقييم البنك الدولي لجودة الشحن واللوجستيات من 5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WGI: مؤشرات الحوكمة العالمية للبنك الدولي: استقرار سياسي وسيادة قانون وجودة تنظيم</w:t>
      </w:r>
    </w:p>
    <w:p>
      <w:pPr>
        <w:pStyle w:val="Heading2"/>
        <w:bidi/>
        <w:jc w:val="start"/>
      </w:pPr>
      <w:r>
        <w:rPr>
          <w:rFonts w:ascii="IBM Plex Sans Arabic" w:hAnsi="IBM Plex Sans Arabic" w:cs="IBM Plex Sans Arabic"/>
          <w:rtl/>
        </w:rPr>
        <w:t>قائمة مستوردين وموزعين قابلين للتواصل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  <w:bidiVisual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56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الاسم</w:t>
            </w:r>
          </w:p>
        </w:tc>
        <w:tc>
          <w:tcPr>
            <w:tcW w:type="dxa" w:w="156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العنوان</w:t>
            </w:r>
          </w:p>
        </w:tc>
        <w:tc>
          <w:tcPr>
            <w:tcW w:type="dxa" w:w="156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الهاتف</w:t>
            </w:r>
          </w:p>
        </w:tc>
        <w:tc>
          <w:tcPr>
            <w:tcW w:type="dxa" w:w="156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الإيميل</w:t>
            </w:r>
          </w:p>
        </w:tc>
        <w:tc>
          <w:tcPr>
            <w:tcW w:type="dxa" w:w="156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الموقع</w:t>
            </w:r>
          </w:p>
        </w:tc>
        <w:tc>
          <w:tcPr>
            <w:tcW w:type="dxa" w:w="156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التقييم</w:t>
            </w:r>
          </w:p>
        </w:tc>
      </w:tr>
      <w:tr>
        <w:tc>
          <w:tcPr>
            <w:tcW w:type="dxa" w:w="156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Ejmar Import BV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Barcelona (نموذج)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+34 93 000 0000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info@ejmar.example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https://maps.google/ejmar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4.4 (76)</w:t>
            </w:r>
          </w:p>
        </w:tc>
      </w:tr>
      <w:tr>
        <w:tc>
          <w:tcPr>
            <w:tcW w:type="dxa" w:w="156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Halal Mayorista SL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Madrid (نموذج)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+34 91 000 0000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ventas@halalm.example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https://maps.google/halalm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4.1 (41)</w:t>
            </w:r>
          </w:p>
        </w:tc>
      </w:tr>
    </w:tbl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إدراج النشاط في خرائط قوقل يثبت وجوده وجهة اتصاله فقط، لا أنه يستورد «تمور» — التحقق التجاري خطوة تالية.</w:t>
      </w:r>
    </w:p>
    <w:p>
      <w:pPr>
        <w:pStyle w:val="Heading2"/>
        <w:bidi/>
        <w:jc w:val="start"/>
      </w:pPr>
      <w:r>
        <w:rPr>
          <w:rFonts w:ascii="IBM Plex Sans Arabic" w:hAnsi="IBM Plex Sans Arabic" w:cs="IBM Plex Sans Arabic"/>
          <w:rtl/>
        </w:rPr>
        <w:t>ملحق — الأدلة الرقمية الداعمة للتقاطعات الخمسة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كل نقطة أدناه هي الحقيقة الخام (بمصدرها) التي بُني عليها السرد أعلاه — للتحقق المباشر لا كبديل عنه.</w:t>
      </w:r>
    </w:p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الطلب الفعلي القابل للتوجيه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الشريحة المسلمة في إسبانيا نحو 2.09 مليون نسمة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[مرجع الديموغرافيا الداخلي (‏demographics_l1.csv‏) — ◐ ثانوي] تقدير 4.4% من 47.5 مليون نسمة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واردات إسبانيا من تمور HS080410 بلغت 61 مليون دولار (‏2023‏)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[‏UN Comtrade — ✓ موثّق‏] تدفق استيراد مباشر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نمو الواردات 9% مركّباً على ثلاث سنوات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[‏UN Comtrade — ✓ موثّق‏] اتجاه ثلاث سنوات</w:t>
      </w:r>
    </w:p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تكلفة وصعوبة الدخول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تعريفة صفرية على HS080410 ضمن GSP+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[‏WITS/WTO Tariff — ✓ موثّق‏] تعريفة مطبّقة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تكلفة شحن بحري مقدَّرة 0.85$/كغم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[تقدير لوجستي داخلي — ◐ ثانوي] تقدير غير رسمي</w:t>
      </w:r>
    </w:p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التنافسية السعرية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Mercadona: تمور اقتصادية 5.80€/كغم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[Mercadona (رصد ويب) — ◐ ثانوي] سعر تجزئة مرصود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Carrefour: تمور متوسطة 8.90€/كغم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[Carrefour (رصد ويب) — ◐ ثانوي] سعر تجزئة مرصود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متاجر متخصصة: تمور فاخرة حتى 13.50€/كغم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[رصد ويب متعدد — ◐ ثانوي] نطاق تقديري</w:t>
      </w:r>
    </w:p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أبواب الدخول الأكثر أماناً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موزّع أغذية حلال في مدريد — مرشّح محتمل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[بحث ويب (غير مؤكَّد) — ○ غير متحقق] مرشّح غير متحقق</w:t>
      </w:r>
    </w:p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SWOT من منظور المصدّر السعودي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تعريفة صفرية وسوق مورّدين مجزَّأ (قوة)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[تحليل مركّب — ◐ ثانوي] نقطة قوة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لا حضور علامة سعودية مثبت (ضعف)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[تحليل مركّب — ◐ ثانوي] نقطة ضعف</w:t>
      </w:r>
    </w:p>
    <w:p>
      <w:pPr>
        <w:pStyle w:val="Heading2"/>
        <w:bidi/>
        <w:jc w:val="start"/>
      </w:pPr>
      <w:r>
        <w:rPr>
          <w:rFonts w:ascii="IBM Plex Sans Arabic" w:hAnsi="IBM Plex Sans Arabic" w:cs="IBM Plex Sans Arabic"/>
          <w:rtl/>
        </w:rPr>
        <w:t>شروط إعادة تقييم القرار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التعاقد مع موزّع محلي مؤكَّد بالاسم في إسبانيا — ○ غير محقَّق؛ يُغلَق عبر: التحقق من نشاط الجهة واهتمامها بالمنتج، ثم الاتفاق على شروط التوزيع وتوثيق العقد</w:t>
      </w:r>
    </w:p>
    <w:p>
      <w:pPr>
        <w:pStyle w:val="Heading2"/>
        <w:bidi/>
        <w:jc w:val="start"/>
      </w:pPr>
      <w:r>
        <w:rPr>
          <w:rFonts w:ascii="IBM Plex Sans Arabic" w:hAnsi="IBM Plex Sans Arabic" w:cs="IBM Plex Sans Arabic"/>
          <w:rtl/>
        </w:rPr>
        <w:t>حدود قسم البحث العميق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  <w:bidiVisual/>
      </w:tblPr>
      <w:tblGrid>
        <w:gridCol w:w="2880"/>
        <w:gridCol w:w="2880"/>
        <w:gridCol w:w="2880"/>
      </w:tblGrid>
      <w:tr>
        <w:tc>
          <w:tcPr>
            <w:tcW w:type="dxa" w:w="312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المعطى</w:t>
            </w:r>
          </w:p>
        </w:tc>
        <w:tc>
          <w:tcPr>
            <w:tcW w:type="dxa" w:w="312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ما يلزم لإغلاقه</w:t>
            </w:r>
          </w:p>
        </w:tc>
        <w:tc>
          <w:tcPr>
            <w:tcW w:type="dxa" w:w="312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الحالة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بنود الاشتراطات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—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مرصود من مصادر غير رسمية فقط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تعذّر التصنيف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—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لم يُعرَف بعد</w:t>
            </w:r>
          </w:p>
        </w:tc>
      </w:tr>
    </w:tbl>
    <w:p>
      <w:pPr>
        <w:pStyle w:val="Heading2"/>
        <w:bidi/>
        <w:jc w:val="start"/>
      </w:pPr>
      <w:r>
        <w:rPr>
          <w:rFonts w:ascii="IBM Plex Sans Arabic" w:hAnsi="IBM Plex Sans Arabic" w:cs="IBM Plex Sans Arabic"/>
          <w:rtl/>
        </w:rPr>
        <w:t>سجل الأدلة للمدققين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لكل حقيقة مصدرها العمومي ورابطها (إن توفّر) وتاريخ جمعها وقوة دليلها (✓ موثّق، ◐ مُقدَّر، ○ غير متحقّق).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  <w:bidiVisual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872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الحقيقة</w:t>
            </w:r>
          </w:p>
        </w:tc>
        <w:tc>
          <w:tcPr>
            <w:tcW w:type="dxa" w:w="1872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المصدر</w:t>
            </w:r>
          </w:p>
        </w:tc>
        <w:tc>
          <w:tcPr>
            <w:tcW w:type="dxa" w:w="1872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الرابط</w:t>
            </w:r>
          </w:p>
        </w:tc>
        <w:tc>
          <w:tcPr>
            <w:tcW w:type="dxa" w:w="1872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تاريخ الجمع</w:t>
            </w:r>
          </w:p>
        </w:tc>
        <w:tc>
          <w:tcPr>
            <w:tcW w:type="dxa" w:w="1872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قوة الدليل</w:t>
            </w:r>
          </w:p>
        </w:tc>
      </w:tr>
      <w:tr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61000000.0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UN Comtrade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https://comtradeplus.un.org/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2026-07-01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✓ موثّق</w:t>
            </w:r>
          </w:p>
        </w:tc>
      </w:tr>
      <w:tr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اتجاه بحث 5 سنوات صاعد + ذروة موسمية رمضان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Google Trends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https://trends.google.com/trends/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2026-07-01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◐ ثانوي</w:t>
            </w:r>
          </w:p>
        </w:tc>
      </w:tr>
      <w:tr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Mercadona: تمور اقتصادية 5.80€/كغم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Mercadona (رصد ويب)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—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2026-07-01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◐ ثانوي</w:t>
            </w:r>
          </w:p>
        </w:tc>
      </w:tr>
      <w:tr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Carrefour: تمور متوسطة 8.90€/كغم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Carrefour (رصد ويب)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—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2026-07-01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◐ ثانوي</w:t>
            </w:r>
          </w:p>
        </w:tc>
      </w:tr>
      <w:tr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متاجر متخصصة: تمور فاخرة حتى 13.50€/كغم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رصد ويب متعدد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—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2026-07-01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◐ ثانوي</w:t>
            </w:r>
          </w:p>
        </w:tc>
      </w:tr>
      <w:tr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التمور مرتبطة ثقافياً بموسم رمضان لدى الجالية المسلمة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OpenAlex + بحث ويب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https://openalex.org/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2026-07-01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◐ ثانوي</w:t>
            </w:r>
          </w:p>
        </w:tc>
      </w:tr>
      <w:tr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موزّع أغذية حلال في مدريد — مرشّح محتمل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بحث ويب (غير مؤكَّد)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—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2026-07-01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○ غير متحقق</w:t>
            </w:r>
          </w:p>
        </w:tc>
      </w:tr>
      <w:tr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بند تقني غير قابل للعرض المباشر — التفاصيل في أثر التتبّع.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UN Comtrade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https://comtradeplus.un.org/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2026-07-01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✓ موثّق</w:t>
            </w:r>
          </w:p>
        </w:tc>
      </w:tr>
      <w:tr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لا أخبار مخاطر جوهرية خلال 12 شهراً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GDELT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https://www.gdeltproject.org/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2026-07-01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◐ ثانوي</w:t>
            </w:r>
          </w:p>
        </w:tc>
      </w:tr>
      <w:tr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0.92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World Bank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https://data.worldbank.org/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2026-07-01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✓ موثّق</w:t>
            </w:r>
          </w:p>
        </w:tc>
      </w:tr>
      <w:tr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0.94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World Bank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https://data.worldbank.org/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2026-07-01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✓ موثّق</w:t>
            </w:r>
          </w:p>
        </w:tc>
      </w:tr>
      <w:tr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47500000.0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World Bank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https://data.worldbank.org/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2026-07-01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✓ موثّق</w:t>
            </w:r>
          </w:p>
        </w:tc>
      </w:tr>
      <w:tr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29350.0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World Bank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https://data.worldbank.org/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2026-07-01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✓ موثّق</w:t>
            </w:r>
          </w:p>
        </w:tc>
      </w:tr>
      <w:tr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تسجيل منشأة معتمدة EU 2017/625 إلزامي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EU 2017/625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—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2026-07-01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✓ موثّق</w:t>
            </w:r>
          </w:p>
        </w:tc>
      </w:tr>
      <w:tr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تعريفة صفرية ضمن GSP+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WITS/WTO Tariff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https://wits.worldbank.org/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2026-07-01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✓ موثّق</w:t>
            </w:r>
          </w:p>
        </w:tc>
      </w:tr>
      <w:tr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ميناء فالنسيا أقرب بوابة استيراد رئيسية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مرجع الموانئ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—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2026-07-01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◐ ثانوي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1906" w:h="16838"/>
      <w:pgMar w:top="1440" w:right="1800" w:bottom="1440" w:left="1800" w:header="720" w:footer="720" w:gutter="0"/>
      <w:cols w:space="720"/>
      <w:docGrid w:linePitch="360"/>
      <w:bidi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bidi/>
      <w:jc w:val="start"/>
    </w:pPr>
    <w:r>
      <w:rPr>
        <w:rFonts w:ascii="IBM Plex Sans Arabic" w:hAnsi="IBM Plex Sans Arabic" w:cs="IBM Plex Sans Arabic"/>
        <w:rtl/>
      </w:rPr>
      <w:t xml:space="preserve">سلك لذكاء الأسواق — منصة تحليل أسواق التصدير السعودية — صفحة </w:t>
    </w:r>
    <w:r>
      <w:rPr>
        <w:rFonts w:ascii="IBM Plex Sans Arabic" w:hAnsi="IBM Plex Sans Arabic" w:cs="IBM Plex Sans Arabic"/>
        <w:rtl/>
      </w:rPr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bidi/>
      <w:jc w:val="start"/>
    </w:pPr>
    <w:r>
      <w:rPr>
        <w:rFonts w:ascii="IBM Plex Sans Arabic" w:hAnsi="IBM Plex Sans Arabic" w:cs="IBM Plex Sans Arabic"/>
        <w:rtl/>
      </w:rPr>
      <w:t>سلك — تقرير بحث عميق: تمور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bidi/>
      <w:spacing w:line="345" w:lineRule="auto" w:after="180"/>
      <w:jc w:val="start"/>
    </w:pPr>
    <w:rPr>
      <w:rFonts w:ascii="IBM Plex Sans Arabic" w:hAnsi="IBM Plex Sans Arabic" w:cs="IBM Plex Sans Arabic"/>
      <w:sz w:val="22"/>
      <w:rtl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  <w:bidi/>
      <w:jc w:val="start"/>
    </w:pPr>
    <w:rPr>
      <w:rFonts w:ascii="IBM Plex Sans Arabic" w:hAnsi="IBM Plex Sans Arabic" w:cs="IBM Plex Sans Arabic"/>
      <w:color w:val="555555"/>
      <w:sz w:val="18"/>
      <w:rtl/>
    </w:r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  <w:bidi/>
      <w:jc w:val="start"/>
    </w:pPr>
    <w:rPr>
      <w:rFonts w:ascii="IBM Plex Sans Arabic" w:hAnsi="IBM Plex Sans Arabic" w:cs="IBM Plex Sans Arabic"/>
      <w:color w:val="555555"/>
      <w:sz w:val="18"/>
      <w:rtl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b/>
      <w:bCs/>
      <w:color w:val="166534"/>
      <w:sz w:val="28"/>
      <w:szCs w:val="28"/>
      <w:rtl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b/>
      <w:bCs/>
      <w:color w:val="166534"/>
      <w:sz w:val="26"/>
      <w:szCs w:val="26"/>
      <w:rtl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b/>
      <w:bCs/>
      <w:color w:val="333333"/>
      <w:sz w:val="24"/>
      <w:rtl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b/>
      <w:bCs/>
      <w:i/>
      <w:iCs/>
      <w:color w:val="4F81BD" w:themeColor="accent1"/>
      <w:rtl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color w:val="243F60" w:themeColor="accent1" w:themeShade="7F"/>
      <w:rtl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i/>
      <w:iCs/>
      <w:color w:val="243F60" w:themeColor="accent1" w:themeShade="7F"/>
      <w:rtl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i/>
      <w:iCs/>
      <w:color w:val="404040" w:themeColor="text1" w:themeTint="BF"/>
      <w:rtl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color w:val="4F81BD" w:themeColor="accent1"/>
      <w:sz w:val="20"/>
      <w:szCs w:val="20"/>
      <w:rtl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i/>
      <w:iCs/>
      <w:color w:val="404040" w:themeColor="text1" w:themeTint="BF"/>
      <w:sz w:val="20"/>
      <w:szCs w:val="20"/>
      <w:rtl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  <w:bidi/>
      <w:jc w:val="start"/>
    </w:pPr>
    <w:rPr>
      <w:rFonts w:ascii="IBM Plex Sans Arabic" w:hAnsi="IBM Plex Sans Arabic" w:cs="IBM Plex Sans Arabic"/>
      <w:rtl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b/>
      <w:color w:val="166534"/>
      <w:spacing w:val="5"/>
      <w:kern w:val="28"/>
      <w:sz w:val="36"/>
      <w:szCs w:val="52"/>
      <w:rtl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i/>
      <w:iCs/>
      <w:color w:val="4F81BD" w:themeColor="accent1"/>
      <w:spacing w:val="15"/>
      <w:sz w:val="24"/>
      <w:szCs w:val="24"/>
      <w:rtl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  <w:bidi/>
      <w:jc w:val="start"/>
    </w:pPr>
    <w:rPr>
      <w:rFonts w:ascii="IBM Plex Sans Arabic" w:hAnsi="IBM Plex Sans Arabic" w:cs="IBM Plex Sans Arabic"/>
      <w:rtl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  <w:bidi/>
      <w:jc w:val="start"/>
    </w:pPr>
    <w:rPr>
      <w:rFonts w:ascii="IBM Plex Sans Arabic" w:hAnsi="IBM Plex Sans Arabic" w:cs="IBM Plex Sans Arabic"/>
      <w:rtl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  <w:bidi/>
      <w:jc w:val="start"/>
    </w:pPr>
    <w:rPr>
      <w:rFonts w:ascii="IBM Plex Sans Arabic" w:hAnsi="IBM Plex Sans Arabic" w:cs="IBM Plex Sans Arabic"/>
      <w:sz w:val="16"/>
      <w:szCs w:val="16"/>
      <w:rtl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bidi/>
      <w:jc w:val="start"/>
    </w:pPr>
    <w:rPr>
      <w:rFonts w:ascii="IBM Plex Sans Arabic" w:hAnsi="IBM Plex Sans Arabic" w:cs="IBM Plex Sans Arabic"/>
      <w:sz w:val="20"/>
      <w:szCs w:val="20"/>
      <w:rtl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>
      <w:bidi/>
      <w:jc w:val="start"/>
    </w:pPr>
    <w:rPr>
      <w:rFonts w:ascii="IBM Plex Sans Arabic" w:hAnsi="IBM Plex Sans Arabic" w:cs="IBM Plex Sans Arabic"/>
      <w:i/>
      <w:iCs/>
      <w:color w:val="000000" w:themeColor="text1"/>
      <w:rtl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  <w:bidi/>
      <w:jc w:val="start"/>
    </w:pPr>
    <w:rPr>
      <w:rFonts w:ascii="IBM Plex Sans Arabic" w:hAnsi="IBM Plex Sans Arabic" w:cs="IBM Plex Sans Arabic"/>
      <w:b/>
      <w:bCs/>
      <w:color w:val="4F81BD" w:themeColor="accent1"/>
      <w:sz w:val="18"/>
      <w:szCs w:val="18"/>
      <w:rtl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  <w:bidi/>
      <w:jc w:val="start"/>
    </w:pPr>
    <w:rPr>
      <w:rFonts w:ascii="IBM Plex Sans Arabic" w:hAnsi="IBM Plex Sans Arabic" w:cs="IBM Plex Sans Arabic"/>
      <w:b/>
      <w:bCs/>
      <w:i/>
      <w:iCs/>
      <w:color w:val="4F81BD" w:themeColor="accent1"/>
      <w:rtl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  <w:bidi/>
      <w:jc w:val="start"/>
    </w:pPr>
    <w:rPr>
      <w:rFonts w:ascii="IBM Plex Sans Arabic" w:hAnsi="IBM Plex Sans Arabic" w:cs="IBM Plex Sans Arabic"/>
      <w:rtl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