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425B" w:rsidRDefault="0046425B">
      <w:pPr>
        <w:rPr>
          <w:rStyle w:val="objectbox"/>
          <w:sz w:val="40"/>
          <w:szCs w:val="40"/>
        </w:rPr>
      </w:pPr>
      <w:r w:rsidRPr="0046425B">
        <w:rPr>
          <w:sz w:val="40"/>
          <w:szCs w:val="40"/>
        </w:rPr>
        <w:t>Apply ratio analysis to balance sheet components</w:t>
      </w:r>
    </w:p>
    <w:p w:rsidR="00D02C29" w:rsidRPr="00224613" w:rsidRDefault="00D02C29">
      <w:pPr>
        <w:rPr>
          <w:rStyle w:val="objectbox"/>
          <w:sz w:val="32"/>
          <w:szCs w:val="32"/>
        </w:rPr>
      </w:pPr>
    </w:p>
    <w:p w:rsidR="0046425B" w:rsidRDefault="0046425B" w:rsidP="00997B22">
      <w:pPr>
        <w:shd w:val="clear" w:color="auto" w:fill="FFFFFF"/>
        <w:spacing w:line="270" w:lineRule="atLeast"/>
        <w:rPr>
          <w:sz w:val="32"/>
          <w:szCs w:val="32"/>
        </w:rPr>
      </w:pPr>
      <w:r w:rsidRPr="0046425B">
        <w:rPr>
          <w:sz w:val="32"/>
          <w:szCs w:val="32"/>
        </w:rPr>
        <w:t>Comprehensive Guide to Balance Sheet Ratio Analysis</w:t>
      </w:r>
    </w:p>
    <w:p w:rsidR="0046425B" w:rsidRPr="0046425B" w:rsidRDefault="0046425B" w:rsidP="0046425B">
      <w:pPr>
        <w:rPr>
          <w:rFonts w:ascii="Menlo" w:eastAsia="Times New Roman" w:hAnsi="Menlo" w:cs="Menlo"/>
          <w:color w:val="A31515"/>
          <w:kern w:val="0"/>
          <w:sz w:val="18"/>
          <w:szCs w:val="18"/>
          <w:lang w:eastAsia="en-GB"/>
          <w14:ligatures w14:val="none"/>
        </w:rPr>
      </w:pPr>
      <w:r w:rsidRPr="0046425B">
        <w:rPr>
          <w:rFonts w:ascii="Menlo" w:eastAsia="Times New Roman" w:hAnsi="Menlo" w:cs="Menlo"/>
          <w:color w:val="A31515"/>
          <w:kern w:val="0"/>
          <w:sz w:val="18"/>
          <w:szCs w:val="18"/>
          <w:lang w:eastAsia="en-GB"/>
          <w14:ligatures w14:val="none"/>
        </w:rPr>
        <w:t>Balance sheet ratio analysis is a crucial skill for investors and financial analysts, providing insights into a company's financial health and operational efficiency. This guide will explore key ratio categories and their significance in investment decision-making.\n\n1. Liquidity Ratios:\nLiquidity ratios measure a company's ability to meet short-term obligations and convert assets into cash quickly. Key liquidity ratios include:\n\na) Current Ratio = Current Assets / Current Liabilities\n- Ideal range: 1.5 to 3.0\n- Indicates the company's ability to pay off short-term liabilities with current assets\n\nb) Quick Ratio (Acid-Test Ratio) = (Current Assets - Inventory) / Current Liabilities\n- Ideal range: 1.0 or higher\n- More conservative measure of liquidity, excluding inventory\n\nc) Cash Ratio = Cash and Cash Equivalents / Current Liabilities\n- Ideal range: 0.5 to 1.0\n- Strictest liquidity measure, considering only the most liquid assets\n\n2. Solvency and Leverage Ratios:\nThese ratios assess a company's long-term financial stability and its reliance on debt financing. Key ratios include:\n\na) Debt-to-Equity Ratio = Total Liabilities / Shareholders' Equity\n- Ideal range: Varies by industry, generally below 2.0\n- Measures the proportion of company financing from debt versus equity\n\nb) Debt-to-Assets Ratio = Total Liabilities / Total Assets\n- Ideal range: Varies by industry, generally below 0.5\n- Indicates the percentage of assets financed by debt\n\nc) Interest Coverage Ratio = EBIT / Interest Expense\n- Ideal range: 2.0 or higher\n- Measures the company's ability to meet interest payments on outstanding debt\n\n3. Efficiency Ratios:\nEfficiency ratios evaluate how effectively a company utilizes its assets and manages its liabilities. Key balance sheet efficiency ratios include:\n\na) Inventory Turnover Ratio = Cost of Goods Sold / Average Inventory\n- Higher ratios generally indicate better inventory management\n- Measures how quickly a company sells its inventory\n\nb) Accounts Receivable Turnover Ratio = Net Credit Sales / Average Accounts Receivable\n- Higher ratios suggest more efficient collection of credit sales\n- Indicates how quickly customers pay their bills\n\nc) Total Asset Turnover Ratio = Net Sales / Average Total Assets\n- Higher ratios indicate more efficient use of assets to generate sales\n- Measures the company's ability to generate sales from its asset base\n\nInterpreting Ratio Analysis:\n1. Compare ratios over time to identify trends within the company\n2. Benchmark against industry averages or competitors\n3. Consider the company's business model and industry characteristics\n4. Look for red flags, such as declining liquidity or increasing leverage\n5. Use ratio analysis in conjunction with other financial analysis techniques\n\nLimitations of Ratio Analysis:\n1. Ratios are based on historical data and may not reflect future performance\n2. Accounting methods can affect ratio calculations\n3. Seasonal factors may skew ratios if not properly adjusted\n4. Ratios don't capture qualitative factors like management quality or market conditions\n\nConclusion:\nBalance sheet ratio analysis is a powerful tool for assessing a company's financial health and making informed investment decisions. By understanding and applying these ratios, investors can gain valuable insights into a company's liquidity, solvency, and operational efficiency. However, it's crucial to use ratio analysis as part of a comprehensive financial analysis, considering both quantitative and qualitative factors to make well-rounded investment decisions."</w:t>
      </w:r>
    </w:p>
    <w:p w:rsidR="00224613" w:rsidRDefault="0046425B" w:rsidP="0046425B">
      <w:pPr>
        <w:rPr>
          <w:rStyle w:val="objectbox"/>
          <w:sz w:val="32"/>
          <w:szCs w:val="32"/>
        </w:rPr>
      </w:pPr>
      <w:r w:rsidRPr="0046425B">
        <w:rPr>
          <w:rFonts w:ascii="Menlo" w:eastAsia="Times New Roman" w:hAnsi="Menlo" w:cs="Menlo"/>
          <w:color w:val="A31515"/>
          <w:kern w:val="0"/>
          <w:sz w:val="18"/>
          <w:szCs w:val="18"/>
          <w:lang w:eastAsia="en-GB"/>
          <w14:ligatures w14:val="none"/>
        </w:rPr>
        <w:t xml:space="preserve">  </w:t>
      </w:r>
    </w:p>
    <w:p w:rsidR="003A5B26" w:rsidRDefault="003A5B26">
      <w:pPr>
        <w:rPr>
          <w:rStyle w:val="objectbox"/>
          <w:sz w:val="32"/>
          <w:szCs w:val="32"/>
        </w:rPr>
      </w:pPr>
    </w:p>
    <w:p w:rsidR="00224613" w:rsidRDefault="0046425B">
      <w:pPr>
        <w:rPr>
          <w:sz w:val="32"/>
          <w:szCs w:val="32"/>
        </w:rPr>
      </w:pPr>
      <w:r w:rsidRPr="0046425B">
        <w:rPr>
          <w:sz w:val="32"/>
          <w:szCs w:val="32"/>
        </w:rPr>
        <w:t>Calculate and interpret liquidity ratios</w:t>
      </w:r>
    </w:p>
    <w:p w:rsidR="0046425B" w:rsidRDefault="0046425B">
      <w:pPr>
        <w:rPr>
          <w:rStyle w:val="objectbox"/>
          <w:sz w:val="32"/>
          <w:szCs w:val="32"/>
        </w:rPr>
      </w:pP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24613" w:rsidRDefault="0046425B" w:rsidP="0046425B">
      <w:pPr>
        <w:shd w:val="clear" w:color="auto" w:fill="FFFFFF"/>
        <w:spacing w:line="270" w:lineRule="atLeast"/>
        <w:rPr>
          <w:rFonts w:ascii="Menlo" w:eastAsia="Times New Roman" w:hAnsi="Menlo" w:cs="Menlo"/>
          <w:color w:val="A31515"/>
          <w:kern w:val="0"/>
          <w:sz w:val="18"/>
          <w:szCs w:val="18"/>
          <w:lang w:eastAsia="en-GB"/>
          <w14:ligatures w14:val="none"/>
        </w:rPr>
      </w:pPr>
      <w:r w:rsidRPr="0046425B">
        <w:rPr>
          <w:rFonts w:ascii="Menlo" w:eastAsia="Times New Roman" w:hAnsi="Menlo" w:cs="Menlo"/>
          <w:color w:val="A31515"/>
          <w:kern w:val="0"/>
          <w:sz w:val="18"/>
          <w:szCs w:val="18"/>
          <w:lang w:eastAsia="en-GB"/>
          <w14:ligatures w14:val="none"/>
        </w:rPr>
        <w:t xml:space="preserve">Welcome to our video on liquidity ratios. These ratios are crucial for assessing a company's ability to meet short-term obligations.\n\nLet's focus on three key liquidity ratios:\n\n1. Current Ratio: This is calculated by dividing current assets by current liabilities. A ratio of 2:1 is often considered good, meaning the </w:t>
      </w:r>
      <w:r w:rsidRPr="0046425B">
        <w:rPr>
          <w:rFonts w:ascii="Menlo" w:eastAsia="Times New Roman" w:hAnsi="Menlo" w:cs="Menlo"/>
          <w:color w:val="A31515"/>
          <w:kern w:val="0"/>
          <w:sz w:val="18"/>
          <w:szCs w:val="18"/>
          <w:lang w:eastAsia="en-GB"/>
          <w14:ligatures w14:val="none"/>
        </w:rPr>
        <w:lastRenderedPageBreak/>
        <w:t>company has twice as many current assets as liabilities.\n\n2. Quick Ratio: Also known as the Acid-Test Ratio, it's more conservative as it excludes inventory. It's calculated as (Current Assets - Inventory) / Current Liabilities. A ratio of 1:1 or higher is generally favorable.\n\n3. Cash Ratio: This is the most stringent, considering only cash and cash equivalents. It's calculated as Cash and Cash Equivalents / Current Liabilities. A ratio of 0.5 to 1 is often seen as strong.\n\nRemember, while higher ratios typically indicate better liquidity, extremely high ratios might suggest inefficient use of assets. Always interpret these ratios in the context of the company's industry and specific circumstances.</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46425B" w:rsidRDefault="0046425B" w:rsidP="0046425B">
      <w:pPr>
        <w:shd w:val="clear" w:color="auto" w:fill="FFFFFF"/>
        <w:spacing w:line="270" w:lineRule="atLeast"/>
        <w:rPr>
          <w:rFonts w:ascii="Menlo" w:eastAsia="Times New Roman" w:hAnsi="Menlo" w:cs="Menlo"/>
          <w:color w:val="000000"/>
          <w:kern w:val="0"/>
          <w:sz w:val="18"/>
          <w:szCs w:val="18"/>
          <w:lang w:eastAsia="en-GB"/>
          <w14:ligatures w14:val="none"/>
        </w:rPr>
      </w:pPr>
    </w:p>
    <w:p w:rsidR="0046425B" w:rsidRDefault="0046425B" w:rsidP="0046425B">
      <w:pPr>
        <w:shd w:val="clear" w:color="auto" w:fill="FFFFFF"/>
        <w:spacing w:line="270" w:lineRule="atLeast"/>
        <w:rPr>
          <w:sz w:val="32"/>
          <w:szCs w:val="32"/>
        </w:rPr>
      </w:pPr>
      <w:r w:rsidRPr="0046425B">
        <w:rPr>
          <w:sz w:val="32"/>
          <w:szCs w:val="32"/>
        </w:rPr>
        <w:t>Analyze solvency and leverage ratios</w:t>
      </w:r>
    </w:p>
    <w:p w:rsidR="0046425B" w:rsidRPr="00755352" w:rsidRDefault="0046425B" w:rsidP="0046425B">
      <w:pPr>
        <w:shd w:val="clear" w:color="auto" w:fill="FFFFFF"/>
        <w:spacing w:line="270" w:lineRule="atLeast"/>
        <w:rPr>
          <w:sz w:val="32"/>
          <w:szCs w:val="32"/>
        </w:rPr>
      </w:pPr>
    </w:p>
    <w:p w:rsidR="0046425B" w:rsidRPr="003A5B26" w:rsidRDefault="0046425B" w:rsidP="0046425B">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46425B" w:rsidRDefault="0046425B" w:rsidP="0046425B">
      <w:pPr>
        <w:shd w:val="clear" w:color="auto" w:fill="FFFFFF"/>
        <w:spacing w:line="270" w:lineRule="atLeast"/>
        <w:rPr>
          <w:rFonts w:ascii="Menlo" w:eastAsia="Times New Roman" w:hAnsi="Menlo" w:cs="Menlo"/>
          <w:color w:val="A31515"/>
          <w:kern w:val="0"/>
          <w:sz w:val="18"/>
          <w:szCs w:val="18"/>
          <w:lang w:eastAsia="en-GB"/>
          <w14:ligatures w14:val="none"/>
        </w:rPr>
      </w:pPr>
      <w:r w:rsidRPr="0046425B">
        <w:rPr>
          <w:rFonts w:ascii="Menlo" w:eastAsia="Times New Roman" w:hAnsi="Menlo" w:cs="Menlo"/>
          <w:color w:val="A31515"/>
          <w:kern w:val="0"/>
          <w:sz w:val="18"/>
          <w:szCs w:val="18"/>
          <w:lang w:eastAsia="en-GB"/>
          <w14:ligatures w14:val="none"/>
        </w:rPr>
        <w:t xml:space="preserve">Welcome to our discussion on solvency and leverage ratios. These ratios help us understand a company's long-term financial stability and its use of debt financing.\n\nLet's explore three key ratios:\n\n1. Debt-to-Equity Ratio: This is calculated by dividing total liabilities by shareholders' equity. It shows how much of a company's financing comes from debt versus equity. A lower ratio generally indicates less risk, but the ideal range varies by industry.\n\n2. Debt-to-Assets Ratio: This is total liabilities divided by total assets. It reveals the percentage of a company's assets that are financed by debt. A ratio below 0.5 is often considered good, meaning less than half of the assets are financed by debt.\n\n3. Interest Coverage Ratio: This is EBIT (Earnings Before Interest and Taxes) divided by interest expense. It measures how easily a company can pay interest on its outstanding debt. A ratio of 2 or higher is generally considered safe.\n\nRemember, while lower leverage might indicate less risk, some debt can be beneficial for growth and tax advantages. Always interpret these ratios in the context of the company's industry and growth stage. </w:t>
      </w:r>
    </w:p>
    <w:p w:rsidR="0046425B" w:rsidRDefault="0046425B" w:rsidP="0046425B">
      <w:pPr>
        <w:shd w:val="clear" w:color="auto" w:fill="FFFFFF"/>
        <w:spacing w:line="270" w:lineRule="atLeast"/>
        <w:rPr>
          <w:rFonts w:ascii="Menlo" w:eastAsia="Times New Roman" w:hAnsi="Menlo" w:cs="Menlo"/>
          <w:color w:val="A31515"/>
          <w:kern w:val="0"/>
          <w:sz w:val="18"/>
          <w:szCs w:val="18"/>
          <w:lang w:eastAsia="en-GB"/>
          <w14:ligatures w14:val="none"/>
        </w:rPr>
      </w:pPr>
    </w:p>
    <w:p w:rsidR="0046425B" w:rsidRDefault="0046425B" w:rsidP="0046425B">
      <w:pPr>
        <w:shd w:val="clear" w:color="auto" w:fill="FFFFFF"/>
        <w:spacing w:line="270" w:lineRule="atLeast"/>
        <w:rPr>
          <w:rFonts w:ascii="Menlo" w:eastAsia="Times New Roman" w:hAnsi="Menlo" w:cs="Menlo"/>
          <w:color w:val="000000"/>
          <w:kern w:val="0"/>
          <w:sz w:val="18"/>
          <w:szCs w:val="18"/>
          <w:lang w:eastAsia="en-GB"/>
          <w14:ligatures w14:val="none"/>
        </w:rPr>
      </w:pPr>
    </w:p>
    <w:p w:rsidR="0046425B" w:rsidRDefault="0046425B" w:rsidP="0046425B">
      <w:pPr>
        <w:shd w:val="clear" w:color="auto" w:fill="FFFFFF"/>
        <w:spacing w:line="270" w:lineRule="atLeast"/>
        <w:rPr>
          <w:sz w:val="32"/>
          <w:szCs w:val="32"/>
        </w:rPr>
      </w:pPr>
      <w:r w:rsidRPr="0046425B">
        <w:rPr>
          <w:sz w:val="32"/>
          <w:szCs w:val="32"/>
        </w:rPr>
        <w:t>Evaluate efficiency ratios related to balance sheet items</w:t>
      </w:r>
    </w:p>
    <w:p w:rsidR="0046425B" w:rsidRPr="00755352" w:rsidRDefault="0046425B" w:rsidP="0046425B">
      <w:pPr>
        <w:shd w:val="clear" w:color="auto" w:fill="FFFFFF"/>
        <w:spacing w:line="270" w:lineRule="atLeast"/>
        <w:rPr>
          <w:sz w:val="32"/>
          <w:szCs w:val="32"/>
        </w:rPr>
      </w:pPr>
    </w:p>
    <w:p w:rsidR="0046425B" w:rsidRPr="003A5B26" w:rsidRDefault="0046425B" w:rsidP="0046425B">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46425B" w:rsidRPr="00224613" w:rsidRDefault="0046425B" w:rsidP="0046425B">
      <w:pPr>
        <w:shd w:val="clear" w:color="auto" w:fill="FFFFFF"/>
        <w:spacing w:line="270" w:lineRule="atLeast"/>
        <w:rPr>
          <w:rFonts w:ascii="Menlo" w:eastAsia="Times New Roman" w:hAnsi="Menlo" w:cs="Menlo"/>
          <w:color w:val="000000"/>
          <w:kern w:val="0"/>
          <w:sz w:val="18"/>
          <w:szCs w:val="18"/>
          <w:lang w:eastAsia="en-GB"/>
          <w14:ligatures w14:val="none"/>
        </w:rPr>
      </w:pPr>
      <w:r w:rsidRPr="0046425B">
        <w:rPr>
          <w:rFonts w:ascii="Menlo" w:eastAsia="Times New Roman" w:hAnsi="Menlo" w:cs="Menlo"/>
          <w:color w:val="A31515"/>
          <w:kern w:val="0"/>
          <w:sz w:val="18"/>
          <w:szCs w:val="18"/>
          <w:lang w:eastAsia="en-GB"/>
          <w14:ligatures w14:val="none"/>
        </w:rPr>
        <w:t>Welcome to our video on efficiency ratios related to balance sheet items. These ratios help us understand how effectively a company is using its assets and managing its liabilities.</w:t>
      </w:r>
      <w:r w:rsidRPr="0046425B">
        <w:rPr>
          <w:rFonts w:ascii="Menlo" w:eastAsia="Times New Roman" w:hAnsi="Menlo" w:cs="Menlo"/>
          <w:color w:val="EE0000"/>
          <w:kern w:val="0"/>
          <w:sz w:val="18"/>
          <w:szCs w:val="18"/>
          <w:lang w:eastAsia="en-GB"/>
          <w14:ligatures w14:val="none"/>
        </w:rPr>
        <w:t>\n\n</w:t>
      </w:r>
      <w:r w:rsidRPr="0046425B">
        <w:rPr>
          <w:rFonts w:ascii="Menlo" w:eastAsia="Times New Roman" w:hAnsi="Menlo" w:cs="Menlo"/>
          <w:color w:val="A31515"/>
          <w:kern w:val="0"/>
          <w:sz w:val="18"/>
          <w:szCs w:val="18"/>
          <w:lang w:eastAsia="en-GB"/>
          <w14:ligatures w14:val="none"/>
        </w:rPr>
        <w:t>Let's examine three important efficiency ratios:</w:t>
      </w:r>
      <w:r w:rsidRPr="0046425B">
        <w:rPr>
          <w:rFonts w:ascii="Menlo" w:eastAsia="Times New Roman" w:hAnsi="Menlo" w:cs="Menlo"/>
          <w:color w:val="EE0000"/>
          <w:kern w:val="0"/>
          <w:sz w:val="18"/>
          <w:szCs w:val="18"/>
          <w:lang w:eastAsia="en-GB"/>
          <w14:ligatures w14:val="none"/>
        </w:rPr>
        <w:t>\n\n</w:t>
      </w:r>
      <w:r w:rsidRPr="0046425B">
        <w:rPr>
          <w:rFonts w:ascii="Menlo" w:eastAsia="Times New Roman" w:hAnsi="Menlo" w:cs="Menlo"/>
          <w:color w:val="A31515"/>
          <w:kern w:val="0"/>
          <w:sz w:val="18"/>
          <w:szCs w:val="18"/>
          <w:lang w:eastAsia="en-GB"/>
          <w14:ligatures w14:val="none"/>
        </w:rPr>
        <w:t>1. Inventory Turnover Ratio: This is calculated by dividing the cost of goods sold by average inventory. It shows how quickly a company sells its inventory. A higher ratio generally indicates better inventory management.</w:t>
      </w:r>
      <w:r w:rsidRPr="0046425B">
        <w:rPr>
          <w:rFonts w:ascii="Menlo" w:eastAsia="Times New Roman" w:hAnsi="Menlo" w:cs="Menlo"/>
          <w:color w:val="EE0000"/>
          <w:kern w:val="0"/>
          <w:sz w:val="18"/>
          <w:szCs w:val="18"/>
          <w:lang w:eastAsia="en-GB"/>
          <w14:ligatures w14:val="none"/>
        </w:rPr>
        <w:t>\n\n</w:t>
      </w:r>
      <w:r w:rsidRPr="0046425B">
        <w:rPr>
          <w:rFonts w:ascii="Menlo" w:eastAsia="Times New Roman" w:hAnsi="Menlo" w:cs="Menlo"/>
          <w:color w:val="A31515"/>
          <w:kern w:val="0"/>
          <w:sz w:val="18"/>
          <w:szCs w:val="18"/>
          <w:lang w:eastAsia="en-GB"/>
          <w14:ligatures w14:val="none"/>
        </w:rPr>
        <w:t>2. Accounts Receivable Turnover Ratio: This is net credit sales divided by average accounts receivable. It measures how efficiently a company collects payments from its customers. A higher ratio suggests more effective credit and collection policies.</w:t>
      </w:r>
      <w:r w:rsidRPr="0046425B">
        <w:rPr>
          <w:rFonts w:ascii="Menlo" w:eastAsia="Times New Roman" w:hAnsi="Menlo" w:cs="Menlo"/>
          <w:color w:val="EE0000"/>
          <w:kern w:val="0"/>
          <w:sz w:val="18"/>
          <w:szCs w:val="18"/>
          <w:lang w:eastAsia="en-GB"/>
          <w14:ligatures w14:val="none"/>
        </w:rPr>
        <w:t>\n\n</w:t>
      </w:r>
      <w:r w:rsidRPr="0046425B">
        <w:rPr>
          <w:rFonts w:ascii="Menlo" w:eastAsia="Times New Roman" w:hAnsi="Menlo" w:cs="Menlo"/>
          <w:color w:val="A31515"/>
          <w:kern w:val="0"/>
          <w:sz w:val="18"/>
          <w:szCs w:val="18"/>
          <w:lang w:eastAsia="en-GB"/>
          <w14:ligatures w14:val="none"/>
        </w:rPr>
        <w:t>3. Total Asset Turnover Ratio: This is net sales divided by average total assets. It indicates how efficiently a company uses its assets to generate sales. A higher ratio typically suggests more efficient asset utilization.</w:t>
      </w:r>
      <w:r w:rsidRPr="0046425B">
        <w:rPr>
          <w:rFonts w:ascii="Menlo" w:eastAsia="Times New Roman" w:hAnsi="Menlo" w:cs="Menlo"/>
          <w:color w:val="EE0000"/>
          <w:kern w:val="0"/>
          <w:sz w:val="18"/>
          <w:szCs w:val="18"/>
          <w:lang w:eastAsia="en-GB"/>
          <w14:ligatures w14:val="none"/>
        </w:rPr>
        <w:t>\n\n</w:t>
      </w:r>
      <w:r w:rsidRPr="0046425B">
        <w:rPr>
          <w:rFonts w:ascii="Menlo" w:eastAsia="Times New Roman" w:hAnsi="Menlo" w:cs="Menlo"/>
          <w:color w:val="A31515"/>
          <w:kern w:val="0"/>
          <w:sz w:val="18"/>
          <w:szCs w:val="18"/>
          <w:lang w:eastAsia="en-GB"/>
          <w14:ligatures w14:val="none"/>
        </w:rPr>
        <w:t>Remember, while higher ratios often indicate better efficiency, extremely high ratios might suggest under-investment. Always compare these ratios to industry benchmarks and consider the company's specific business model.</w:t>
      </w:r>
      <w:r w:rsidRPr="0046425B">
        <w:rPr>
          <w:rFonts w:ascii="Menlo" w:eastAsia="Times New Roman" w:hAnsi="Menlo" w:cs="Menlo"/>
          <w:color w:val="000000"/>
          <w:kern w:val="0"/>
          <w:sz w:val="18"/>
          <w:szCs w:val="18"/>
          <w:lang w:eastAsia="en-GB"/>
          <w14:ligatures w14:val="none"/>
        </w:rPr>
        <w:t xml:space="preserve"> </w:t>
      </w:r>
    </w:p>
    <w:sectPr w:rsidR="0046425B"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224613"/>
    <w:rsid w:val="002529D1"/>
    <w:rsid w:val="003027BC"/>
    <w:rsid w:val="00327267"/>
    <w:rsid w:val="00347382"/>
    <w:rsid w:val="003A5B26"/>
    <w:rsid w:val="0046425B"/>
    <w:rsid w:val="00755352"/>
    <w:rsid w:val="007C35F1"/>
    <w:rsid w:val="008E431A"/>
    <w:rsid w:val="008E5BB2"/>
    <w:rsid w:val="00997B22"/>
    <w:rsid w:val="00C06989"/>
    <w:rsid w:val="00C53A75"/>
    <w:rsid w:val="00D02C2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12A8FF38"/>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77">
      <w:bodyDiv w:val="1"/>
      <w:marLeft w:val="0"/>
      <w:marRight w:val="0"/>
      <w:marTop w:val="0"/>
      <w:marBottom w:val="0"/>
      <w:divBdr>
        <w:top w:val="none" w:sz="0" w:space="0" w:color="auto"/>
        <w:left w:val="none" w:sz="0" w:space="0" w:color="auto"/>
        <w:bottom w:val="none" w:sz="0" w:space="0" w:color="auto"/>
        <w:right w:val="none" w:sz="0" w:space="0" w:color="auto"/>
      </w:divBdr>
      <w:divsChild>
        <w:div w:id="1600986491">
          <w:marLeft w:val="0"/>
          <w:marRight w:val="0"/>
          <w:marTop w:val="0"/>
          <w:marBottom w:val="0"/>
          <w:divBdr>
            <w:top w:val="none" w:sz="0" w:space="0" w:color="auto"/>
            <w:left w:val="none" w:sz="0" w:space="0" w:color="auto"/>
            <w:bottom w:val="none" w:sz="0" w:space="0" w:color="auto"/>
            <w:right w:val="none" w:sz="0" w:space="0" w:color="auto"/>
          </w:divBdr>
          <w:divsChild>
            <w:div w:id="885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759">
      <w:bodyDiv w:val="1"/>
      <w:marLeft w:val="0"/>
      <w:marRight w:val="0"/>
      <w:marTop w:val="0"/>
      <w:marBottom w:val="0"/>
      <w:divBdr>
        <w:top w:val="none" w:sz="0" w:space="0" w:color="auto"/>
        <w:left w:val="none" w:sz="0" w:space="0" w:color="auto"/>
        <w:bottom w:val="none" w:sz="0" w:space="0" w:color="auto"/>
        <w:right w:val="none" w:sz="0" w:space="0" w:color="auto"/>
      </w:divBdr>
      <w:divsChild>
        <w:div w:id="1685016428">
          <w:marLeft w:val="0"/>
          <w:marRight w:val="0"/>
          <w:marTop w:val="0"/>
          <w:marBottom w:val="0"/>
          <w:divBdr>
            <w:top w:val="none" w:sz="0" w:space="0" w:color="auto"/>
            <w:left w:val="none" w:sz="0" w:space="0" w:color="auto"/>
            <w:bottom w:val="none" w:sz="0" w:space="0" w:color="auto"/>
            <w:right w:val="none" w:sz="0" w:space="0" w:color="auto"/>
          </w:divBdr>
          <w:divsChild>
            <w:div w:id="17009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0410">
      <w:bodyDiv w:val="1"/>
      <w:marLeft w:val="0"/>
      <w:marRight w:val="0"/>
      <w:marTop w:val="0"/>
      <w:marBottom w:val="0"/>
      <w:divBdr>
        <w:top w:val="none" w:sz="0" w:space="0" w:color="auto"/>
        <w:left w:val="none" w:sz="0" w:space="0" w:color="auto"/>
        <w:bottom w:val="none" w:sz="0" w:space="0" w:color="auto"/>
        <w:right w:val="none" w:sz="0" w:space="0" w:color="auto"/>
      </w:divBdr>
      <w:divsChild>
        <w:div w:id="2142921221">
          <w:marLeft w:val="0"/>
          <w:marRight w:val="0"/>
          <w:marTop w:val="0"/>
          <w:marBottom w:val="0"/>
          <w:divBdr>
            <w:top w:val="none" w:sz="0" w:space="0" w:color="auto"/>
            <w:left w:val="none" w:sz="0" w:space="0" w:color="auto"/>
            <w:bottom w:val="none" w:sz="0" w:space="0" w:color="auto"/>
            <w:right w:val="none" w:sz="0" w:space="0" w:color="auto"/>
          </w:divBdr>
          <w:divsChild>
            <w:div w:id="5104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054">
      <w:bodyDiv w:val="1"/>
      <w:marLeft w:val="0"/>
      <w:marRight w:val="0"/>
      <w:marTop w:val="0"/>
      <w:marBottom w:val="0"/>
      <w:divBdr>
        <w:top w:val="none" w:sz="0" w:space="0" w:color="auto"/>
        <w:left w:val="none" w:sz="0" w:space="0" w:color="auto"/>
        <w:bottom w:val="none" w:sz="0" w:space="0" w:color="auto"/>
        <w:right w:val="none" w:sz="0" w:space="0" w:color="auto"/>
      </w:divBdr>
      <w:divsChild>
        <w:div w:id="675034353">
          <w:marLeft w:val="0"/>
          <w:marRight w:val="0"/>
          <w:marTop w:val="0"/>
          <w:marBottom w:val="0"/>
          <w:divBdr>
            <w:top w:val="none" w:sz="0" w:space="0" w:color="auto"/>
            <w:left w:val="none" w:sz="0" w:space="0" w:color="auto"/>
            <w:bottom w:val="none" w:sz="0" w:space="0" w:color="auto"/>
            <w:right w:val="none" w:sz="0" w:space="0" w:color="auto"/>
          </w:divBdr>
          <w:divsChild>
            <w:div w:id="19187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8058">
      <w:bodyDiv w:val="1"/>
      <w:marLeft w:val="0"/>
      <w:marRight w:val="0"/>
      <w:marTop w:val="0"/>
      <w:marBottom w:val="0"/>
      <w:divBdr>
        <w:top w:val="none" w:sz="0" w:space="0" w:color="auto"/>
        <w:left w:val="none" w:sz="0" w:space="0" w:color="auto"/>
        <w:bottom w:val="none" w:sz="0" w:space="0" w:color="auto"/>
        <w:right w:val="none" w:sz="0" w:space="0" w:color="auto"/>
      </w:divBdr>
      <w:divsChild>
        <w:div w:id="1793285467">
          <w:marLeft w:val="0"/>
          <w:marRight w:val="0"/>
          <w:marTop w:val="0"/>
          <w:marBottom w:val="0"/>
          <w:divBdr>
            <w:top w:val="none" w:sz="0" w:space="0" w:color="auto"/>
            <w:left w:val="none" w:sz="0" w:space="0" w:color="auto"/>
            <w:bottom w:val="none" w:sz="0" w:space="0" w:color="auto"/>
            <w:right w:val="none" w:sz="0" w:space="0" w:color="auto"/>
          </w:divBdr>
          <w:divsChild>
            <w:div w:id="975645575">
              <w:marLeft w:val="0"/>
              <w:marRight w:val="0"/>
              <w:marTop w:val="0"/>
              <w:marBottom w:val="0"/>
              <w:divBdr>
                <w:top w:val="none" w:sz="0" w:space="0" w:color="auto"/>
                <w:left w:val="none" w:sz="0" w:space="0" w:color="auto"/>
                <w:bottom w:val="none" w:sz="0" w:space="0" w:color="auto"/>
                <w:right w:val="none" w:sz="0" w:space="0" w:color="auto"/>
              </w:divBdr>
            </w:div>
            <w:div w:id="16133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7696">
      <w:bodyDiv w:val="1"/>
      <w:marLeft w:val="0"/>
      <w:marRight w:val="0"/>
      <w:marTop w:val="0"/>
      <w:marBottom w:val="0"/>
      <w:divBdr>
        <w:top w:val="none" w:sz="0" w:space="0" w:color="auto"/>
        <w:left w:val="none" w:sz="0" w:space="0" w:color="auto"/>
        <w:bottom w:val="none" w:sz="0" w:space="0" w:color="auto"/>
        <w:right w:val="none" w:sz="0" w:space="0" w:color="auto"/>
      </w:divBdr>
      <w:divsChild>
        <w:div w:id="1715620036">
          <w:marLeft w:val="0"/>
          <w:marRight w:val="0"/>
          <w:marTop w:val="0"/>
          <w:marBottom w:val="0"/>
          <w:divBdr>
            <w:top w:val="none" w:sz="0" w:space="0" w:color="auto"/>
            <w:left w:val="none" w:sz="0" w:space="0" w:color="auto"/>
            <w:bottom w:val="none" w:sz="0" w:space="0" w:color="auto"/>
            <w:right w:val="none" w:sz="0" w:space="0" w:color="auto"/>
          </w:divBdr>
          <w:divsChild>
            <w:div w:id="1174302110">
              <w:marLeft w:val="0"/>
              <w:marRight w:val="0"/>
              <w:marTop w:val="0"/>
              <w:marBottom w:val="0"/>
              <w:divBdr>
                <w:top w:val="none" w:sz="0" w:space="0" w:color="auto"/>
                <w:left w:val="none" w:sz="0" w:space="0" w:color="auto"/>
                <w:bottom w:val="none" w:sz="0" w:space="0" w:color="auto"/>
                <w:right w:val="none" w:sz="0" w:space="0" w:color="auto"/>
              </w:divBdr>
            </w:div>
            <w:div w:id="16601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0168">
      <w:bodyDiv w:val="1"/>
      <w:marLeft w:val="0"/>
      <w:marRight w:val="0"/>
      <w:marTop w:val="0"/>
      <w:marBottom w:val="0"/>
      <w:divBdr>
        <w:top w:val="none" w:sz="0" w:space="0" w:color="auto"/>
        <w:left w:val="none" w:sz="0" w:space="0" w:color="auto"/>
        <w:bottom w:val="none" w:sz="0" w:space="0" w:color="auto"/>
        <w:right w:val="none" w:sz="0" w:space="0" w:color="auto"/>
      </w:divBdr>
      <w:divsChild>
        <w:div w:id="1753502630">
          <w:marLeft w:val="0"/>
          <w:marRight w:val="0"/>
          <w:marTop w:val="0"/>
          <w:marBottom w:val="0"/>
          <w:divBdr>
            <w:top w:val="none" w:sz="0" w:space="0" w:color="auto"/>
            <w:left w:val="none" w:sz="0" w:space="0" w:color="auto"/>
            <w:bottom w:val="none" w:sz="0" w:space="0" w:color="auto"/>
            <w:right w:val="none" w:sz="0" w:space="0" w:color="auto"/>
          </w:divBdr>
          <w:divsChild>
            <w:div w:id="9397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6866">
      <w:bodyDiv w:val="1"/>
      <w:marLeft w:val="0"/>
      <w:marRight w:val="0"/>
      <w:marTop w:val="0"/>
      <w:marBottom w:val="0"/>
      <w:divBdr>
        <w:top w:val="none" w:sz="0" w:space="0" w:color="auto"/>
        <w:left w:val="none" w:sz="0" w:space="0" w:color="auto"/>
        <w:bottom w:val="none" w:sz="0" w:space="0" w:color="auto"/>
        <w:right w:val="none" w:sz="0" w:space="0" w:color="auto"/>
      </w:divBdr>
      <w:divsChild>
        <w:div w:id="336349860">
          <w:marLeft w:val="0"/>
          <w:marRight w:val="0"/>
          <w:marTop w:val="0"/>
          <w:marBottom w:val="0"/>
          <w:divBdr>
            <w:top w:val="none" w:sz="0" w:space="0" w:color="auto"/>
            <w:left w:val="none" w:sz="0" w:space="0" w:color="auto"/>
            <w:bottom w:val="none" w:sz="0" w:space="0" w:color="auto"/>
            <w:right w:val="none" w:sz="0" w:space="0" w:color="auto"/>
          </w:divBdr>
          <w:divsChild>
            <w:div w:id="1068922838">
              <w:marLeft w:val="0"/>
              <w:marRight w:val="0"/>
              <w:marTop w:val="0"/>
              <w:marBottom w:val="0"/>
              <w:divBdr>
                <w:top w:val="none" w:sz="0" w:space="0" w:color="auto"/>
                <w:left w:val="none" w:sz="0" w:space="0" w:color="auto"/>
                <w:bottom w:val="none" w:sz="0" w:space="0" w:color="auto"/>
                <w:right w:val="none" w:sz="0" w:space="0" w:color="auto"/>
              </w:divBdr>
            </w:div>
            <w:div w:id="20603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6851">
      <w:bodyDiv w:val="1"/>
      <w:marLeft w:val="0"/>
      <w:marRight w:val="0"/>
      <w:marTop w:val="0"/>
      <w:marBottom w:val="0"/>
      <w:divBdr>
        <w:top w:val="none" w:sz="0" w:space="0" w:color="auto"/>
        <w:left w:val="none" w:sz="0" w:space="0" w:color="auto"/>
        <w:bottom w:val="none" w:sz="0" w:space="0" w:color="auto"/>
        <w:right w:val="none" w:sz="0" w:space="0" w:color="auto"/>
      </w:divBdr>
      <w:divsChild>
        <w:div w:id="1414736049">
          <w:marLeft w:val="0"/>
          <w:marRight w:val="0"/>
          <w:marTop w:val="0"/>
          <w:marBottom w:val="0"/>
          <w:divBdr>
            <w:top w:val="none" w:sz="0" w:space="0" w:color="auto"/>
            <w:left w:val="none" w:sz="0" w:space="0" w:color="auto"/>
            <w:bottom w:val="none" w:sz="0" w:space="0" w:color="auto"/>
            <w:right w:val="none" w:sz="0" w:space="0" w:color="auto"/>
          </w:divBdr>
          <w:divsChild>
            <w:div w:id="5703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5996">
      <w:bodyDiv w:val="1"/>
      <w:marLeft w:val="0"/>
      <w:marRight w:val="0"/>
      <w:marTop w:val="0"/>
      <w:marBottom w:val="0"/>
      <w:divBdr>
        <w:top w:val="none" w:sz="0" w:space="0" w:color="auto"/>
        <w:left w:val="none" w:sz="0" w:space="0" w:color="auto"/>
        <w:bottom w:val="none" w:sz="0" w:space="0" w:color="auto"/>
        <w:right w:val="none" w:sz="0" w:space="0" w:color="auto"/>
      </w:divBdr>
      <w:divsChild>
        <w:div w:id="10496178">
          <w:marLeft w:val="0"/>
          <w:marRight w:val="0"/>
          <w:marTop w:val="0"/>
          <w:marBottom w:val="0"/>
          <w:divBdr>
            <w:top w:val="none" w:sz="0" w:space="0" w:color="auto"/>
            <w:left w:val="none" w:sz="0" w:space="0" w:color="auto"/>
            <w:bottom w:val="none" w:sz="0" w:space="0" w:color="auto"/>
            <w:right w:val="none" w:sz="0" w:space="0" w:color="auto"/>
          </w:divBdr>
          <w:divsChild>
            <w:div w:id="91315433">
              <w:marLeft w:val="0"/>
              <w:marRight w:val="0"/>
              <w:marTop w:val="0"/>
              <w:marBottom w:val="0"/>
              <w:divBdr>
                <w:top w:val="none" w:sz="0" w:space="0" w:color="auto"/>
                <w:left w:val="none" w:sz="0" w:space="0" w:color="auto"/>
                <w:bottom w:val="none" w:sz="0" w:space="0" w:color="auto"/>
                <w:right w:val="none" w:sz="0" w:space="0" w:color="auto"/>
              </w:divBdr>
            </w:div>
            <w:div w:id="18672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7671">
      <w:bodyDiv w:val="1"/>
      <w:marLeft w:val="0"/>
      <w:marRight w:val="0"/>
      <w:marTop w:val="0"/>
      <w:marBottom w:val="0"/>
      <w:divBdr>
        <w:top w:val="none" w:sz="0" w:space="0" w:color="auto"/>
        <w:left w:val="none" w:sz="0" w:space="0" w:color="auto"/>
        <w:bottom w:val="none" w:sz="0" w:space="0" w:color="auto"/>
        <w:right w:val="none" w:sz="0" w:space="0" w:color="auto"/>
      </w:divBdr>
      <w:divsChild>
        <w:div w:id="1583683764">
          <w:marLeft w:val="0"/>
          <w:marRight w:val="0"/>
          <w:marTop w:val="0"/>
          <w:marBottom w:val="0"/>
          <w:divBdr>
            <w:top w:val="none" w:sz="0" w:space="0" w:color="auto"/>
            <w:left w:val="none" w:sz="0" w:space="0" w:color="auto"/>
            <w:bottom w:val="none" w:sz="0" w:space="0" w:color="auto"/>
            <w:right w:val="none" w:sz="0" w:space="0" w:color="auto"/>
          </w:divBdr>
          <w:divsChild>
            <w:div w:id="2747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904">
      <w:bodyDiv w:val="1"/>
      <w:marLeft w:val="0"/>
      <w:marRight w:val="0"/>
      <w:marTop w:val="0"/>
      <w:marBottom w:val="0"/>
      <w:divBdr>
        <w:top w:val="none" w:sz="0" w:space="0" w:color="auto"/>
        <w:left w:val="none" w:sz="0" w:space="0" w:color="auto"/>
        <w:bottom w:val="none" w:sz="0" w:space="0" w:color="auto"/>
        <w:right w:val="none" w:sz="0" w:space="0" w:color="auto"/>
      </w:divBdr>
      <w:divsChild>
        <w:div w:id="1768692073">
          <w:marLeft w:val="0"/>
          <w:marRight w:val="0"/>
          <w:marTop w:val="0"/>
          <w:marBottom w:val="0"/>
          <w:divBdr>
            <w:top w:val="none" w:sz="0" w:space="0" w:color="auto"/>
            <w:left w:val="none" w:sz="0" w:space="0" w:color="auto"/>
            <w:bottom w:val="none" w:sz="0" w:space="0" w:color="auto"/>
            <w:right w:val="none" w:sz="0" w:space="0" w:color="auto"/>
          </w:divBdr>
          <w:divsChild>
            <w:div w:id="11198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12</cp:revision>
  <dcterms:created xsi:type="dcterms:W3CDTF">2025-02-13T14:52:00Z</dcterms:created>
  <dcterms:modified xsi:type="dcterms:W3CDTF">2025-02-13T16:09:00Z</dcterms:modified>
</cp:coreProperties>
</file>