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E9652F">
      <w:pPr>
        <w:rPr>
          <w:sz w:val="40"/>
          <w:szCs w:val="40"/>
        </w:rPr>
      </w:pPr>
      <w:r w:rsidRPr="00E9652F">
        <w:rPr>
          <w:sz w:val="40"/>
          <w:szCs w:val="40"/>
        </w:rPr>
        <w:t>Conduct comparative balance sheet analysis</w:t>
      </w:r>
    </w:p>
    <w:p w:rsidR="00E9652F" w:rsidRDefault="00E9652F">
      <w:pPr>
        <w:rPr>
          <w:rStyle w:val="objectbox"/>
          <w:sz w:val="40"/>
          <w:szCs w:val="40"/>
        </w:rPr>
      </w:pPr>
    </w:p>
    <w:p w:rsidR="00D02C29" w:rsidRPr="00224613" w:rsidRDefault="00D02C29">
      <w:pPr>
        <w:rPr>
          <w:rStyle w:val="objectbox"/>
          <w:sz w:val="32"/>
          <w:szCs w:val="32"/>
        </w:rPr>
      </w:pPr>
    </w:p>
    <w:p w:rsidR="00857BD5" w:rsidRDefault="00857BD5" w:rsidP="00DC1D59">
      <w:pPr>
        <w:rPr>
          <w:rStyle w:val="objectbox"/>
          <w:sz w:val="32"/>
          <w:szCs w:val="32"/>
        </w:rPr>
      </w:pPr>
      <w:r w:rsidRPr="00857BD5">
        <w:rPr>
          <w:rStyle w:val="objectbox"/>
          <w:sz w:val="32"/>
          <w:szCs w:val="32"/>
        </w:rPr>
        <w:t>Comprehensive Guide to Comparative Balance Sheet Analysis</w:t>
      </w:r>
      <w:r w:rsidRPr="00857BD5">
        <w:rPr>
          <w:rStyle w:val="objectbox"/>
          <w:sz w:val="32"/>
          <w:szCs w:val="32"/>
        </w:rPr>
        <w:t xml:space="preserve"> </w:t>
      </w:r>
    </w:p>
    <w:p w:rsidR="00224613" w:rsidRDefault="00857BD5" w:rsidP="00857BD5">
      <w:pPr>
        <w:rPr>
          <w:rFonts w:ascii="Menlo" w:eastAsia="Times New Roman" w:hAnsi="Menlo" w:cs="Menlo"/>
          <w:color w:val="A31515"/>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t>Comparative balance sheet analysis is a crucial skill for investment decision-making, allowing investors and analysts to evaluate a company's financial position relative to its peers and across time periods. This reading material will provide an in-depth look at the various aspects of comparative balance sheet analysis.\n\n1. Understanding Balance Sheet Structures Across Industries\nEvery industry has its unique characteristics that are reflected in the balance sheet structures of its companies. For example:\n\n- Manufacturing companies typically have significant investments in property, plant, and equipment (PP&amp;E) and inventory.\n- Technology companies often have substantial intangible assets, such as patents and goodwill.\n- Financial institutions have large amounts of financial assets and liabilities.\n- Retail companies may have significant inventory and accounts receivable.\n\nUnderstanding these differences is crucial for making meaningful comparisons. When comparing companies across industries, it's essential to consider these structural differences and their implications on financial ratios and overall financial health.\n\n2. Horizontal Analysis: Identifying Trends Over Time\nHorizontal analysis, also known as trend analysis, involves comparing financial statement data over several periods to identify trends and patterns. For balance sheets, this typically involves:\n\n- Selecting a base year and expressing subsequent years as a percentage of the base year.\n- Calculating absolute and percentage changes for each line item from one period to the next.\n- Identifying significant changes and investigating their causes.\n\nKey points to consider in horizontal analysis:\n- Rapid growth or decline in specific asset or liability categories\n- Changes in the composition of assets or liabilities over time\n- Trends in working capital and long-term investments\n\n3. Vertical Analysis: Understanding Proportional Composition\nVertical analysis involves expressing each line item on the balance sheet as a percentage of a base figure, typically total assets for the asset side and total liabilities and equity for the liabilities and equity side. This analysis helps in understanding:\n\n- The relative importance of different asset and liability categories\n- How the company's financial structure compares to industry norms\n- Changes in the company's financial structure over time\n\nKey considerations in vertical analysis:\n- Proportion of current assets to total assets\n- Relative size of different liability categories\n- Equity as a percentage of total liabilities and equity\n\n4. Integrating Different Analysis Techniques\nTo gain a comprehensive understanding of a company's financial position, it's crucial to integrate horizontal and vertical analyses with other analytical techniques:\n\n- Ratio analysis: Calculate and compare financial ratios such as liquidity ratios, leverage ratios, and efficiency ratios.\n- Peer comparison: Compare the company's balance sheet structure and trends with those of its competitors.\n- Industry benchmarking: Evaluate the company's financial position relative to industry averages or best practices.\n\n5. Common Pitfalls and Considerations\nWhen conducting comparative balance sheet analysis, be aware of potential pitfalls:\n\n- Accounting differences: Ensure companies being compared use similar accounting methods.\n- Timing issues: Be mindful of different fiscal year-ends when comparing companies.\n- Non-recurring items: Identify and adjust for one-time events that may distort comparisons.\n- Geographic differences: Consider the impact of different economic environments for multinational companies.\n\n6. Applying Insights from Comparative Analysis\nThe ultimate goal of comparative balance sheet analysis is to inform investment decisions. Key insights to derive include:\n\n- Financial stability and liquidity position\n- Capital structure and financial leverage\n- Asset utilization efficiency\n- Growth patterns and investment strategies\n\nBy mastering comparative balance sheet analysis, investors and analysts can make more informed decisions, identifying potential opportunities and risks in a company's financial position relative to its peers and its own historical performance.</w:t>
      </w:r>
    </w:p>
    <w:p w:rsidR="00857BD5" w:rsidRPr="00857BD5" w:rsidRDefault="00857BD5" w:rsidP="00857BD5">
      <w:pPr>
        <w:rPr>
          <w:rStyle w:val="objectbox"/>
          <w:rFonts w:ascii="Menlo" w:eastAsia="Times New Roman" w:hAnsi="Menlo" w:cs="Menlo"/>
          <w:color w:val="A31515"/>
          <w:kern w:val="0"/>
          <w:sz w:val="18"/>
          <w:szCs w:val="18"/>
          <w:lang w:eastAsia="en-GB"/>
          <w14:ligatures w14:val="none"/>
        </w:rPr>
      </w:pPr>
    </w:p>
    <w:p w:rsidR="003A5B26" w:rsidRDefault="003A5B26">
      <w:pPr>
        <w:rPr>
          <w:rStyle w:val="objectbox"/>
          <w:sz w:val="32"/>
          <w:szCs w:val="32"/>
        </w:rPr>
      </w:pPr>
    </w:p>
    <w:p w:rsidR="00224613" w:rsidRDefault="00857BD5">
      <w:pPr>
        <w:rPr>
          <w:rStyle w:val="objectbox"/>
          <w:sz w:val="32"/>
          <w:szCs w:val="32"/>
        </w:rPr>
      </w:pPr>
      <w:r w:rsidRPr="00857BD5">
        <w:rPr>
          <w:rStyle w:val="objectbox"/>
          <w:sz w:val="32"/>
          <w:szCs w:val="32"/>
        </w:rPr>
        <w:lastRenderedPageBreak/>
        <w:t>Compare balance sheet structures across different industries</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857BD5" w:rsidRDefault="00857BD5" w:rsidP="00857BD5">
      <w:pPr>
        <w:shd w:val="clear" w:color="auto" w:fill="FFFFFF"/>
        <w:spacing w:line="270" w:lineRule="atLeast"/>
        <w:rPr>
          <w:rFonts w:ascii="Menlo" w:eastAsia="Times New Roman" w:hAnsi="Menlo" w:cs="Menlo"/>
          <w:color w:val="A31515"/>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t>Welcome to our video on comparing balance sheet structures across different industries. Understanding these differences is crucial for effective financial analysis and investment decision-making.\n\nLet's start with manufacturing companies. These firms typically have significant investments in property, plant, and equipment (PP&amp;E) and inventory. Their balance sheets often show a higher proportion of fixed assets compared to current assets.\n\nIn contrast, technology companies may have a lighter asset structure. They often have substantial intangible assets, such as patents, software, and goodwill. Their balance sheets might show higher proportions of cash and short-term investments, reflecting the need for R&amp;D funding.\n\nFinancial institutions, like banks, have unique balance sheets. They're characterized by large amounts of financial assets (loans) and liabilities (deposits). Their equity to assets ratio is typically lower than in other industries due to regulatory leverage allowances.\n\nRetail companies often have significant inventory and accounts receivable on their balance sheets. Their current assets usually form a larger proportion of total assets compared to manufacturing firms.\n\nRemember, these industry-specific structures impact financial ratios and overall financial health assessments. When comparing companies, always consider the norms and peculiarities of their respective industries.\n\nIn conclusion, recognizing these industry-specific balance sheet structures is the first step in conducting meaningful comparative analysis. It allows for more accurate peer comparisons and better-informed investment decisions.</w:t>
      </w:r>
    </w:p>
    <w:p w:rsidR="00224613" w:rsidRDefault="00857BD5" w:rsidP="00857BD5">
      <w:pPr>
        <w:shd w:val="clear" w:color="auto" w:fill="FFFFFF"/>
        <w:spacing w:line="270" w:lineRule="atLeast"/>
        <w:rPr>
          <w:rFonts w:ascii="Menlo" w:eastAsia="Times New Roman" w:hAnsi="Menlo" w:cs="Menlo"/>
          <w:color w:val="A31515"/>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DC1D59" w:rsidRDefault="00857BD5" w:rsidP="00DC1D59">
      <w:pPr>
        <w:shd w:val="clear" w:color="auto" w:fill="FFFFFF"/>
        <w:spacing w:line="270" w:lineRule="atLeast"/>
        <w:rPr>
          <w:rFonts w:ascii="Menlo" w:eastAsia="Times New Roman" w:hAnsi="Menlo" w:cs="Menlo"/>
          <w:color w:val="0451A5"/>
          <w:kern w:val="0"/>
          <w:sz w:val="18"/>
          <w:szCs w:val="18"/>
          <w:lang w:eastAsia="en-GB"/>
          <w14:ligatures w14:val="none"/>
        </w:rPr>
      </w:pPr>
      <w:r w:rsidRPr="00857BD5">
        <w:rPr>
          <w:rStyle w:val="objectbox"/>
          <w:sz w:val="32"/>
          <w:szCs w:val="32"/>
        </w:rPr>
        <w:t>Perform horizontal analysis to identify trends over time</w:t>
      </w: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857BD5" w:rsidRDefault="00857BD5" w:rsidP="00857BD5">
      <w:pPr>
        <w:shd w:val="clear" w:color="auto" w:fill="FFFFFF"/>
        <w:spacing w:line="270" w:lineRule="atLeast"/>
        <w:rPr>
          <w:rFonts w:ascii="Menlo" w:eastAsia="Times New Roman" w:hAnsi="Menlo" w:cs="Menlo"/>
          <w:color w:val="A31515"/>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t>Welcome to our video on horizontal analysis, a powerful tool for identifying trends in a company's financial statements over time.\n\nHorizontal analysis, also known as trend analysis, involves comparing financial data over several periods. For balance sheets, we typically look at changes from one year to the next or over several years.\n\nHere's how to perform a horizontal analysis:\n\nFirst, choose a base year. This is usually the earliest year in your analysis period.\n\nNext, express the amounts for each subsequent year as a percentage of the base year. For example, if cash was $100,000 in the base year and $150,000 in the following year, you'd express it as 150%.\n\nThen, calculate the year-over-year changes, both in absolute terms and percentages. In our example, cash increased by $50,000 or 50%.\n\nAs you analyze, look for significant changes. Is there a steady increase or decrease in certain items? Are there any sudden spikes or drops?\n\nPay special attention to key areas like current assets, fixed assets, current liabilities, and long-term debt. Also, look at changes in shareholders' equity.\n\nRemember, identifying the trends is just the first step. The crucial part is understanding why these changes occurred. Was there a major acquisition? Did the company issue new shares or take on significant debt?\n\nBy mastering horizontal analysis, you'll be able to spot important trends in a company's financial position, providing valuable insights for investment decision-making.</w:t>
      </w:r>
    </w:p>
    <w:p w:rsidR="00DC1D59" w:rsidRPr="00224613" w:rsidRDefault="00DC1D59" w:rsidP="00857BD5">
      <w:pPr>
        <w:shd w:val="clear" w:color="auto" w:fill="FFFFFF"/>
        <w:spacing w:line="270" w:lineRule="atLeast"/>
        <w:rPr>
          <w:rFonts w:ascii="Menlo" w:eastAsia="Times New Roman" w:hAnsi="Menlo" w:cs="Menlo"/>
          <w:color w:val="000000"/>
          <w:kern w:val="0"/>
          <w:sz w:val="18"/>
          <w:szCs w:val="18"/>
          <w:lang w:eastAsia="en-GB"/>
          <w14:ligatures w14:val="none"/>
        </w:rPr>
      </w:pPr>
      <w:r w:rsidRPr="00DC1D59">
        <w:rPr>
          <w:rFonts w:ascii="Menlo" w:eastAsia="Times New Roman" w:hAnsi="Menlo" w:cs="Menlo"/>
          <w:color w:val="000000"/>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DC1D59" w:rsidRPr="003A5B26" w:rsidRDefault="00857BD5" w:rsidP="00DC1D59">
      <w:pPr>
        <w:shd w:val="clear" w:color="auto" w:fill="FFFFFF"/>
        <w:spacing w:line="270" w:lineRule="atLeast"/>
        <w:rPr>
          <w:rFonts w:ascii="Menlo" w:eastAsia="Times New Roman" w:hAnsi="Menlo" w:cs="Menlo"/>
          <w:color w:val="000000"/>
          <w:kern w:val="0"/>
          <w:lang w:eastAsia="en-GB"/>
          <w14:ligatures w14:val="none"/>
        </w:rPr>
      </w:pPr>
      <w:r w:rsidRPr="00857BD5">
        <w:rPr>
          <w:rStyle w:val="objectbox"/>
          <w:sz w:val="32"/>
          <w:szCs w:val="32"/>
        </w:rPr>
        <w:t>Conduct vertical analysis to understand proportional composition</w:t>
      </w:r>
      <w:r w:rsidRPr="00857BD5">
        <w:rPr>
          <w:rStyle w:val="objectbox"/>
          <w:sz w:val="32"/>
          <w:szCs w:val="32"/>
        </w:rPr>
        <w:t xml:space="preserve"> </w:t>
      </w:r>
      <w:r w:rsidR="00DC1D59" w:rsidRPr="00224613">
        <w:rPr>
          <w:rFonts w:ascii="Menlo" w:eastAsia="Times New Roman" w:hAnsi="Menlo" w:cs="Menlo"/>
          <w:color w:val="0451A5"/>
          <w:kern w:val="0"/>
          <w:lang w:eastAsia="en-GB"/>
          <w14:ligatures w14:val="none"/>
        </w:rPr>
        <w:t>video_script</w:t>
      </w:r>
    </w:p>
    <w:p w:rsidR="00857BD5" w:rsidRPr="00857BD5" w:rsidRDefault="00857BD5" w:rsidP="00857BD5">
      <w:pPr>
        <w:shd w:val="clear" w:color="auto" w:fill="FFFFFF"/>
        <w:spacing w:line="270" w:lineRule="atLeast"/>
        <w:rPr>
          <w:rFonts w:ascii="Menlo" w:eastAsia="Times New Roman" w:hAnsi="Menlo" w:cs="Menlo"/>
          <w:color w:val="A31515"/>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lastRenderedPageBreak/>
        <w:t>Welcome to our video on vertical analysis, a technique used to understand the proportional composition of financial statements.\n\nVertical analysis expresses each line item on the balance sheet as a percentage of a base figure. For the asset side, we typically use total assets as the base. For liabilities and equity, we use total liabilities and equity.\n\nHere's how to perform a vertical analysis:\n\nStart by choosing your base figure. Let's say total assets are $1,000,000.\n\nNext, divide each asset line item by the total assets and multiply by 100 to get the percentage. For example, if cash is $100,000, it would be 10% of total assets.\n\nDo the same for liabilities and equity, using total liabilities and equity as the base.\n\nAs you analyze, look at the relative size of different categories. What percentage of assets are current versus non-current? How much of the company's financing comes from debt versus equity?\n\nCompare these percentages to industry norms or the company's own historical data. Is the company more or less leveraged than its peers? Has the composition of assets changed significantly over time?\n\nVertical analysis is particularly useful for comparing companies of different sizes within the same industry. It allows you to see how companies allocate their resources and finance their operations, regardless of their absolute size.\n\nRemember, vertical analysis gives you a snapshot of the company's financial structure. Combine it with other techniques like horizontal analysis and ratio analysis for a comprehensive view of the company's financial position.\n\nBy mastering vertical analysis, you'll gain valuable insights into a company's financial composition, enhancing your ability to make informed investment decisions.</w:t>
      </w:r>
    </w:p>
    <w:p w:rsidR="003A5B26" w:rsidRPr="00224613" w:rsidRDefault="00857BD5" w:rsidP="00857BD5">
      <w:pPr>
        <w:shd w:val="clear" w:color="auto" w:fill="FFFFFF"/>
        <w:spacing w:line="270" w:lineRule="atLeast"/>
        <w:rPr>
          <w:rFonts w:ascii="Menlo" w:eastAsia="Times New Roman" w:hAnsi="Menlo" w:cs="Menlo"/>
          <w:color w:val="000000"/>
          <w:kern w:val="0"/>
          <w:sz w:val="18"/>
          <w:szCs w:val="18"/>
          <w:lang w:eastAsia="en-GB"/>
          <w14:ligatures w14:val="none"/>
        </w:rPr>
      </w:pPr>
      <w:r w:rsidRPr="00857BD5">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857BD5"/>
    <w:rsid w:val="008E5BB2"/>
    <w:rsid w:val="00A61DBC"/>
    <w:rsid w:val="00C06989"/>
    <w:rsid w:val="00C53A75"/>
    <w:rsid w:val="00D02C29"/>
    <w:rsid w:val="00DC1D59"/>
    <w:rsid w:val="00E9652F"/>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6B521895"/>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59">
      <w:bodyDiv w:val="1"/>
      <w:marLeft w:val="0"/>
      <w:marRight w:val="0"/>
      <w:marTop w:val="0"/>
      <w:marBottom w:val="0"/>
      <w:divBdr>
        <w:top w:val="none" w:sz="0" w:space="0" w:color="auto"/>
        <w:left w:val="none" w:sz="0" w:space="0" w:color="auto"/>
        <w:bottom w:val="none" w:sz="0" w:space="0" w:color="auto"/>
        <w:right w:val="none" w:sz="0" w:space="0" w:color="auto"/>
      </w:divBdr>
      <w:divsChild>
        <w:div w:id="395133363">
          <w:marLeft w:val="0"/>
          <w:marRight w:val="0"/>
          <w:marTop w:val="0"/>
          <w:marBottom w:val="0"/>
          <w:divBdr>
            <w:top w:val="none" w:sz="0" w:space="0" w:color="auto"/>
            <w:left w:val="none" w:sz="0" w:space="0" w:color="auto"/>
            <w:bottom w:val="none" w:sz="0" w:space="0" w:color="auto"/>
            <w:right w:val="none" w:sz="0" w:space="0" w:color="auto"/>
          </w:divBdr>
          <w:divsChild>
            <w:div w:id="1985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0174">
      <w:bodyDiv w:val="1"/>
      <w:marLeft w:val="0"/>
      <w:marRight w:val="0"/>
      <w:marTop w:val="0"/>
      <w:marBottom w:val="0"/>
      <w:divBdr>
        <w:top w:val="none" w:sz="0" w:space="0" w:color="auto"/>
        <w:left w:val="none" w:sz="0" w:space="0" w:color="auto"/>
        <w:bottom w:val="none" w:sz="0" w:space="0" w:color="auto"/>
        <w:right w:val="none" w:sz="0" w:space="0" w:color="auto"/>
      </w:divBdr>
      <w:divsChild>
        <w:div w:id="583761449">
          <w:marLeft w:val="0"/>
          <w:marRight w:val="0"/>
          <w:marTop w:val="0"/>
          <w:marBottom w:val="0"/>
          <w:divBdr>
            <w:top w:val="none" w:sz="0" w:space="0" w:color="auto"/>
            <w:left w:val="none" w:sz="0" w:space="0" w:color="auto"/>
            <w:bottom w:val="none" w:sz="0" w:space="0" w:color="auto"/>
            <w:right w:val="none" w:sz="0" w:space="0" w:color="auto"/>
          </w:divBdr>
          <w:divsChild>
            <w:div w:id="4168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835">
      <w:bodyDiv w:val="1"/>
      <w:marLeft w:val="0"/>
      <w:marRight w:val="0"/>
      <w:marTop w:val="0"/>
      <w:marBottom w:val="0"/>
      <w:divBdr>
        <w:top w:val="none" w:sz="0" w:space="0" w:color="auto"/>
        <w:left w:val="none" w:sz="0" w:space="0" w:color="auto"/>
        <w:bottom w:val="none" w:sz="0" w:space="0" w:color="auto"/>
        <w:right w:val="none" w:sz="0" w:space="0" w:color="auto"/>
      </w:divBdr>
      <w:divsChild>
        <w:div w:id="446850337">
          <w:marLeft w:val="0"/>
          <w:marRight w:val="0"/>
          <w:marTop w:val="0"/>
          <w:marBottom w:val="0"/>
          <w:divBdr>
            <w:top w:val="none" w:sz="0" w:space="0" w:color="auto"/>
            <w:left w:val="none" w:sz="0" w:space="0" w:color="auto"/>
            <w:bottom w:val="none" w:sz="0" w:space="0" w:color="auto"/>
            <w:right w:val="none" w:sz="0" w:space="0" w:color="auto"/>
          </w:divBdr>
          <w:divsChild>
            <w:div w:id="1460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686">
      <w:bodyDiv w:val="1"/>
      <w:marLeft w:val="0"/>
      <w:marRight w:val="0"/>
      <w:marTop w:val="0"/>
      <w:marBottom w:val="0"/>
      <w:divBdr>
        <w:top w:val="none" w:sz="0" w:space="0" w:color="auto"/>
        <w:left w:val="none" w:sz="0" w:space="0" w:color="auto"/>
        <w:bottom w:val="none" w:sz="0" w:space="0" w:color="auto"/>
        <w:right w:val="none" w:sz="0" w:space="0" w:color="auto"/>
      </w:divBdr>
      <w:divsChild>
        <w:div w:id="1716543977">
          <w:marLeft w:val="0"/>
          <w:marRight w:val="0"/>
          <w:marTop w:val="0"/>
          <w:marBottom w:val="0"/>
          <w:divBdr>
            <w:top w:val="none" w:sz="0" w:space="0" w:color="auto"/>
            <w:left w:val="none" w:sz="0" w:space="0" w:color="auto"/>
            <w:bottom w:val="none" w:sz="0" w:space="0" w:color="auto"/>
            <w:right w:val="none" w:sz="0" w:space="0" w:color="auto"/>
          </w:divBdr>
          <w:divsChild>
            <w:div w:id="556667981">
              <w:marLeft w:val="0"/>
              <w:marRight w:val="0"/>
              <w:marTop w:val="0"/>
              <w:marBottom w:val="0"/>
              <w:divBdr>
                <w:top w:val="none" w:sz="0" w:space="0" w:color="auto"/>
                <w:left w:val="none" w:sz="0" w:space="0" w:color="auto"/>
                <w:bottom w:val="none" w:sz="0" w:space="0" w:color="auto"/>
                <w:right w:val="none" w:sz="0" w:space="0" w:color="auto"/>
              </w:divBdr>
            </w:div>
            <w:div w:id="1613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9</cp:revision>
  <dcterms:created xsi:type="dcterms:W3CDTF">2025-02-13T14:52:00Z</dcterms:created>
  <dcterms:modified xsi:type="dcterms:W3CDTF">2025-02-13T16:11:00Z</dcterms:modified>
</cp:coreProperties>
</file>