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6363A" w14:textId="4A2451D2" w:rsidR="00E02889" w:rsidRPr="00E02889" w:rsidRDefault="00E02889" w:rsidP="00E02889">
      <w:pPr>
        <w:rPr>
          <w:b/>
          <w:lang w:val="en-GB"/>
        </w:rPr>
      </w:pPr>
      <w:r w:rsidRPr="00E02889">
        <w:rPr>
          <w:b/>
          <w:lang w:val="en-GB"/>
        </w:rPr>
        <w:t>The BRRI stability trials</w:t>
      </w:r>
    </w:p>
    <w:p w14:paraId="493B08D7" w14:textId="77777777" w:rsidR="00E02889" w:rsidRDefault="00E02889" w:rsidP="00E02889">
      <w:pPr>
        <w:rPr>
          <w:lang w:val="en-GB"/>
        </w:rPr>
      </w:pPr>
    </w:p>
    <w:p w14:paraId="48C50DCE" w14:textId="77777777" w:rsidR="000569EF" w:rsidRDefault="00E02889" w:rsidP="00E02889">
      <w:pPr>
        <w:rPr>
          <w:lang w:val="en-GB"/>
        </w:rPr>
      </w:pPr>
      <w:r>
        <w:rPr>
          <w:lang w:val="en-GB"/>
        </w:rPr>
        <w:t xml:space="preserve">Bangladesh Rice Research Institute (BRRI) have conducted multi-location rice variety trials since 2001. </w:t>
      </w:r>
      <w:r w:rsidR="00B9588A">
        <w:rPr>
          <w:lang w:val="en-GB"/>
        </w:rPr>
        <w:t>These trials were conducted in both the wet season (</w:t>
      </w:r>
      <w:proofErr w:type="spellStart"/>
      <w:r w:rsidR="00B9588A">
        <w:rPr>
          <w:lang w:val="en-GB"/>
        </w:rPr>
        <w:t>Aman</w:t>
      </w:r>
      <w:proofErr w:type="spellEnd"/>
      <w:r w:rsidR="00B9588A">
        <w:rPr>
          <w:lang w:val="en-GB"/>
        </w:rPr>
        <w:t xml:space="preserve"> dataset) and the dry season (</w:t>
      </w:r>
      <w:proofErr w:type="spellStart"/>
      <w:r w:rsidR="00B9588A">
        <w:rPr>
          <w:lang w:val="en-GB"/>
        </w:rPr>
        <w:t>Boro</w:t>
      </w:r>
      <w:proofErr w:type="spellEnd"/>
      <w:r w:rsidR="00B9588A">
        <w:rPr>
          <w:lang w:val="en-GB"/>
        </w:rPr>
        <w:t xml:space="preserve"> dataset). The </w:t>
      </w:r>
      <w:proofErr w:type="spellStart"/>
      <w:r w:rsidR="00B9588A">
        <w:rPr>
          <w:lang w:val="en-GB"/>
        </w:rPr>
        <w:t>Aman</w:t>
      </w:r>
      <w:proofErr w:type="spellEnd"/>
      <w:r w:rsidR="00B9588A">
        <w:rPr>
          <w:lang w:val="en-GB"/>
        </w:rPr>
        <w:t xml:space="preserve"> dataset contains the yields </w:t>
      </w:r>
      <w:r w:rsidR="0097342D">
        <w:rPr>
          <w:lang w:val="en-GB"/>
        </w:rPr>
        <w:t>(t ha</w:t>
      </w:r>
      <w:r w:rsidR="0097342D" w:rsidRPr="00942794">
        <w:rPr>
          <w:vertAlign w:val="superscript"/>
          <w:lang w:val="en-GB"/>
        </w:rPr>
        <w:t>-1</w:t>
      </w:r>
      <w:r w:rsidR="0097342D">
        <w:rPr>
          <w:lang w:val="en-GB"/>
        </w:rPr>
        <w:t xml:space="preserve">) </w:t>
      </w:r>
      <w:r w:rsidR="00B9588A">
        <w:rPr>
          <w:lang w:val="en-GB"/>
        </w:rPr>
        <w:t xml:space="preserve">up to 2017, while the </w:t>
      </w:r>
      <w:proofErr w:type="spellStart"/>
      <w:r w:rsidR="00B9588A">
        <w:rPr>
          <w:lang w:val="en-GB"/>
        </w:rPr>
        <w:t>boro</w:t>
      </w:r>
      <w:proofErr w:type="spellEnd"/>
      <w:r w:rsidR="00B9588A">
        <w:rPr>
          <w:lang w:val="en-GB"/>
        </w:rPr>
        <w:t xml:space="preserve"> dataset contains the yields up to the growing season in 2017-2018. In each location and in each year, the trials were laid out according a randomised complete block </w:t>
      </w:r>
      <w:r w:rsidR="00153D04">
        <w:rPr>
          <w:lang w:val="en-GB"/>
        </w:rPr>
        <w:t>design</w:t>
      </w:r>
      <w:r w:rsidR="00B9588A">
        <w:rPr>
          <w:lang w:val="en-GB"/>
        </w:rPr>
        <w:t xml:space="preserve"> with three blocks</w:t>
      </w:r>
      <w:r w:rsidR="0097342D">
        <w:rPr>
          <w:lang w:val="en-GB"/>
        </w:rPr>
        <w:t xml:space="preserve">. </w:t>
      </w:r>
    </w:p>
    <w:p w14:paraId="05F9707B" w14:textId="29D8A13A" w:rsidR="000569EF" w:rsidRDefault="0097342D" w:rsidP="00E02889">
      <w:pPr>
        <w:rPr>
          <w:lang w:val="en-GB"/>
        </w:rPr>
      </w:pPr>
      <w:r>
        <w:rPr>
          <w:lang w:val="en-GB"/>
        </w:rPr>
        <w:t xml:space="preserve">Currently, the plot data of the trials are divided into two series, </w:t>
      </w:r>
      <w:r w:rsidR="00724104">
        <w:rPr>
          <w:lang w:val="en-GB"/>
        </w:rPr>
        <w:t>ranging</w:t>
      </w:r>
      <w:r>
        <w:rPr>
          <w:lang w:val="en-GB"/>
        </w:rPr>
        <w:t xml:space="preserve"> from 2001-2015 and from 2015-2017/2018</w:t>
      </w:r>
      <w:r w:rsidR="00153D04">
        <w:rPr>
          <w:lang w:val="en-GB"/>
        </w:rPr>
        <w:t xml:space="preserve">, thus the </w:t>
      </w:r>
      <w:r w:rsidR="009D2BD4">
        <w:rPr>
          <w:lang w:val="en-GB"/>
        </w:rPr>
        <w:t>data in 2015 occurs twice</w:t>
      </w:r>
      <w:r w:rsidR="00153D04">
        <w:rPr>
          <w:lang w:val="en-GB"/>
        </w:rPr>
        <w:t xml:space="preserve">. </w:t>
      </w:r>
      <w:r w:rsidR="009D2BD4">
        <w:rPr>
          <w:lang w:val="en-GB"/>
        </w:rPr>
        <w:t xml:space="preserve">The data of 2015 in the two series is, however, not consistent meaning that the two subsets </w:t>
      </w:r>
      <w:r w:rsidR="00A262E2">
        <w:rPr>
          <w:lang w:val="en-GB"/>
        </w:rPr>
        <w:t>of</w:t>
      </w:r>
      <w:r w:rsidR="009D2BD4">
        <w:rPr>
          <w:lang w:val="en-GB"/>
        </w:rPr>
        <w:t xml:space="preserve"> 2015 do not share the same </w:t>
      </w:r>
      <w:r w:rsidR="00A262E2">
        <w:rPr>
          <w:lang w:val="en-GB"/>
        </w:rPr>
        <w:t>locations</w:t>
      </w:r>
      <w:r w:rsidR="009D2BD4">
        <w:rPr>
          <w:lang w:val="en-GB"/>
        </w:rPr>
        <w:t xml:space="preserve"> and furthermore, the plot yields for shared locations differ</w:t>
      </w:r>
      <w:r w:rsidR="0019603B">
        <w:rPr>
          <w:lang w:val="en-GB"/>
        </w:rPr>
        <w:t xml:space="preserve"> in some cases</w:t>
      </w:r>
      <w:r w:rsidR="009D2BD4">
        <w:rPr>
          <w:lang w:val="en-GB"/>
        </w:rPr>
        <w:t>.</w:t>
      </w:r>
      <w:r w:rsidR="00096F0B">
        <w:rPr>
          <w:lang w:val="en-GB"/>
        </w:rPr>
        <w:t xml:space="preserve"> </w:t>
      </w:r>
      <w:r w:rsidR="00472B78">
        <w:rPr>
          <w:lang w:val="en-GB"/>
        </w:rPr>
        <w:t>This need</w:t>
      </w:r>
      <w:r w:rsidR="0019603B">
        <w:rPr>
          <w:lang w:val="en-GB"/>
        </w:rPr>
        <w:t>s</w:t>
      </w:r>
      <w:r w:rsidR="00472B78">
        <w:rPr>
          <w:lang w:val="en-GB"/>
        </w:rPr>
        <w:t xml:space="preserve"> to be checked in order to come up with a consistent set </w:t>
      </w:r>
      <w:r w:rsidR="00B36003">
        <w:rPr>
          <w:lang w:val="en-GB"/>
        </w:rPr>
        <w:t>for 2015</w:t>
      </w:r>
      <w:r w:rsidR="0019603B">
        <w:rPr>
          <w:lang w:val="en-GB"/>
        </w:rPr>
        <w:t xml:space="preserve">. </w:t>
      </w:r>
    </w:p>
    <w:p w14:paraId="532E3CB9" w14:textId="406B1132" w:rsidR="000569EF" w:rsidRDefault="000569EF" w:rsidP="00E02889">
      <w:pPr>
        <w:rPr>
          <w:lang w:val="en-GB"/>
        </w:rPr>
      </w:pPr>
      <w:r>
        <w:rPr>
          <w:lang w:val="en-GB"/>
        </w:rPr>
        <w:t>At</w:t>
      </w:r>
      <w:r w:rsidR="00472B78">
        <w:rPr>
          <w:lang w:val="en-GB"/>
        </w:rPr>
        <w:t xml:space="preserve"> the moment</w:t>
      </w:r>
      <w:r w:rsidR="009D2BD4">
        <w:rPr>
          <w:lang w:val="en-GB"/>
        </w:rPr>
        <w:t>, the year 2015 was removed from the 2001-2015/201</w:t>
      </w:r>
      <w:r w:rsidR="0019603B">
        <w:rPr>
          <w:lang w:val="en-GB"/>
        </w:rPr>
        <w:t>6 series</w:t>
      </w:r>
      <w:r w:rsidR="009D2BD4">
        <w:rPr>
          <w:lang w:val="en-GB"/>
        </w:rPr>
        <w:t>.</w:t>
      </w:r>
      <w:r>
        <w:rPr>
          <w:lang w:val="en-GB"/>
        </w:rPr>
        <w:t xml:space="preserve"> For the resulting combined series from 2001 to 2017/2018, t</w:t>
      </w:r>
      <w:r w:rsidR="00B36003">
        <w:rPr>
          <w:lang w:val="en-GB"/>
        </w:rPr>
        <w:t xml:space="preserve">he </w:t>
      </w:r>
      <w:r w:rsidR="002B01EB">
        <w:rPr>
          <w:lang w:val="en-GB"/>
        </w:rPr>
        <w:t>genotype-</w:t>
      </w:r>
      <w:r w:rsidR="00B36003">
        <w:rPr>
          <w:lang w:val="en-GB"/>
        </w:rPr>
        <w:t>year</w:t>
      </w:r>
      <w:r w:rsidR="002B01EB">
        <w:rPr>
          <w:lang w:val="en-GB"/>
        </w:rPr>
        <w:t xml:space="preserve"> combinations</w:t>
      </w:r>
      <w:r w:rsidR="00B36003">
        <w:rPr>
          <w:lang w:val="en-GB"/>
        </w:rPr>
        <w:t xml:space="preserve">, and </w:t>
      </w:r>
      <w:r w:rsidR="002B01EB">
        <w:rPr>
          <w:lang w:val="en-GB"/>
        </w:rPr>
        <w:t xml:space="preserve">the </w:t>
      </w:r>
      <w:r w:rsidR="00B36003">
        <w:rPr>
          <w:lang w:val="en-GB"/>
        </w:rPr>
        <w:t>location</w:t>
      </w:r>
      <w:r w:rsidR="002B01EB">
        <w:rPr>
          <w:lang w:val="en-GB"/>
        </w:rPr>
        <w:t>-</w:t>
      </w:r>
      <w:r w:rsidR="00B36003">
        <w:rPr>
          <w:lang w:val="en-GB"/>
        </w:rPr>
        <w:t>year</w:t>
      </w:r>
      <w:r w:rsidR="002B01EB">
        <w:rPr>
          <w:lang w:val="en-GB"/>
        </w:rPr>
        <w:t xml:space="preserve"> combination</w:t>
      </w:r>
      <w:r>
        <w:rPr>
          <w:lang w:val="en-GB"/>
        </w:rPr>
        <w:t>s</w:t>
      </w:r>
      <w:r w:rsidR="00B36003">
        <w:rPr>
          <w:lang w:val="en-GB"/>
        </w:rPr>
        <w:t xml:space="preserve"> are shown in Figures </w:t>
      </w:r>
      <w:r w:rsidR="008D2630">
        <w:rPr>
          <w:lang w:val="en-GB"/>
        </w:rPr>
        <w:t>1 and 2</w:t>
      </w:r>
      <w:r>
        <w:rPr>
          <w:lang w:val="en-GB"/>
        </w:rPr>
        <w:t xml:space="preserve"> in order to get an overview of the genotypes and locations tested in the different years. </w:t>
      </w:r>
    </w:p>
    <w:p w14:paraId="2CD254D8" w14:textId="0975325A" w:rsidR="001639F2" w:rsidRDefault="00425539" w:rsidP="00E02889">
      <w:pPr>
        <w:rPr>
          <w:lang w:val="en-GB"/>
        </w:rPr>
      </w:pPr>
      <w:r>
        <w:rPr>
          <w:lang w:val="en-GB"/>
        </w:rPr>
        <w:t>T</w:t>
      </w:r>
      <w:r w:rsidR="004859F8">
        <w:rPr>
          <w:lang w:val="en-GB"/>
        </w:rPr>
        <w:t>he assessment of genetic gain requires the year of release of each genotype. For the new series form 2015-2017/2018, this information is, however, not contained in the data. Thus the year of release of genotypes that only occur in the series form 2015-2017/2018 was set to 2015</w:t>
      </w:r>
      <w:r w:rsidR="00D97FA3">
        <w:rPr>
          <w:lang w:val="en-GB"/>
        </w:rPr>
        <w:t xml:space="preserve"> or 2016</w:t>
      </w:r>
      <w:r w:rsidR="00B36003">
        <w:rPr>
          <w:lang w:val="en-GB"/>
        </w:rPr>
        <w:t xml:space="preserve">, according to Figures </w:t>
      </w:r>
      <w:r w:rsidR="00D32F86">
        <w:rPr>
          <w:lang w:val="en-GB"/>
        </w:rPr>
        <w:t>1</w:t>
      </w:r>
      <w:r w:rsidR="00B36003">
        <w:rPr>
          <w:lang w:val="en-GB"/>
        </w:rPr>
        <w:t xml:space="preserve"> and </w:t>
      </w:r>
      <w:r w:rsidR="00D32F86">
        <w:rPr>
          <w:lang w:val="en-GB"/>
        </w:rPr>
        <w:t>2</w:t>
      </w:r>
      <w:r w:rsidR="004859F8">
        <w:rPr>
          <w:lang w:val="en-GB"/>
        </w:rPr>
        <w:t xml:space="preserve">. </w:t>
      </w:r>
    </w:p>
    <w:p w14:paraId="07534C6E" w14:textId="57064DBE" w:rsidR="002F53DD" w:rsidRDefault="00EC050C" w:rsidP="00E02889">
      <w:pPr>
        <w:rPr>
          <w:lang w:val="en-GB"/>
        </w:rPr>
      </w:pPr>
      <w:r>
        <w:rPr>
          <w:lang w:val="en-GB"/>
        </w:rPr>
        <w:t xml:space="preserve">A last thing to note is that the categories of the growing duration differ between the series from 2001-2015 and from 2015-2017/2018, e.g. for </w:t>
      </w:r>
      <w:proofErr w:type="spellStart"/>
      <w:r>
        <w:rPr>
          <w:lang w:val="en-GB"/>
        </w:rPr>
        <w:t>Boro</w:t>
      </w:r>
      <w:proofErr w:type="spellEnd"/>
      <w:r>
        <w:rPr>
          <w:lang w:val="en-GB"/>
        </w:rPr>
        <w:t xml:space="preserve">, genotype BR1 is listed as “short” in the data from 2001-2015 and as “medium” in the data from 2015-2017/18. For the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</w:t>
      </w:r>
      <w:r w:rsidR="00D44F90">
        <w:rPr>
          <w:lang w:val="en-GB"/>
        </w:rPr>
        <w:t>series</w:t>
      </w:r>
      <w:r>
        <w:rPr>
          <w:lang w:val="en-GB"/>
        </w:rPr>
        <w:t xml:space="preserve">, the group of genotype BR11 is “medium” for the series 2001-2015 and “long” in the series 2015-2017. </w:t>
      </w:r>
      <w:r w:rsidR="001E149D">
        <w:rPr>
          <w:lang w:val="en-GB"/>
        </w:rPr>
        <w:t xml:space="preserve">Currently, </w:t>
      </w:r>
      <w:r w:rsidR="008508A6">
        <w:rPr>
          <w:lang w:val="en-GB"/>
        </w:rPr>
        <w:t xml:space="preserve">the </w:t>
      </w:r>
      <w:r w:rsidR="001A5B82">
        <w:rPr>
          <w:lang w:val="en-GB"/>
        </w:rPr>
        <w:t>groups of the genotypes in the 2001-2015 series were chosen for the 2015-2017/18 series</w:t>
      </w:r>
      <w:r w:rsidR="008508A6">
        <w:rPr>
          <w:lang w:val="en-GB"/>
        </w:rPr>
        <w:t>.</w:t>
      </w:r>
      <w:r w:rsidR="001A5B82">
        <w:rPr>
          <w:lang w:val="en-GB"/>
        </w:rPr>
        <w:t xml:space="preserve"> </w:t>
      </w:r>
    </w:p>
    <w:p w14:paraId="5FAACDCF" w14:textId="2EA91861" w:rsidR="001639F2" w:rsidRDefault="001639F2" w:rsidP="00E02889">
      <w:pPr>
        <w:rPr>
          <w:lang w:val="en-GB"/>
        </w:rPr>
      </w:pPr>
      <w:r>
        <w:rPr>
          <w:lang w:val="en-GB"/>
        </w:rPr>
        <w:t xml:space="preserve">For the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</w:t>
      </w:r>
      <w:r w:rsidR="00D44F90">
        <w:rPr>
          <w:lang w:val="en-GB"/>
        </w:rPr>
        <w:t>series</w:t>
      </w:r>
      <w:r>
        <w:rPr>
          <w:lang w:val="en-GB"/>
        </w:rPr>
        <w:t xml:space="preserve">, the grouping of genotypes is not unique, meaning that two </w:t>
      </w:r>
      <w:r>
        <w:rPr>
          <w:lang w:val="en-GB"/>
        </w:rPr>
        <w:t>ge</w:t>
      </w:r>
      <w:r>
        <w:rPr>
          <w:lang w:val="en-GB"/>
        </w:rPr>
        <w:t>n</w:t>
      </w:r>
      <w:r>
        <w:rPr>
          <w:lang w:val="en-GB"/>
        </w:rPr>
        <w:t>otypes occur in different groups</w:t>
      </w:r>
      <w:r>
        <w:rPr>
          <w:lang w:val="en-GB"/>
        </w:rPr>
        <w:t xml:space="preserve"> (“</w:t>
      </w:r>
      <w:r w:rsidRPr="001639F2">
        <w:rPr>
          <w:lang w:val="en-GB"/>
        </w:rPr>
        <w:t>BRRI dhan</w:t>
      </w:r>
      <w:proofErr w:type="gramStart"/>
      <w:r w:rsidRPr="001639F2">
        <w:rPr>
          <w:lang w:val="en-GB"/>
        </w:rPr>
        <w:t>53</w:t>
      </w:r>
      <w:r>
        <w:rPr>
          <w:lang w:val="en-GB"/>
        </w:rPr>
        <w:t>“ and</w:t>
      </w:r>
      <w:proofErr w:type="gramEnd"/>
      <w:r>
        <w:rPr>
          <w:lang w:val="en-GB"/>
        </w:rPr>
        <w:t xml:space="preserve"> “BRRI dhan57” are </w:t>
      </w:r>
      <w:r w:rsidR="008F581E">
        <w:rPr>
          <w:lang w:val="en-GB"/>
        </w:rPr>
        <w:t>categorized</w:t>
      </w:r>
      <w:r>
        <w:rPr>
          <w:lang w:val="en-GB"/>
        </w:rPr>
        <w:t xml:space="preserve"> as both “Short” and “Stress”).</w:t>
      </w:r>
      <w:r w:rsidR="00D44F90" w:rsidRPr="00D44F90">
        <w:rPr>
          <w:lang w:val="en-GB"/>
        </w:rPr>
        <w:t xml:space="preserve"> </w:t>
      </w:r>
      <w:r w:rsidR="00D44F90">
        <w:rPr>
          <w:lang w:val="en-GB"/>
        </w:rPr>
        <w:t>Those two</w:t>
      </w:r>
      <w:r w:rsidR="00D44F90">
        <w:rPr>
          <w:lang w:val="en-GB"/>
        </w:rPr>
        <w:t xml:space="preserve"> genotypes were re-grouped to “Short”</w:t>
      </w:r>
      <w:r w:rsidR="00D44F90">
        <w:rPr>
          <w:lang w:val="en-GB"/>
        </w:rPr>
        <w:t>.</w:t>
      </w:r>
    </w:p>
    <w:p w14:paraId="43E97FA4" w14:textId="1FBBD467" w:rsidR="00B9588A" w:rsidRDefault="001A5B82" w:rsidP="00E02889">
      <w:pPr>
        <w:rPr>
          <w:lang w:val="en-GB"/>
        </w:rPr>
      </w:pPr>
      <w:r>
        <w:rPr>
          <w:lang w:val="en-GB"/>
        </w:rPr>
        <w:t xml:space="preserve">For </w:t>
      </w:r>
      <w:r w:rsidR="00221B90">
        <w:rPr>
          <w:lang w:val="en-GB"/>
        </w:rPr>
        <w:t xml:space="preserve">the </w:t>
      </w:r>
      <w:proofErr w:type="spellStart"/>
      <w:r w:rsidR="00221B90">
        <w:rPr>
          <w:lang w:val="en-GB"/>
        </w:rPr>
        <w:t>B</w:t>
      </w:r>
      <w:r>
        <w:rPr>
          <w:lang w:val="en-GB"/>
        </w:rPr>
        <w:t>oro</w:t>
      </w:r>
      <w:proofErr w:type="spellEnd"/>
      <w:r w:rsidR="00221B90">
        <w:rPr>
          <w:lang w:val="en-GB"/>
        </w:rPr>
        <w:t xml:space="preserve"> </w:t>
      </w:r>
      <w:r w:rsidR="00D44F90">
        <w:rPr>
          <w:lang w:val="en-GB"/>
        </w:rPr>
        <w:t>series</w:t>
      </w:r>
      <w:r w:rsidR="00221B90">
        <w:rPr>
          <w:lang w:val="en-GB"/>
        </w:rPr>
        <w:t>,</w:t>
      </w:r>
      <w:r>
        <w:rPr>
          <w:lang w:val="en-GB"/>
        </w:rPr>
        <w:t xml:space="preserve"> some genotypes that only occur in the 2015</w:t>
      </w:r>
      <w:r w:rsidR="005D2F0C">
        <w:rPr>
          <w:lang w:val="en-GB"/>
        </w:rPr>
        <w:t>-</w:t>
      </w:r>
      <w:r>
        <w:rPr>
          <w:lang w:val="en-GB"/>
        </w:rPr>
        <w:t>2017/18 series were grouped as “medium”</w:t>
      </w:r>
      <w:r w:rsidR="005D2F0C">
        <w:rPr>
          <w:lang w:val="en-GB"/>
        </w:rPr>
        <w:t xml:space="preserve">. According to Table </w:t>
      </w:r>
      <w:r w:rsidR="00761346">
        <w:rPr>
          <w:lang w:val="en-GB"/>
        </w:rPr>
        <w:t>1</w:t>
      </w:r>
      <w:r w:rsidR="005D2F0C">
        <w:rPr>
          <w:lang w:val="en-GB"/>
        </w:rPr>
        <w:t xml:space="preserve">, this is not a valid group. Thus, the groups of these genotypes was chosen according to </w:t>
      </w:r>
      <w:r w:rsidR="00C938C7">
        <w:rPr>
          <w:lang w:val="en-GB"/>
        </w:rPr>
        <w:t>T</w:t>
      </w:r>
      <w:r w:rsidR="005D2F0C">
        <w:rPr>
          <w:lang w:val="en-GB"/>
        </w:rPr>
        <w:t xml:space="preserve">able </w:t>
      </w:r>
      <w:r w:rsidR="00761346">
        <w:rPr>
          <w:lang w:val="en-GB"/>
        </w:rPr>
        <w:t>1</w:t>
      </w:r>
      <w:r w:rsidR="005D2F0C">
        <w:rPr>
          <w:lang w:val="en-GB"/>
        </w:rPr>
        <w:t>, using the estimated mean growth duration for these genotypes to determine the group.</w:t>
      </w:r>
    </w:p>
    <w:p w14:paraId="3A1AC752" w14:textId="6775077F" w:rsidR="00C96825" w:rsidRDefault="00D44F90" w:rsidP="00E02889">
      <w:pPr>
        <w:rPr>
          <w:lang w:val="en-GB"/>
        </w:rPr>
      </w:pPr>
      <w:r>
        <w:rPr>
          <w:lang w:val="en-GB"/>
        </w:rPr>
        <w:t xml:space="preserve"> </w:t>
      </w:r>
    </w:p>
    <w:p w14:paraId="3717DFBA" w14:textId="464DBC09" w:rsidR="00E02889" w:rsidRDefault="00131301" w:rsidP="00E02889">
      <w:pPr>
        <w:rPr>
          <w:lang w:val="en-GB"/>
        </w:rPr>
      </w:pPr>
      <w:r>
        <w:rPr>
          <w:lang w:val="en-GB"/>
        </w:rPr>
        <w:t xml:space="preserve">So far, the analysis was done making the changes described above. Please </w:t>
      </w:r>
      <w:r w:rsidR="0036749F">
        <w:rPr>
          <w:lang w:val="en-GB"/>
        </w:rPr>
        <w:t xml:space="preserve">be aware of that when looking at the results and please </w:t>
      </w:r>
      <w:r>
        <w:rPr>
          <w:lang w:val="en-GB"/>
        </w:rPr>
        <w:t xml:space="preserve">verify the changes concerning the year 2015, the registration years of genotypes occurring only in 2015-2017/18, and the genotype </w:t>
      </w:r>
      <w:r w:rsidR="009D6997">
        <w:rPr>
          <w:lang w:val="en-GB"/>
        </w:rPr>
        <w:t>categories an</w:t>
      </w:r>
      <w:r w:rsidR="00E00D62">
        <w:rPr>
          <w:lang w:val="en-GB"/>
        </w:rPr>
        <w:t>d</w:t>
      </w:r>
      <w:r w:rsidR="008D4FD9">
        <w:rPr>
          <w:lang w:val="en-GB"/>
        </w:rPr>
        <w:t xml:space="preserve"> send us </w:t>
      </w:r>
      <w:r w:rsidR="009D6997">
        <w:rPr>
          <w:lang w:val="en-GB"/>
        </w:rPr>
        <w:t xml:space="preserve">updated </w:t>
      </w:r>
      <w:r w:rsidR="008D4FD9">
        <w:rPr>
          <w:lang w:val="en-GB"/>
        </w:rPr>
        <w:t>data</w:t>
      </w:r>
      <w:bookmarkStart w:id="0" w:name="_GoBack"/>
      <w:bookmarkEnd w:id="0"/>
      <w:r w:rsidR="009D6997">
        <w:rPr>
          <w:lang w:val="en-GB"/>
        </w:rPr>
        <w:t xml:space="preserve"> if </w:t>
      </w:r>
      <w:r w:rsidR="00E00D62">
        <w:rPr>
          <w:lang w:val="en-GB"/>
        </w:rPr>
        <w:t>necessary</w:t>
      </w:r>
      <w:r>
        <w:rPr>
          <w:lang w:val="en-GB"/>
        </w:rPr>
        <w:t xml:space="preserve">.  </w:t>
      </w:r>
    </w:p>
    <w:p w14:paraId="6D92C635" w14:textId="1A487321" w:rsidR="0047121D" w:rsidRDefault="0047121D" w:rsidP="00604F1F">
      <w:pPr>
        <w:rPr>
          <w:lang w:val="en-GB"/>
        </w:rPr>
      </w:pPr>
    </w:p>
    <w:p w14:paraId="68756605" w14:textId="3C64EEFF" w:rsidR="00722D5B" w:rsidRDefault="00722D5B" w:rsidP="00604F1F">
      <w:pPr>
        <w:rPr>
          <w:lang w:val="en-GB"/>
        </w:rPr>
      </w:pPr>
    </w:p>
    <w:p w14:paraId="07317A44" w14:textId="109E1D48" w:rsidR="00722D5B" w:rsidRDefault="00722D5B" w:rsidP="00604F1F">
      <w:pPr>
        <w:rPr>
          <w:lang w:val="en-GB"/>
        </w:rPr>
      </w:pPr>
    </w:p>
    <w:p w14:paraId="2C1F0511" w14:textId="4E3EE02D" w:rsidR="00A15AE6" w:rsidRDefault="00A15AE6" w:rsidP="00A15AE6">
      <w:pPr>
        <w:keepNext/>
      </w:pPr>
      <w:r>
        <w:rPr>
          <w:noProof/>
          <w:lang w:val="en-GB" w:eastAsia="en-GB"/>
        </w:rPr>
        <w:lastRenderedPageBreak/>
        <w:pict w14:anchorId="36EB5D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453.75pt;height:272.25pt">
            <v:imagedata r:id="rId6" o:title="second data inspection aman classification"/>
          </v:shape>
        </w:pict>
      </w:r>
    </w:p>
    <w:p w14:paraId="4EEF7CD8" w14:textId="2A9E1A82" w:rsidR="00722D5B" w:rsidRPr="00C000A0" w:rsidRDefault="00A15AE6" w:rsidP="00C000A0">
      <w:pPr>
        <w:pStyle w:val="Beschriftung"/>
        <w:jc w:val="both"/>
        <w:rPr>
          <w:i w:val="0"/>
          <w:color w:val="000000" w:themeColor="text1"/>
          <w:sz w:val="22"/>
          <w:lang w:val="en-GB"/>
        </w:rPr>
      </w:pPr>
      <w:r w:rsidRPr="00C000A0">
        <w:rPr>
          <w:b/>
          <w:i w:val="0"/>
          <w:color w:val="000000" w:themeColor="text1"/>
          <w:sz w:val="22"/>
          <w:lang w:val="en-GB"/>
        </w:rPr>
        <w:t xml:space="preserve">Figure </w:t>
      </w:r>
      <w:r w:rsidR="008D2630" w:rsidRPr="00C000A0">
        <w:rPr>
          <w:b/>
          <w:i w:val="0"/>
          <w:color w:val="000000" w:themeColor="text1"/>
          <w:sz w:val="22"/>
          <w:lang w:val="en-GB"/>
        </w:rPr>
        <w:t>1</w:t>
      </w:r>
      <w:r w:rsidRPr="00C000A0">
        <w:rPr>
          <w:b/>
          <w:i w:val="0"/>
          <w:color w:val="000000" w:themeColor="text1"/>
          <w:sz w:val="22"/>
          <w:lang w:val="en-GB"/>
        </w:rPr>
        <w:t>:</w:t>
      </w:r>
      <w:r w:rsidRPr="00C000A0">
        <w:rPr>
          <w:i w:val="0"/>
          <w:color w:val="000000" w:themeColor="text1"/>
          <w:sz w:val="22"/>
          <w:lang w:val="en-GB"/>
        </w:rPr>
        <w:t xml:space="preserve"> Classification of genotype-year combinations </w:t>
      </w:r>
      <w:r w:rsidR="002C61E2" w:rsidRPr="00C000A0">
        <w:rPr>
          <w:i w:val="0"/>
          <w:color w:val="000000" w:themeColor="text1"/>
          <w:sz w:val="22"/>
          <w:lang w:val="en-GB"/>
        </w:rPr>
        <w:t xml:space="preserve">(left) </w:t>
      </w:r>
      <w:r w:rsidRPr="00C000A0">
        <w:rPr>
          <w:i w:val="0"/>
          <w:color w:val="000000" w:themeColor="text1"/>
          <w:sz w:val="22"/>
          <w:lang w:val="en-GB"/>
        </w:rPr>
        <w:t xml:space="preserve">and location –year combinations </w:t>
      </w:r>
      <w:r w:rsidR="002C61E2" w:rsidRPr="00C000A0">
        <w:rPr>
          <w:i w:val="0"/>
          <w:color w:val="000000" w:themeColor="text1"/>
          <w:sz w:val="22"/>
          <w:lang w:val="en-GB"/>
        </w:rPr>
        <w:t xml:space="preserve">(right) </w:t>
      </w:r>
      <w:r w:rsidRPr="00C000A0">
        <w:rPr>
          <w:i w:val="0"/>
          <w:color w:val="000000" w:themeColor="text1"/>
          <w:sz w:val="22"/>
          <w:lang w:val="en-GB"/>
        </w:rPr>
        <w:t xml:space="preserve">for </w:t>
      </w:r>
      <w:proofErr w:type="spellStart"/>
      <w:r w:rsidRPr="00C000A0">
        <w:rPr>
          <w:i w:val="0"/>
          <w:color w:val="000000" w:themeColor="text1"/>
          <w:sz w:val="22"/>
          <w:lang w:val="en-GB"/>
        </w:rPr>
        <w:t>Aman</w:t>
      </w:r>
      <w:proofErr w:type="spellEnd"/>
      <w:r w:rsidRPr="00C000A0">
        <w:rPr>
          <w:i w:val="0"/>
          <w:color w:val="000000" w:themeColor="text1"/>
          <w:sz w:val="22"/>
          <w:lang w:val="en-GB"/>
        </w:rPr>
        <w:t xml:space="preserve"> Series. C</w:t>
      </w:r>
      <w:r w:rsidR="00324070" w:rsidRPr="00C000A0">
        <w:rPr>
          <w:i w:val="0"/>
          <w:color w:val="000000" w:themeColor="text1"/>
          <w:sz w:val="22"/>
          <w:lang w:val="en-GB"/>
        </w:rPr>
        <w:t>ell c</w:t>
      </w:r>
      <w:r w:rsidRPr="00C000A0">
        <w:rPr>
          <w:i w:val="0"/>
          <w:color w:val="000000" w:themeColor="text1"/>
          <w:sz w:val="22"/>
          <w:lang w:val="en-GB"/>
        </w:rPr>
        <w:t xml:space="preserve">olours indicate how frequently </w:t>
      </w:r>
      <w:r w:rsidR="00D0381E" w:rsidRPr="00C000A0">
        <w:rPr>
          <w:i w:val="0"/>
          <w:color w:val="000000" w:themeColor="text1"/>
          <w:sz w:val="22"/>
          <w:lang w:val="en-GB"/>
        </w:rPr>
        <w:t>the</w:t>
      </w:r>
      <w:r w:rsidRPr="00C000A0">
        <w:rPr>
          <w:i w:val="0"/>
          <w:color w:val="000000" w:themeColor="text1"/>
          <w:sz w:val="22"/>
          <w:lang w:val="en-GB"/>
        </w:rPr>
        <w:t xml:space="preserve"> combination</w:t>
      </w:r>
      <w:r w:rsidR="00D0381E" w:rsidRPr="00C000A0">
        <w:rPr>
          <w:i w:val="0"/>
          <w:color w:val="000000" w:themeColor="text1"/>
          <w:sz w:val="22"/>
          <w:lang w:val="en-GB"/>
        </w:rPr>
        <w:t>s</w:t>
      </w:r>
      <w:r w:rsidRPr="00C000A0">
        <w:rPr>
          <w:i w:val="0"/>
          <w:color w:val="000000" w:themeColor="text1"/>
          <w:sz w:val="22"/>
          <w:lang w:val="en-GB"/>
        </w:rPr>
        <w:t xml:space="preserve"> occur in the dataset (light grey: minimum frequency; dark grey: minimum</w:t>
      </w:r>
      <w:r w:rsidR="005F41A6" w:rsidRPr="00C000A0">
        <w:rPr>
          <w:i w:val="0"/>
          <w:color w:val="000000" w:themeColor="text1"/>
          <w:sz w:val="22"/>
          <w:lang w:val="en-GB"/>
        </w:rPr>
        <w:t xml:space="preserve"> to </w:t>
      </w:r>
      <w:r w:rsidRPr="00C000A0">
        <w:rPr>
          <w:i w:val="0"/>
          <w:color w:val="000000" w:themeColor="text1"/>
          <w:sz w:val="22"/>
          <w:lang w:val="en-GB"/>
        </w:rPr>
        <w:t>mean frequency; black: mean</w:t>
      </w:r>
      <w:r w:rsidR="005F41A6" w:rsidRPr="00C000A0">
        <w:rPr>
          <w:i w:val="0"/>
          <w:color w:val="000000" w:themeColor="text1"/>
          <w:sz w:val="22"/>
          <w:lang w:val="en-GB"/>
        </w:rPr>
        <w:t xml:space="preserve"> to </w:t>
      </w:r>
      <w:r w:rsidRPr="00C000A0">
        <w:rPr>
          <w:i w:val="0"/>
          <w:color w:val="000000" w:themeColor="text1"/>
          <w:sz w:val="22"/>
          <w:lang w:val="en-GB"/>
        </w:rPr>
        <w:t>maximum frequency)</w:t>
      </w:r>
    </w:p>
    <w:p w14:paraId="130413DA" w14:textId="77777777" w:rsidR="00BE7CD7" w:rsidRPr="00BE7CD7" w:rsidRDefault="00BE7CD7" w:rsidP="00BE7CD7">
      <w:pPr>
        <w:rPr>
          <w:lang w:val="en-GB"/>
        </w:rPr>
      </w:pPr>
    </w:p>
    <w:p w14:paraId="1DCFEB68" w14:textId="77777777" w:rsidR="00BE7CD7" w:rsidRDefault="00BE7CD7" w:rsidP="00BE7CD7">
      <w:pPr>
        <w:keepNext/>
      </w:pPr>
      <w:r>
        <w:rPr>
          <w:i/>
          <w:noProof/>
          <w:color w:val="000000" w:themeColor="text1"/>
          <w:lang w:val="en-GB" w:eastAsia="en-GB"/>
        </w:rPr>
        <w:drawing>
          <wp:inline distT="0" distB="0" distL="0" distR="0" wp14:anchorId="42FEC97C" wp14:editId="2A3D90D8">
            <wp:extent cx="5760720" cy="3457828"/>
            <wp:effectExtent l="0" t="0" r="0" b="9525"/>
            <wp:docPr id="5" name="Grafik 5" descr="D:\user\shadasch\AppData\Local\Microsoft\Windows\INetCache\Content.Word\second data inspection boro class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D:\user\shadasch\AppData\Local\Microsoft\Windows\INetCache\Content.Word\second data inspection boro classification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6A20" w14:textId="669DF66F" w:rsidR="00BE7CD7" w:rsidRPr="00C000A0" w:rsidRDefault="00BE7CD7" w:rsidP="00C000A0">
      <w:pPr>
        <w:pStyle w:val="Beschriftung"/>
        <w:jc w:val="both"/>
        <w:rPr>
          <w:i w:val="0"/>
          <w:color w:val="000000" w:themeColor="text1"/>
          <w:sz w:val="22"/>
          <w:lang w:val="en-GB"/>
        </w:rPr>
      </w:pPr>
      <w:r w:rsidRPr="00C000A0">
        <w:rPr>
          <w:b/>
          <w:i w:val="0"/>
          <w:color w:val="000000" w:themeColor="text1"/>
          <w:sz w:val="22"/>
          <w:lang w:val="en-GB"/>
        </w:rPr>
        <w:t xml:space="preserve">Figure </w:t>
      </w:r>
      <w:r w:rsidR="008D2630" w:rsidRPr="00C000A0">
        <w:rPr>
          <w:b/>
          <w:i w:val="0"/>
          <w:color w:val="000000" w:themeColor="text1"/>
          <w:sz w:val="22"/>
          <w:lang w:val="en-GB"/>
        </w:rPr>
        <w:t>2</w:t>
      </w:r>
      <w:r w:rsidRPr="00C000A0">
        <w:rPr>
          <w:b/>
          <w:i w:val="0"/>
          <w:color w:val="000000" w:themeColor="text1"/>
          <w:sz w:val="22"/>
          <w:lang w:val="en-GB"/>
        </w:rPr>
        <w:t>:</w:t>
      </w:r>
      <w:r w:rsidRPr="00C000A0">
        <w:rPr>
          <w:i w:val="0"/>
          <w:color w:val="000000" w:themeColor="text1"/>
          <w:sz w:val="22"/>
          <w:lang w:val="en-GB"/>
        </w:rPr>
        <w:t xml:space="preserve"> Classification of genotype-year combinations (left) and location –year combinations (right) for </w:t>
      </w:r>
      <w:proofErr w:type="spellStart"/>
      <w:r w:rsidRPr="00C000A0">
        <w:rPr>
          <w:i w:val="0"/>
          <w:color w:val="000000" w:themeColor="text1"/>
          <w:sz w:val="22"/>
          <w:lang w:val="en-GB"/>
        </w:rPr>
        <w:t>Boro</w:t>
      </w:r>
      <w:proofErr w:type="spellEnd"/>
      <w:r w:rsidRPr="00C000A0">
        <w:rPr>
          <w:i w:val="0"/>
          <w:color w:val="000000" w:themeColor="text1"/>
          <w:sz w:val="22"/>
          <w:lang w:val="en-GB"/>
        </w:rPr>
        <w:t xml:space="preserve"> Series. Cell colours indicate how frequently the combinations occur in the dataset (light grey: minimum frequency; dark grey: minimum to mean frequency; black: mean to maximum frequency)</w:t>
      </w:r>
    </w:p>
    <w:p w14:paraId="46B50836" w14:textId="69450635" w:rsidR="00722D5B" w:rsidRDefault="00722D5B" w:rsidP="00604F1F">
      <w:pPr>
        <w:rPr>
          <w:lang w:val="en-GB"/>
        </w:rPr>
      </w:pPr>
    </w:p>
    <w:p w14:paraId="180BFE31" w14:textId="14647BD6" w:rsidR="00722D5B" w:rsidRDefault="00722D5B" w:rsidP="00604F1F">
      <w:pPr>
        <w:rPr>
          <w:lang w:val="en-GB"/>
        </w:rPr>
      </w:pPr>
    </w:p>
    <w:p w14:paraId="5CDBD005" w14:textId="5543C0F9" w:rsidR="000A507E" w:rsidRDefault="000A507E" w:rsidP="00604F1F">
      <w:pPr>
        <w:rPr>
          <w:lang w:val="en-GB"/>
        </w:rPr>
      </w:pPr>
    </w:p>
    <w:p w14:paraId="234EF10B" w14:textId="77777777" w:rsidR="00596D5A" w:rsidRDefault="00596D5A" w:rsidP="00604F1F">
      <w:pPr>
        <w:rPr>
          <w:lang w:val="en-GB"/>
        </w:rPr>
      </w:pPr>
    </w:p>
    <w:p w14:paraId="19D2D9CE" w14:textId="1B17F3EC" w:rsidR="000A507E" w:rsidRDefault="000A507E" w:rsidP="00604F1F">
      <w:pPr>
        <w:rPr>
          <w:lang w:val="en-GB"/>
        </w:rPr>
      </w:pPr>
    </w:p>
    <w:p w14:paraId="3632E86B" w14:textId="34D30531" w:rsidR="000A507E" w:rsidRPr="00FA52DD" w:rsidRDefault="000A507E" w:rsidP="000A507E">
      <w:pPr>
        <w:tabs>
          <w:tab w:val="left" w:pos="945"/>
        </w:tabs>
        <w:autoSpaceDE w:val="0"/>
        <w:autoSpaceDN w:val="0"/>
        <w:adjustRightInd w:val="0"/>
        <w:ind w:left="963" w:hanging="963"/>
        <w:rPr>
          <w:lang w:val="en-GB"/>
        </w:rPr>
      </w:pPr>
      <w:r w:rsidRPr="00FA52DD">
        <w:rPr>
          <w:b/>
          <w:lang w:val="en-GB"/>
        </w:rPr>
        <w:t xml:space="preserve">Table </w:t>
      </w:r>
      <w:r w:rsidR="00596D5A">
        <w:rPr>
          <w:b/>
          <w:lang w:val="en-GB"/>
        </w:rPr>
        <w:t>1</w:t>
      </w:r>
      <w:r w:rsidRPr="00FA52DD">
        <w:rPr>
          <w:b/>
          <w:lang w:val="en-GB"/>
        </w:rPr>
        <w:t xml:space="preserve">: </w:t>
      </w:r>
      <w:r w:rsidRPr="00FA52DD">
        <w:rPr>
          <w:lang w:val="en-GB"/>
        </w:rPr>
        <w:t xml:space="preserve">Categories of </w:t>
      </w:r>
      <w:proofErr w:type="spellStart"/>
      <w:r>
        <w:rPr>
          <w:lang w:val="en-GB"/>
        </w:rPr>
        <w:t>B</w:t>
      </w:r>
      <w:r w:rsidRPr="00FA52DD">
        <w:rPr>
          <w:lang w:val="en-GB"/>
        </w:rPr>
        <w:t>oro</w:t>
      </w:r>
      <w:proofErr w:type="spellEnd"/>
      <w:r w:rsidRPr="00FA52DD">
        <w:rPr>
          <w:lang w:val="en-GB"/>
        </w:rPr>
        <w:t xml:space="preserve"> and </w:t>
      </w:r>
      <w:proofErr w:type="spellStart"/>
      <w:r>
        <w:rPr>
          <w:lang w:val="en-GB"/>
        </w:rPr>
        <w:t>A</w:t>
      </w:r>
      <w:r w:rsidRPr="00FA52DD">
        <w:rPr>
          <w:lang w:val="en-GB"/>
        </w:rPr>
        <w:t>man</w:t>
      </w:r>
      <w:proofErr w:type="spellEnd"/>
      <w:r w:rsidRPr="00FA52DD">
        <w:rPr>
          <w:lang w:val="en-GB"/>
        </w:rPr>
        <w:t xml:space="preserve"> rice varieties based on growth duration</w:t>
      </w:r>
    </w:p>
    <w:p w14:paraId="5A0B1B6C" w14:textId="77777777" w:rsidR="000A507E" w:rsidRPr="00FA52DD" w:rsidRDefault="000A507E" w:rsidP="000A507E">
      <w:pPr>
        <w:tabs>
          <w:tab w:val="left" w:pos="873"/>
        </w:tabs>
        <w:autoSpaceDE w:val="0"/>
        <w:autoSpaceDN w:val="0"/>
        <w:adjustRightInd w:val="0"/>
        <w:ind w:left="873" w:hanging="873"/>
        <w:jc w:val="both"/>
        <w:rPr>
          <w:sz w:val="1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0A507E" w:rsidRPr="00FA52DD" w14:paraId="6CF557DD" w14:textId="77777777" w:rsidTr="00874EC9">
        <w:tc>
          <w:tcPr>
            <w:tcW w:w="3024" w:type="dxa"/>
            <w:vMerge w:val="restart"/>
            <w:tcBorders>
              <w:top w:val="single" w:sz="4" w:space="0" w:color="auto"/>
            </w:tcBorders>
          </w:tcPr>
          <w:p w14:paraId="7727F42B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r w:rsidRPr="00FA52DD">
              <w:rPr>
                <w:b/>
                <w:lang w:val="en-US" w:eastAsia="en-US"/>
              </w:rPr>
              <w:t>Category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</w:tcBorders>
          </w:tcPr>
          <w:p w14:paraId="52CF1213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r w:rsidRPr="00FA52DD">
              <w:rPr>
                <w:b/>
                <w:lang w:val="en-US" w:eastAsia="en-US"/>
              </w:rPr>
              <w:t>Definition of category</w:t>
            </w:r>
          </w:p>
        </w:tc>
      </w:tr>
      <w:tr w:rsidR="000A507E" w:rsidRPr="00FA52DD" w14:paraId="662BE364" w14:textId="77777777" w:rsidTr="00874EC9">
        <w:tc>
          <w:tcPr>
            <w:tcW w:w="3024" w:type="dxa"/>
            <w:vMerge/>
            <w:tcBorders>
              <w:bottom w:val="single" w:sz="4" w:space="0" w:color="auto"/>
            </w:tcBorders>
          </w:tcPr>
          <w:p w14:paraId="1B38A7E2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678D4079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proofErr w:type="spellStart"/>
            <w:r w:rsidRPr="00FA52DD">
              <w:rPr>
                <w:b/>
                <w:lang w:val="en-US" w:eastAsia="en-US"/>
              </w:rPr>
              <w:t>Boro</w:t>
            </w:r>
            <w:proofErr w:type="spellEnd"/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30EF44B7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r w:rsidRPr="00FA52DD">
              <w:rPr>
                <w:b/>
                <w:lang w:val="en-US" w:eastAsia="en-US"/>
              </w:rPr>
              <w:t xml:space="preserve">T. </w:t>
            </w:r>
            <w:proofErr w:type="spellStart"/>
            <w:r w:rsidRPr="00FA52DD">
              <w:rPr>
                <w:b/>
                <w:lang w:val="en-US" w:eastAsia="en-US"/>
              </w:rPr>
              <w:t>Aman</w:t>
            </w:r>
            <w:proofErr w:type="spellEnd"/>
          </w:p>
        </w:tc>
      </w:tr>
      <w:tr w:rsidR="000A507E" w:rsidRPr="00FA52DD" w14:paraId="72F13ABA" w14:textId="77777777" w:rsidTr="00874EC9">
        <w:tc>
          <w:tcPr>
            <w:tcW w:w="3024" w:type="dxa"/>
            <w:tcBorders>
              <w:top w:val="single" w:sz="4" w:space="0" w:color="auto"/>
            </w:tcBorders>
          </w:tcPr>
          <w:p w14:paraId="3CBF5509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Long duration (days)</w:t>
            </w:r>
          </w:p>
        </w:tc>
        <w:tc>
          <w:tcPr>
            <w:tcW w:w="3024" w:type="dxa"/>
            <w:tcBorders>
              <w:top w:val="single" w:sz="4" w:space="0" w:color="auto"/>
            </w:tcBorders>
          </w:tcPr>
          <w:p w14:paraId="132E0EB7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More than 150</w:t>
            </w:r>
          </w:p>
        </w:tc>
        <w:tc>
          <w:tcPr>
            <w:tcW w:w="3024" w:type="dxa"/>
            <w:tcBorders>
              <w:top w:val="single" w:sz="4" w:space="0" w:color="auto"/>
            </w:tcBorders>
          </w:tcPr>
          <w:p w14:paraId="68F75127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More than 145</w:t>
            </w:r>
          </w:p>
        </w:tc>
      </w:tr>
      <w:tr w:rsidR="000A507E" w:rsidRPr="00FA52DD" w14:paraId="205FB3DC" w14:textId="77777777" w:rsidTr="00874EC9">
        <w:tc>
          <w:tcPr>
            <w:tcW w:w="3024" w:type="dxa"/>
          </w:tcPr>
          <w:p w14:paraId="2B66F18D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Medium duration (days)</w:t>
            </w:r>
          </w:p>
        </w:tc>
        <w:tc>
          <w:tcPr>
            <w:tcW w:w="3024" w:type="dxa"/>
          </w:tcPr>
          <w:p w14:paraId="274D6AFE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-</w:t>
            </w:r>
          </w:p>
        </w:tc>
        <w:tc>
          <w:tcPr>
            <w:tcW w:w="3024" w:type="dxa"/>
          </w:tcPr>
          <w:p w14:paraId="600E51A9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135 to 145</w:t>
            </w:r>
          </w:p>
        </w:tc>
      </w:tr>
      <w:tr w:rsidR="000A507E" w:rsidRPr="00FA52DD" w14:paraId="65CF15E0" w14:textId="77777777" w:rsidTr="00874EC9">
        <w:tc>
          <w:tcPr>
            <w:tcW w:w="3024" w:type="dxa"/>
          </w:tcPr>
          <w:p w14:paraId="1283D53E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Short duration (days)</w:t>
            </w:r>
          </w:p>
        </w:tc>
        <w:tc>
          <w:tcPr>
            <w:tcW w:w="3024" w:type="dxa"/>
          </w:tcPr>
          <w:p w14:paraId="66986897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Less than 150</w:t>
            </w:r>
          </w:p>
        </w:tc>
        <w:tc>
          <w:tcPr>
            <w:tcW w:w="3024" w:type="dxa"/>
          </w:tcPr>
          <w:p w14:paraId="7FF1441D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Less than 125</w:t>
            </w:r>
          </w:p>
        </w:tc>
      </w:tr>
      <w:tr w:rsidR="000A507E" w:rsidRPr="001A5B82" w14:paraId="6690B338" w14:textId="77777777" w:rsidTr="00874EC9">
        <w:tc>
          <w:tcPr>
            <w:tcW w:w="3024" w:type="dxa"/>
          </w:tcPr>
          <w:p w14:paraId="548730A1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Stress condition</w:t>
            </w:r>
          </w:p>
        </w:tc>
        <w:tc>
          <w:tcPr>
            <w:tcW w:w="3024" w:type="dxa"/>
          </w:tcPr>
          <w:p w14:paraId="61616CCC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Tolerance capacity against different stresses</w:t>
            </w:r>
          </w:p>
        </w:tc>
        <w:tc>
          <w:tcPr>
            <w:tcW w:w="3024" w:type="dxa"/>
          </w:tcPr>
          <w:p w14:paraId="7197C5EB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Tolerance capacity against different stresses</w:t>
            </w:r>
          </w:p>
        </w:tc>
      </w:tr>
      <w:tr w:rsidR="000A507E" w:rsidRPr="00FA52DD" w14:paraId="66A40FF4" w14:textId="77777777" w:rsidTr="00874EC9">
        <w:tc>
          <w:tcPr>
            <w:tcW w:w="3024" w:type="dxa"/>
            <w:tcBorders>
              <w:bottom w:val="single" w:sz="4" w:space="0" w:color="auto"/>
            </w:tcBorders>
          </w:tcPr>
          <w:p w14:paraId="58384615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Aromatic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01E56C33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-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59748877" w14:textId="77777777" w:rsidR="000A507E" w:rsidRPr="00FA52DD" w:rsidRDefault="000A507E" w:rsidP="00874EC9">
            <w:pPr>
              <w:keepNext/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Premium quality</w:t>
            </w:r>
          </w:p>
        </w:tc>
      </w:tr>
    </w:tbl>
    <w:p w14:paraId="00F573F0" w14:textId="62C14669" w:rsidR="000A507E" w:rsidRDefault="00874EC9" w:rsidP="00604F1F">
      <w:pPr>
        <w:rPr>
          <w:lang w:val="en-GB"/>
        </w:rPr>
      </w:pPr>
      <w:r>
        <w:rPr>
          <w:lang w:val="en-GB"/>
        </w:rPr>
        <w:t xml:space="preserve">Source: </w:t>
      </w:r>
      <w:r w:rsidRPr="00FA52DD">
        <w:rPr>
          <w:lang w:val="en-GB"/>
        </w:rPr>
        <w:t>Plant Breeders of BRRI and</w:t>
      </w:r>
      <w:r>
        <w:rPr>
          <w:lang w:val="en-GB"/>
        </w:rPr>
        <w:t xml:space="preserve"> BRRI (2017)</w:t>
      </w:r>
    </w:p>
    <w:p w14:paraId="1F37212B" w14:textId="3B2413B6" w:rsidR="000464AE" w:rsidRDefault="000464AE" w:rsidP="00604F1F">
      <w:pPr>
        <w:rPr>
          <w:lang w:val="en-GB"/>
        </w:rPr>
      </w:pPr>
    </w:p>
    <w:p w14:paraId="721507C7" w14:textId="77777777" w:rsidR="000464AE" w:rsidRDefault="000464AE" w:rsidP="00604F1F">
      <w:pPr>
        <w:rPr>
          <w:lang w:val="en-GB"/>
        </w:rPr>
      </w:pPr>
    </w:p>
    <w:p w14:paraId="7E7C2CB9" w14:textId="4F525146" w:rsidR="000A507E" w:rsidRPr="009113DD" w:rsidRDefault="009113DD" w:rsidP="00604F1F">
      <w:pPr>
        <w:rPr>
          <w:b/>
          <w:lang w:val="en-GB"/>
        </w:rPr>
      </w:pPr>
      <w:r w:rsidRPr="009113DD">
        <w:rPr>
          <w:b/>
          <w:lang w:val="en-GB"/>
        </w:rPr>
        <w:t>Material and Methods</w:t>
      </w:r>
    </w:p>
    <w:p w14:paraId="24646F62" w14:textId="77777777" w:rsidR="009113DD" w:rsidRDefault="009113DD" w:rsidP="00604F1F">
      <w:pPr>
        <w:rPr>
          <w:lang w:val="en-GB"/>
        </w:rPr>
      </w:pPr>
    </w:p>
    <w:p w14:paraId="32CAE048" w14:textId="6DA2827A" w:rsidR="007D5647" w:rsidRPr="006F1626" w:rsidRDefault="004244A4" w:rsidP="00604F1F">
      <w:pPr>
        <w:rPr>
          <w:b/>
          <w:lang w:val="en-GB"/>
        </w:rPr>
      </w:pPr>
      <w:r>
        <w:rPr>
          <w:b/>
          <w:lang w:val="en-GB"/>
        </w:rPr>
        <w:t>A</w:t>
      </w:r>
      <w:r w:rsidR="00BF42B0">
        <w:rPr>
          <w:b/>
          <w:lang w:val="en-GB"/>
        </w:rPr>
        <w:t>nalysi</w:t>
      </w:r>
      <w:r w:rsidR="00912B02" w:rsidRPr="006F1626">
        <w:rPr>
          <w:b/>
          <w:lang w:val="en-GB"/>
        </w:rPr>
        <w:t>s</w:t>
      </w:r>
      <w:r>
        <w:rPr>
          <w:b/>
          <w:lang w:val="en-GB"/>
        </w:rPr>
        <w:t xml:space="preserve"> of trends</w:t>
      </w:r>
    </w:p>
    <w:p w14:paraId="3068B7D8" w14:textId="77777777" w:rsidR="006F1626" w:rsidRDefault="006F1626" w:rsidP="006F1626">
      <w:pPr>
        <w:rPr>
          <w:b/>
          <w:lang w:val="en-GB"/>
        </w:rPr>
      </w:pPr>
    </w:p>
    <w:p w14:paraId="6B7A3770" w14:textId="5781FA35" w:rsidR="006F1626" w:rsidRPr="006F1626" w:rsidRDefault="006F1626" w:rsidP="006F1626">
      <w:pPr>
        <w:rPr>
          <w:b/>
          <w:i/>
          <w:lang w:val="en-GB"/>
        </w:rPr>
      </w:pPr>
      <w:r w:rsidRPr="006F1626">
        <w:rPr>
          <w:b/>
          <w:i/>
          <w:lang w:val="en-GB"/>
        </w:rPr>
        <w:t>Analysis of genetic and non-genetic trends</w:t>
      </w:r>
    </w:p>
    <w:p w14:paraId="61B0E047" w14:textId="77777777" w:rsidR="006F1626" w:rsidRDefault="006F1626" w:rsidP="00604F1F">
      <w:pPr>
        <w:rPr>
          <w:lang w:val="en-GB"/>
        </w:rPr>
      </w:pPr>
    </w:p>
    <w:p w14:paraId="3C6EAD47" w14:textId="102B325A" w:rsidR="007D5647" w:rsidRDefault="007D5647" w:rsidP="00604F1F">
      <w:pPr>
        <w:rPr>
          <w:lang w:val="en-GB"/>
        </w:rPr>
      </w:pPr>
      <w:r>
        <w:rPr>
          <w:lang w:val="en-GB"/>
        </w:rPr>
        <w:t xml:space="preserve">As there were no missing data and all trials had complete blocks, we </w:t>
      </w:r>
      <w:r w:rsidR="0008311C">
        <w:rPr>
          <w:lang w:val="en-GB"/>
        </w:rPr>
        <w:t xml:space="preserve">estimated </w:t>
      </w:r>
      <w:r w:rsidR="00991EF3">
        <w:rPr>
          <w:lang w:val="en-GB"/>
        </w:rPr>
        <w:t xml:space="preserve">genotype </w:t>
      </w:r>
      <w:r>
        <w:rPr>
          <w:lang w:val="en-GB"/>
        </w:rPr>
        <w:t xml:space="preserve">means </w:t>
      </w:r>
      <w:r w:rsidR="00991EF3">
        <w:rPr>
          <w:lang w:val="en-GB"/>
        </w:rPr>
        <w:t>for each year-location combination</w:t>
      </w:r>
      <w:r w:rsidR="004F6732">
        <w:rPr>
          <w:lang w:val="en-GB"/>
        </w:rPr>
        <w:t xml:space="preserve"> (</w:t>
      </w:r>
      <w:r w:rsidR="00B234CD">
        <w:rPr>
          <w:lang w:val="en-GB"/>
        </w:rPr>
        <w:t xml:space="preserve">Figures </w:t>
      </w:r>
      <w:r w:rsidR="00761346">
        <w:rPr>
          <w:lang w:val="en-GB"/>
        </w:rPr>
        <w:t>3</w:t>
      </w:r>
      <w:r w:rsidR="00B234CD">
        <w:rPr>
          <w:lang w:val="en-GB"/>
        </w:rPr>
        <w:t xml:space="preserve"> to </w:t>
      </w:r>
      <w:r w:rsidR="00761346">
        <w:rPr>
          <w:lang w:val="en-GB"/>
        </w:rPr>
        <w:t>6</w:t>
      </w:r>
      <w:r w:rsidR="004F6732">
        <w:rPr>
          <w:lang w:val="en-GB"/>
        </w:rPr>
        <w:t>)</w:t>
      </w:r>
      <w:r w:rsidR="00B234CD">
        <w:rPr>
          <w:lang w:val="en-GB"/>
        </w:rPr>
        <w:t xml:space="preserve">. </w:t>
      </w:r>
      <w:r w:rsidR="009B7792">
        <w:rPr>
          <w:lang w:val="en-GB"/>
        </w:rPr>
        <w:t>The model fitted in the second stage was</w:t>
      </w:r>
      <w:r w:rsidR="00755CE2">
        <w:rPr>
          <w:lang w:val="en-GB"/>
        </w:rPr>
        <w:t xml:space="preserve"> </w:t>
      </w:r>
      <w:r w:rsidR="00874EC9">
        <w:rPr>
          <w:lang w:val="en-GB"/>
        </w:rPr>
        <w:t>(</w:t>
      </w:r>
      <w:proofErr w:type="spellStart"/>
      <w:r w:rsidR="00874EC9">
        <w:rPr>
          <w:lang w:val="en-GB"/>
        </w:rPr>
        <w:t>Piepho</w:t>
      </w:r>
      <w:proofErr w:type="spellEnd"/>
      <w:r w:rsidR="00874EC9">
        <w:rPr>
          <w:lang w:val="en-GB"/>
        </w:rPr>
        <w:t xml:space="preserve"> et al., 2014)</w:t>
      </w:r>
    </w:p>
    <w:p w14:paraId="7CFA46E5" w14:textId="77777777" w:rsidR="009B7792" w:rsidRDefault="009B7792" w:rsidP="00604F1F">
      <w:pPr>
        <w:rPr>
          <w:lang w:val="en-GB"/>
        </w:rPr>
      </w:pPr>
    </w:p>
    <w:p w14:paraId="287EB1AF" w14:textId="41AB731C" w:rsidR="009A3B91" w:rsidRDefault="00F177E7" w:rsidP="009A3B91">
      <w:pPr>
        <w:tabs>
          <w:tab w:val="right" w:pos="9000"/>
        </w:tabs>
        <w:spacing w:line="360" w:lineRule="auto"/>
        <w:rPr>
          <w:lang w:val="en-GB"/>
        </w:rPr>
      </w:pPr>
      <w:r w:rsidRPr="00071CAA">
        <w:rPr>
          <w:position w:val="-14"/>
          <w:lang w:val="en-GB"/>
        </w:rPr>
        <w:object w:dxaOrig="6800" w:dyaOrig="380" w14:anchorId="3DEBA7F9">
          <v:shape id="_x0000_i1025" type="#_x0000_t75" style="width:339.75pt;height:20.25pt" o:ole="">
            <v:imagedata r:id="rId8" o:title=""/>
          </v:shape>
          <o:OLEObject Type="Embed" ProgID="Equation.3" ShapeID="_x0000_i1025" DrawAspect="Content" ObjectID="_1608376947" r:id="rId9"/>
        </w:object>
      </w:r>
      <w:r w:rsidR="009A3B91">
        <w:rPr>
          <w:lang w:val="en-GB"/>
        </w:rPr>
        <w:t>,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  <m:r>
          <w:rPr>
            <w:rFonts w:ascii="Cambria Math" w:hAnsi="Cambria Math"/>
            <w:lang w:val="en-GB"/>
          </w:rPr>
          <m:t>=μ+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γt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GB"/>
          </w:rPr>
          <m:t>β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jk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 w:rsidR="009A3B91">
        <w:rPr>
          <w:lang w:val="en-GB"/>
        </w:rPr>
        <w:tab/>
        <w:t>(1)</w:t>
      </w:r>
    </w:p>
    <w:p w14:paraId="1F734F08" w14:textId="73C5DE07" w:rsidR="007A4DCA" w:rsidRDefault="009A3B91" w:rsidP="004F6732">
      <w:pPr>
        <w:jc w:val="both"/>
        <w:rPr>
          <w:lang w:val="en-GB"/>
        </w:rPr>
      </w:pPr>
      <w:r>
        <w:rPr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the mean yield of the </w:t>
      </w:r>
      <w:proofErr w:type="spellStart"/>
      <w:r w:rsidRPr="00956799">
        <w:rPr>
          <w:i/>
          <w:lang w:val="en-GB"/>
        </w:rPr>
        <w:t>i</w:t>
      </w:r>
      <w:r w:rsidRPr="00956799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genotype in the </w:t>
      </w:r>
      <w:proofErr w:type="spellStart"/>
      <w:r w:rsidRPr="00956799">
        <w:rPr>
          <w:i/>
          <w:lang w:val="en-GB"/>
        </w:rPr>
        <w:t>j</w:t>
      </w:r>
      <w:r w:rsidRPr="00956799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location and </w:t>
      </w:r>
      <w:r w:rsidRPr="00956799">
        <w:rPr>
          <w:i/>
          <w:lang w:val="en-GB"/>
        </w:rPr>
        <w:t>k</w:t>
      </w:r>
      <w:r w:rsidRPr="00956799">
        <w:rPr>
          <w:vertAlign w:val="superscript"/>
          <w:lang w:val="en-GB"/>
        </w:rPr>
        <w:t>th</w:t>
      </w:r>
      <w:r>
        <w:rPr>
          <w:lang w:val="en-GB"/>
        </w:rPr>
        <w:t xml:space="preserve"> year, </w:t>
      </w:r>
      <m:oMath>
        <m:r>
          <w:rPr>
            <w:rFonts w:ascii="Cambria Math" w:hAnsi="Cambria Math"/>
            <w:lang w:val="en-GB"/>
          </w:rPr>
          <m:t>μ</m:t>
        </m:r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a </w:t>
      </w:r>
      <w:r w:rsidR="00D302A9">
        <w:rPr>
          <w:lang w:val="en-GB"/>
        </w:rPr>
        <w:t xml:space="preserve">fixed </w:t>
      </w:r>
      <w:r>
        <w:rPr>
          <w:lang w:val="en-GB"/>
        </w:rPr>
        <w:t xml:space="preserve">intercept, </w:t>
      </w:r>
      <m:oMath>
        <m:r>
          <w:rPr>
            <w:rFonts w:ascii="Cambria Math" w:hAnsi="Cambria Math"/>
            <w:lang w:val="en-GB"/>
          </w:rPr>
          <m:t>β</m:t>
        </m:r>
      </m:oMath>
      <w:r>
        <w:rPr>
          <w:lang w:val="en-GB"/>
        </w:rPr>
        <w:t xml:space="preserve"> is the </w:t>
      </w:r>
      <w:r w:rsidR="00D302A9">
        <w:rPr>
          <w:lang w:val="en-GB"/>
        </w:rPr>
        <w:t xml:space="preserve">fixed </w:t>
      </w:r>
      <w:r>
        <w:rPr>
          <w:lang w:val="en-GB"/>
        </w:rPr>
        <w:t xml:space="preserve">slope for genetic trend,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lang w:val="en-GB"/>
        </w:rPr>
        <w:t xml:space="preserve"> is the year of release for the </w:t>
      </w:r>
      <w:proofErr w:type="spellStart"/>
      <w:r w:rsidRPr="009A3B91">
        <w:rPr>
          <w:i/>
          <w:lang w:val="en-GB"/>
        </w:rPr>
        <w:t>i</w:t>
      </w:r>
      <w:r>
        <w:rPr>
          <w:lang w:val="en-GB"/>
        </w:rPr>
        <w:t>-th</w:t>
      </w:r>
      <w:proofErr w:type="spellEnd"/>
      <w:r>
        <w:rPr>
          <w:lang w:val="en-GB"/>
        </w:rPr>
        <w:t xml:space="preserve"> variety, </w:t>
      </w:r>
      <m:oMath>
        <m:r>
          <w:rPr>
            <w:rFonts w:ascii="Cambria Math" w:hAnsi="Cambria Math"/>
            <w:lang w:val="en-GB"/>
          </w:rPr>
          <m:t>γ</m:t>
        </m:r>
      </m:oMath>
      <w:r>
        <w:rPr>
          <w:lang w:val="en-GB"/>
        </w:rPr>
        <w:t xml:space="preserve"> is the </w:t>
      </w:r>
      <w:r w:rsidR="00D302A9">
        <w:rPr>
          <w:lang w:val="en-GB"/>
        </w:rPr>
        <w:t xml:space="preserve">fixed </w:t>
      </w:r>
      <w:r>
        <w:rPr>
          <w:lang w:val="en-GB"/>
        </w:rPr>
        <w:t xml:space="preserve">slope for non-genetic trend,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BB2B74">
        <w:rPr>
          <w:lang w:val="en-GB"/>
        </w:rPr>
        <w:t xml:space="preserve"> is the calendar year,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the </w:t>
      </w:r>
      <w:r w:rsidR="00D302A9">
        <w:rPr>
          <w:lang w:val="en-GB"/>
        </w:rPr>
        <w:t xml:space="preserve">random </w:t>
      </w:r>
      <w:r>
        <w:rPr>
          <w:lang w:val="en-GB"/>
        </w:rPr>
        <w:t xml:space="preserve">main effect of the </w:t>
      </w:r>
      <w:proofErr w:type="spellStart"/>
      <w:r w:rsidRPr="00956799">
        <w:rPr>
          <w:i/>
          <w:lang w:val="en-GB"/>
        </w:rPr>
        <w:t>i</w:t>
      </w:r>
      <w:r w:rsidRPr="00956799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genotype,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the </w:t>
      </w:r>
      <w:r w:rsidR="00D302A9">
        <w:rPr>
          <w:lang w:val="en-GB"/>
        </w:rPr>
        <w:t xml:space="preserve">random </w:t>
      </w:r>
      <w:r>
        <w:rPr>
          <w:lang w:val="en-GB"/>
        </w:rPr>
        <w:t xml:space="preserve">main effect of the </w:t>
      </w:r>
      <w:proofErr w:type="spellStart"/>
      <w:r w:rsidRPr="00956799">
        <w:rPr>
          <w:i/>
          <w:lang w:val="en-GB"/>
        </w:rPr>
        <w:t>j</w:t>
      </w:r>
      <w:r w:rsidRPr="00956799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location,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>
        <w:rPr>
          <w:lang w:val="en-GB"/>
        </w:rPr>
        <w:t xml:space="preserve"> is the </w:t>
      </w:r>
      <w:r w:rsidR="00D302A9">
        <w:rPr>
          <w:lang w:val="en-GB"/>
        </w:rPr>
        <w:t xml:space="preserve">random </w:t>
      </w:r>
      <w:r>
        <w:rPr>
          <w:lang w:val="en-GB"/>
        </w:rPr>
        <w:t xml:space="preserve">main effect of the </w:t>
      </w:r>
      <w:r w:rsidRPr="00956799">
        <w:rPr>
          <w:i/>
          <w:lang w:val="en-GB"/>
        </w:rPr>
        <w:t>k</w:t>
      </w:r>
      <w:r w:rsidRPr="00956799">
        <w:rPr>
          <w:vertAlign w:val="superscript"/>
          <w:lang w:val="en-GB"/>
        </w:rPr>
        <w:t>th</w:t>
      </w:r>
      <w:r>
        <w:rPr>
          <w:lang w:val="en-GB"/>
        </w:rPr>
        <w:t xml:space="preserve"> year,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jk</m:t>
            </m:r>
          </m:sub>
        </m:sSub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the </w:t>
      </w:r>
      <w:proofErr w:type="spellStart"/>
      <w:r w:rsidRPr="00956799">
        <w:rPr>
          <w:i/>
          <w:lang w:val="en-GB"/>
        </w:rPr>
        <w:t>jk</w:t>
      </w:r>
      <w:r w:rsidRPr="00956799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</w:t>
      </w:r>
      <w:r w:rsidR="00D302A9">
        <w:rPr>
          <w:lang w:val="en-GB"/>
        </w:rPr>
        <w:t xml:space="preserve">random </w:t>
      </w:r>
      <w:r>
        <w:rPr>
          <w:lang w:val="en-GB"/>
        </w:rPr>
        <w:t>location</w:t>
      </w:r>
      <w:r w:rsidR="00840C41">
        <w:rPr>
          <w:lang w:val="en-GB"/>
        </w:rPr>
        <w:t>-</w:t>
      </w:r>
      <w:r>
        <w:rPr>
          <w:lang w:val="en-GB"/>
        </w:rPr>
        <w:t xml:space="preserve">year interaction effect,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</m:oMath>
      <w:r>
        <w:rPr>
          <w:lang w:val="en-GB"/>
        </w:rPr>
        <w:t xml:space="preserve"> is the </w:t>
      </w:r>
      <w:proofErr w:type="spellStart"/>
      <w:r w:rsidRPr="00E101C2">
        <w:rPr>
          <w:i/>
          <w:lang w:val="en-GB"/>
        </w:rPr>
        <w:t>ij</w:t>
      </w:r>
      <w:r w:rsidRPr="00E101C2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</w:t>
      </w:r>
      <w:r w:rsidR="00D302A9">
        <w:rPr>
          <w:lang w:val="en-GB"/>
        </w:rPr>
        <w:t xml:space="preserve">random </w:t>
      </w:r>
      <w:r>
        <w:rPr>
          <w:lang w:val="en-GB"/>
        </w:rPr>
        <w:t>genotype</w:t>
      </w:r>
      <w:r w:rsidR="00840C41">
        <w:rPr>
          <w:lang w:val="en-GB"/>
        </w:rPr>
        <w:t>-</w:t>
      </w:r>
      <w:proofErr w:type="spellStart"/>
      <w:r w:rsidR="00840C41">
        <w:rPr>
          <w:lang w:val="en-GB"/>
        </w:rPr>
        <w:t>ocation</w:t>
      </w:r>
      <w:proofErr w:type="spellEnd"/>
      <w:r w:rsidR="00840C41">
        <w:rPr>
          <w:lang w:val="en-GB"/>
        </w:rPr>
        <w:t xml:space="preserve"> interaction effect,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ik</m:t>
            </m:r>
          </m:sub>
        </m:sSub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the </w:t>
      </w:r>
      <w:proofErr w:type="spellStart"/>
      <w:r w:rsidRPr="00E101C2">
        <w:rPr>
          <w:i/>
          <w:lang w:val="en-GB"/>
        </w:rPr>
        <w:t>ik</w:t>
      </w:r>
      <w:r w:rsidRPr="00E101C2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</w:t>
      </w:r>
      <w:r w:rsidR="00D302A9">
        <w:rPr>
          <w:lang w:val="en-GB"/>
        </w:rPr>
        <w:t xml:space="preserve">random </w:t>
      </w:r>
      <w:r>
        <w:rPr>
          <w:lang w:val="en-GB"/>
        </w:rPr>
        <w:t>genotype</w:t>
      </w:r>
      <w:r w:rsidR="00840C41">
        <w:rPr>
          <w:lang w:val="en-GB"/>
        </w:rPr>
        <w:t>-</w:t>
      </w:r>
      <w:r>
        <w:rPr>
          <w:lang w:val="en-GB"/>
        </w:rPr>
        <w:t xml:space="preserve">year interaction effect, </w:t>
      </w:r>
      <w:r w:rsidR="00912B02"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>
        <w:rPr>
          <w:lang w:val="en-GB"/>
        </w:rPr>
        <w:t xml:space="preserve"> </w:t>
      </w:r>
      <w:r w:rsidR="00912B02">
        <w:rPr>
          <w:lang w:val="en-GB"/>
        </w:rPr>
        <w:t xml:space="preserve">is </w:t>
      </w:r>
      <w:r w:rsidR="004F6732">
        <w:rPr>
          <w:lang w:val="en-GB"/>
        </w:rPr>
        <w:t xml:space="preserve">a </w:t>
      </w:r>
      <w:r w:rsidR="00D302A9">
        <w:rPr>
          <w:lang w:val="en-GB"/>
        </w:rPr>
        <w:t>random</w:t>
      </w:r>
      <w:r>
        <w:rPr>
          <w:lang w:val="en-GB"/>
        </w:rPr>
        <w:t xml:space="preserve"> </w:t>
      </w:r>
      <w:r w:rsidR="00912B02">
        <w:rPr>
          <w:lang w:val="en-GB"/>
        </w:rPr>
        <w:t xml:space="preserve">effect comprising </w:t>
      </w:r>
      <w:r>
        <w:rPr>
          <w:lang w:val="en-GB"/>
        </w:rPr>
        <w:t>genotype</w:t>
      </w:r>
      <w:r w:rsidR="009B79D4">
        <w:rPr>
          <w:lang w:val="en-GB"/>
        </w:rPr>
        <w:t>-</w:t>
      </w:r>
      <w:r>
        <w:rPr>
          <w:lang w:val="en-GB"/>
        </w:rPr>
        <w:t>location</w:t>
      </w:r>
      <w:r w:rsidR="009B79D4">
        <w:rPr>
          <w:lang w:val="en-GB"/>
        </w:rPr>
        <w:t>-</w:t>
      </w:r>
      <w:r>
        <w:rPr>
          <w:lang w:val="en-GB"/>
        </w:rPr>
        <w:t>year interaction</w:t>
      </w:r>
      <w:r w:rsidR="00D302A9">
        <w:rPr>
          <w:lang w:val="en-GB"/>
        </w:rPr>
        <w:t xml:space="preserve"> </w:t>
      </w:r>
      <w:r w:rsidR="00811729">
        <w:rPr>
          <w:lang w:val="en-GB"/>
        </w:rPr>
        <w:t>and</w:t>
      </w:r>
      <w:r w:rsidR="00912B02">
        <w:rPr>
          <w:lang w:val="en-GB"/>
        </w:rPr>
        <w:t xml:space="preserve"> experimental </w:t>
      </w:r>
      <w:r w:rsidR="00D302A9">
        <w:rPr>
          <w:lang w:val="en-GB"/>
        </w:rPr>
        <w:t>error</w:t>
      </w:r>
      <w:r w:rsidR="00912B02">
        <w:rPr>
          <w:lang w:val="en-GB"/>
        </w:rPr>
        <w:t xml:space="preserve">. </w:t>
      </w:r>
      <w:r w:rsidR="00D302A9">
        <w:rPr>
          <w:lang w:val="en-GB"/>
        </w:rPr>
        <w:t xml:space="preserve"> </w:t>
      </w:r>
      <w:r w:rsidR="00653F4D">
        <w:rPr>
          <w:lang w:val="en-GB"/>
        </w:rPr>
        <w:t xml:space="preserve">In model (1), the variance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 w:rsidR="00653F4D">
        <w:rPr>
          <w:lang w:val="en-GB"/>
        </w:rPr>
        <w:t xml:space="preserve"> is assumed to be known and equal to the variance </w:t>
      </w:r>
      <w:r w:rsidR="00D302A9">
        <w:rPr>
          <w:lang w:val="en-GB"/>
        </w:rPr>
        <w:t xml:space="preserve">of </w:t>
      </w:r>
      <w:r w:rsidR="00310688">
        <w:rPr>
          <w:lang w:val="en-GB"/>
        </w:rPr>
        <w:t xml:space="preserve">the corresponding </w:t>
      </w:r>
      <w:r w:rsidR="00653F4D">
        <w:rPr>
          <w:lang w:val="en-GB"/>
        </w:rPr>
        <w:t>genotype</w:t>
      </w:r>
      <w:r w:rsidR="00A75D27">
        <w:rPr>
          <w:lang w:val="en-GB"/>
        </w:rPr>
        <w:t>-locati</w:t>
      </w:r>
      <w:r w:rsidR="00B234CD">
        <w:rPr>
          <w:lang w:val="en-GB"/>
        </w:rPr>
        <w:t>on-year</w:t>
      </w:r>
      <w:r w:rsidR="00653F4D">
        <w:rPr>
          <w:lang w:val="en-GB"/>
        </w:rPr>
        <w:t xml:space="preserve"> </w:t>
      </w:r>
      <w:r w:rsidR="00D302A9">
        <w:rPr>
          <w:lang w:val="en-GB"/>
        </w:rPr>
        <w:t>mean</w:t>
      </w:r>
      <w:r w:rsidR="00653F4D">
        <w:rPr>
          <w:lang w:val="en-GB"/>
        </w:rPr>
        <w:t xml:space="preserve">. </w:t>
      </w:r>
    </w:p>
    <w:p w14:paraId="28F5DA30" w14:textId="248796D7" w:rsidR="00912B02" w:rsidRDefault="00912B02" w:rsidP="009A3B91">
      <w:pPr>
        <w:rPr>
          <w:lang w:val="en-GB"/>
        </w:rPr>
      </w:pPr>
    </w:p>
    <w:p w14:paraId="00B26CBB" w14:textId="77777777" w:rsidR="00912B02" w:rsidRDefault="00912B02" w:rsidP="009A3B91">
      <w:pPr>
        <w:rPr>
          <w:lang w:val="en-GB"/>
        </w:rPr>
      </w:pPr>
    </w:p>
    <w:p w14:paraId="76873C8C" w14:textId="75034B20" w:rsidR="00F177E7" w:rsidRPr="00FA407A" w:rsidRDefault="00F177E7" w:rsidP="00F177E7">
      <w:pPr>
        <w:rPr>
          <w:b/>
          <w:i/>
          <w:lang w:val="en-GB"/>
        </w:rPr>
      </w:pPr>
      <w:r w:rsidRPr="00FA407A">
        <w:rPr>
          <w:b/>
          <w:i/>
          <w:lang w:val="en-GB"/>
        </w:rPr>
        <w:t>Analysis of group-specific genetic trends</w:t>
      </w:r>
    </w:p>
    <w:p w14:paraId="50272F58" w14:textId="16415148" w:rsidR="00EE75B1" w:rsidRDefault="00F177E7" w:rsidP="00F177E7">
      <w:pPr>
        <w:rPr>
          <w:lang w:val="en-GB"/>
        </w:rPr>
      </w:pPr>
      <w:r w:rsidRPr="00F177E7">
        <w:rPr>
          <w:lang w:val="en-GB"/>
        </w:rPr>
        <w:t xml:space="preserve">In order to investigate if the genetic trend differs between </w:t>
      </w:r>
      <w:r w:rsidR="00AB72DB">
        <w:rPr>
          <w:lang w:val="en-GB"/>
        </w:rPr>
        <w:t>category</w:t>
      </w:r>
      <w:r w:rsidRPr="00F177E7">
        <w:rPr>
          <w:lang w:val="en-GB"/>
        </w:rPr>
        <w:t xml:space="preserve">, we estimated </w:t>
      </w:r>
      <w:r w:rsidR="00AB72DB">
        <w:rPr>
          <w:lang w:val="en-GB"/>
        </w:rPr>
        <w:t xml:space="preserve">category </w:t>
      </w:r>
      <w:r w:rsidRPr="00F177E7">
        <w:rPr>
          <w:lang w:val="en-GB"/>
        </w:rPr>
        <w:t xml:space="preserve">specific </w:t>
      </w:r>
      <w:r>
        <w:rPr>
          <w:lang w:val="en-GB"/>
        </w:rPr>
        <w:t>genetic trends. For this purpo</w:t>
      </w:r>
      <w:r w:rsidR="00E9055D">
        <w:rPr>
          <w:lang w:val="en-GB"/>
        </w:rPr>
        <w:t>se</w:t>
      </w:r>
      <w:r w:rsidR="0049578D">
        <w:rPr>
          <w:lang w:val="en-GB"/>
        </w:rPr>
        <w:t xml:space="preserve"> </w:t>
      </w:r>
      <w:r>
        <w:rPr>
          <w:lang w:val="en-GB"/>
        </w:rPr>
        <w:t xml:space="preserve">model (1) was </w:t>
      </w:r>
      <w:r w:rsidR="00E9055D">
        <w:rPr>
          <w:lang w:val="en-GB"/>
        </w:rPr>
        <w:t>e</w:t>
      </w:r>
      <w:r w:rsidR="004F6732">
        <w:rPr>
          <w:lang w:val="en-GB"/>
        </w:rPr>
        <w:t>x</w:t>
      </w:r>
      <w:r w:rsidR="00E9055D">
        <w:rPr>
          <w:lang w:val="en-GB"/>
        </w:rPr>
        <w:t xml:space="preserve">tended by </w:t>
      </w:r>
      <w:r>
        <w:rPr>
          <w:lang w:val="en-GB"/>
        </w:rPr>
        <w:t>a categor</w:t>
      </w:r>
      <w:r w:rsidR="0049578D">
        <w:rPr>
          <w:lang w:val="en-GB"/>
        </w:rPr>
        <w:t xml:space="preserve">y specific </w:t>
      </w:r>
      <w:r w:rsidR="00E9055D">
        <w:rPr>
          <w:lang w:val="en-GB"/>
        </w:rPr>
        <w:t xml:space="preserve">intercept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</m:oMath>
      <w:r w:rsidR="00500615">
        <w:rPr>
          <w:lang w:val="en-GB"/>
        </w:rPr>
        <w:t xml:space="preserve"> </w:t>
      </w:r>
      <w:r w:rsidR="00E9055D">
        <w:rPr>
          <w:lang w:val="en-GB"/>
        </w:rPr>
        <w:t xml:space="preserve">and </w:t>
      </w:r>
      <w:r w:rsidR="004F6732">
        <w:rPr>
          <w:lang w:val="en-GB"/>
        </w:rPr>
        <w:t>slope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</m:oMath>
      <w:r>
        <w:rPr>
          <w:lang w:val="en-GB"/>
        </w:rPr>
        <w:t xml:space="preserve">. </w:t>
      </w:r>
    </w:p>
    <w:p w14:paraId="62D7F08D" w14:textId="77777777" w:rsidR="00EE75B1" w:rsidRDefault="00EE75B1" w:rsidP="00F177E7">
      <w:pPr>
        <w:rPr>
          <w:lang w:val="en-GB"/>
        </w:rPr>
      </w:pPr>
    </w:p>
    <w:p w14:paraId="68ACFB46" w14:textId="19B16355" w:rsidR="00EE75B1" w:rsidRDefault="00EE75B1" w:rsidP="00EE75B1">
      <w:pPr>
        <w:tabs>
          <w:tab w:val="right" w:pos="9000"/>
        </w:tabs>
        <w:spacing w:line="360" w:lineRule="auto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  <m:r>
          <w:rPr>
            <w:rFonts w:ascii="Cambria Math" w:hAnsi="Cambria Math"/>
            <w:lang w:val="en-GB"/>
          </w:rPr>
          <m:t>=μ+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γt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jk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>
        <w:rPr>
          <w:lang w:val="en-GB"/>
        </w:rPr>
        <w:tab/>
        <w:t>(</w:t>
      </w:r>
      <w:r>
        <w:rPr>
          <w:lang w:val="en-GB"/>
        </w:rPr>
        <w:t>2</w:t>
      </w:r>
      <w:r>
        <w:rPr>
          <w:lang w:val="en-GB"/>
        </w:rPr>
        <w:t>)</w:t>
      </w:r>
    </w:p>
    <w:p w14:paraId="5D74CBE2" w14:textId="77777777" w:rsidR="00EE75B1" w:rsidRDefault="00EE75B1" w:rsidP="00F177E7">
      <w:pPr>
        <w:rPr>
          <w:lang w:val="en-GB"/>
        </w:rPr>
      </w:pPr>
    </w:p>
    <w:p w14:paraId="1A65FC98" w14:textId="10385DD7" w:rsidR="00F177E7" w:rsidRPr="00F177E7" w:rsidRDefault="00FD72F8" w:rsidP="00F177E7">
      <w:pPr>
        <w:rPr>
          <w:lang w:val="en-GB"/>
        </w:rPr>
      </w:pPr>
      <w:r>
        <w:rPr>
          <w:lang w:val="en-GB"/>
        </w:rPr>
        <w:t>This model allows to quantify</w:t>
      </w:r>
      <w:r w:rsidR="00BB6DEB">
        <w:rPr>
          <w:lang w:val="en-GB"/>
        </w:rPr>
        <w:t xml:space="preserve"> the genetic </w:t>
      </w:r>
      <w:r>
        <w:rPr>
          <w:lang w:val="en-GB"/>
        </w:rPr>
        <w:t>trends for each category an</w:t>
      </w:r>
      <w:r w:rsidR="00FB598A">
        <w:rPr>
          <w:lang w:val="en-GB"/>
        </w:rPr>
        <w:t xml:space="preserve">d to test if the trends differs between categories. </w:t>
      </w:r>
    </w:p>
    <w:p w14:paraId="7F4AEEE9" w14:textId="77777777" w:rsidR="00F177E7" w:rsidRPr="007D5647" w:rsidRDefault="00F177E7" w:rsidP="00F177E7">
      <w:pPr>
        <w:rPr>
          <w:b/>
          <w:lang w:val="en-GB"/>
        </w:rPr>
      </w:pPr>
    </w:p>
    <w:p w14:paraId="25ABB22F" w14:textId="14826073" w:rsidR="008569F3" w:rsidRDefault="008569F3" w:rsidP="009A3B91">
      <w:pPr>
        <w:rPr>
          <w:lang w:val="en-GB"/>
        </w:rPr>
      </w:pPr>
    </w:p>
    <w:p w14:paraId="68BAEAE6" w14:textId="26A2C26C" w:rsidR="00C56970" w:rsidRDefault="00C56970" w:rsidP="009A3B91">
      <w:pPr>
        <w:rPr>
          <w:lang w:val="en-GB"/>
        </w:rPr>
      </w:pPr>
    </w:p>
    <w:p w14:paraId="6160491E" w14:textId="1A0EEC89" w:rsidR="00C56970" w:rsidRDefault="00C56970" w:rsidP="009A3B91">
      <w:pPr>
        <w:rPr>
          <w:lang w:val="en-GB"/>
        </w:rPr>
      </w:pPr>
    </w:p>
    <w:p w14:paraId="2D3A9F3D" w14:textId="7E388512" w:rsidR="009B79D4" w:rsidRPr="007D5647" w:rsidRDefault="009B79D4" w:rsidP="009B79D4">
      <w:pPr>
        <w:rPr>
          <w:b/>
          <w:lang w:val="en-GB"/>
        </w:rPr>
      </w:pPr>
      <w:r w:rsidRPr="007D5647">
        <w:rPr>
          <w:b/>
          <w:lang w:val="en-GB"/>
        </w:rPr>
        <w:t>Analysis</w:t>
      </w:r>
      <w:r>
        <w:rPr>
          <w:b/>
          <w:lang w:val="en-GB"/>
        </w:rPr>
        <w:t xml:space="preserve"> of </w:t>
      </w:r>
      <w:r>
        <w:rPr>
          <w:b/>
          <w:lang w:val="en-GB"/>
        </w:rPr>
        <w:t>genotypic stability</w:t>
      </w:r>
    </w:p>
    <w:p w14:paraId="0965D3DA" w14:textId="77777777" w:rsidR="009B79D4" w:rsidRDefault="009B79D4" w:rsidP="009A3B91">
      <w:pPr>
        <w:rPr>
          <w:lang w:val="en-GB"/>
        </w:rPr>
      </w:pPr>
    </w:p>
    <w:p w14:paraId="2A530D87" w14:textId="77777777" w:rsidR="00BB6DEB" w:rsidRPr="00FA407A" w:rsidRDefault="00BB6DEB" w:rsidP="00BB6DEB">
      <w:pPr>
        <w:rPr>
          <w:b/>
          <w:i/>
          <w:lang w:val="en-GB"/>
        </w:rPr>
      </w:pPr>
      <w:r w:rsidRPr="00FA407A">
        <w:rPr>
          <w:b/>
          <w:i/>
          <w:lang w:val="en-GB"/>
        </w:rPr>
        <w:t>Shukla’s stability variance model</w:t>
      </w:r>
    </w:p>
    <w:p w14:paraId="4F3AC1A1" w14:textId="01BDB751" w:rsidR="00BB6DEB" w:rsidRDefault="00BB6DEB" w:rsidP="00BB6DEB">
      <w:pPr>
        <w:rPr>
          <w:lang w:val="en-GB"/>
        </w:rPr>
      </w:pPr>
      <w:r>
        <w:rPr>
          <w:lang w:val="en-GB"/>
        </w:rPr>
        <w:t xml:space="preserve">If (1) is </w:t>
      </w:r>
      <w:r w:rsidR="009B79D4">
        <w:rPr>
          <w:lang w:val="en-GB"/>
        </w:rPr>
        <w:t xml:space="preserve">extended by a random effect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>
        <w:rPr>
          <w:lang w:val="en-GB"/>
        </w:rPr>
        <w:t xml:space="preserve"> with</w:t>
      </w:r>
      <w:r w:rsidR="009B79D4">
        <w:rPr>
          <w:lang w:val="en-GB"/>
        </w:rPr>
        <w:t xml:space="preserve"> genotype-specific variances</w:t>
      </w:r>
      <w:r>
        <w:rPr>
          <w:lang w:val="en-GB"/>
        </w:rPr>
        <w:t xml:space="preserve"> we obtain a stability variance (Shukla 1972) based on the three-way interaction </w:t>
      </w:r>
    </w:p>
    <w:p w14:paraId="69009A3A" w14:textId="77777777" w:rsidR="009B79D4" w:rsidRDefault="009B79D4" w:rsidP="00BB6DEB">
      <w:pPr>
        <w:rPr>
          <w:lang w:val="en-GB"/>
        </w:rPr>
      </w:pPr>
    </w:p>
    <w:p w14:paraId="1C232DEC" w14:textId="3ACDA4CE" w:rsidR="00BB6DEB" w:rsidRPr="004E0CE0" w:rsidRDefault="001A5B82" w:rsidP="00BB6DEB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  <m:r>
          <w:rPr>
            <w:rFonts w:ascii="Cambria Math" w:hAnsi="Cambria Math"/>
            <w:lang w:val="en-GB"/>
          </w:rPr>
          <m:t>=μ+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γt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jk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 w:rsidR="00BB6DEB">
        <w:rPr>
          <w:lang w:val="en-GB"/>
        </w:rPr>
        <w:t xml:space="preserve">       </w:t>
      </w:r>
      <w:r w:rsidR="006A2DC8">
        <w:rPr>
          <w:lang w:val="en-GB"/>
        </w:rPr>
        <w:t xml:space="preserve"> </w:t>
      </w:r>
      <w:r w:rsidR="00BB6DEB">
        <w:rPr>
          <w:lang w:val="en-GB"/>
        </w:rPr>
        <w:t>(</w:t>
      </w:r>
      <w:r w:rsidR="006A2DC8">
        <w:rPr>
          <w:lang w:val="en-GB"/>
        </w:rPr>
        <w:t>3</w:t>
      </w:r>
      <w:r w:rsidR="00BB6DEB">
        <w:rPr>
          <w:lang w:val="en-GB"/>
        </w:rPr>
        <w:t>)</w:t>
      </w:r>
    </w:p>
    <w:p w14:paraId="0CA56C3D" w14:textId="77777777" w:rsidR="00BB6DEB" w:rsidRDefault="00BB6DEB" w:rsidP="00BB6DEB">
      <w:pPr>
        <w:rPr>
          <w:lang w:val="en-GB"/>
        </w:rPr>
      </w:pPr>
    </w:p>
    <w:p w14:paraId="413607CC" w14:textId="4A1F2ECE" w:rsidR="00BB6DEB" w:rsidRDefault="00BB6DEB" w:rsidP="00BB6DEB">
      <w:pPr>
        <w:rPr>
          <w:lang w:val="en-GB"/>
        </w:rPr>
      </w:pPr>
      <w:r>
        <w:rPr>
          <w:lang w:val="en-GB"/>
        </w:rPr>
        <w:t xml:space="preserve">where all terms </w:t>
      </w:r>
      <w:r w:rsidR="00EC7BC6">
        <w:rPr>
          <w:lang w:val="en-GB"/>
        </w:rPr>
        <w:t xml:space="preserve">but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 w:rsidR="00EC7BC6">
        <w:rPr>
          <w:lang w:val="en-GB"/>
        </w:rPr>
        <w:t xml:space="preserve"> </w:t>
      </w:r>
      <w:r>
        <w:rPr>
          <w:lang w:val="en-GB"/>
        </w:rPr>
        <w:t xml:space="preserve">are defined as in (1). </w:t>
      </w:r>
    </w:p>
    <w:p w14:paraId="50D5FA52" w14:textId="1F7582C6" w:rsidR="00BB6DEB" w:rsidRDefault="00BB6DEB" w:rsidP="00BB6DEB">
      <w:pPr>
        <w:rPr>
          <w:lang w:val="en-GB"/>
        </w:rPr>
      </w:pPr>
    </w:p>
    <w:p w14:paraId="7A26A158" w14:textId="77777777" w:rsidR="00FA407A" w:rsidRDefault="00FA407A" w:rsidP="00BB6DEB">
      <w:pPr>
        <w:rPr>
          <w:lang w:val="en-GB"/>
        </w:rPr>
      </w:pPr>
    </w:p>
    <w:p w14:paraId="70A0F290" w14:textId="77777777" w:rsidR="005F2E8E" w:rsidRDefault="005F2E8E" w:rsidP="00604F1F">
      <w:pPr>
        <w:rPr>
          <w:b/>
          <w:lang w:val="en-GB"/>
        </w:rPr>
      </w:pPr>
    </w:p>
    <w:p w14:paraId="0B596CD9" w14:textId="0A5EC464" w:rsidR="004609B7" w:rsidRDefault="004609B7" w:rsidP="00604F1F">
      <w:pPr>
        <w:rPr>
          <w:b/>
          <w:lang w:val="en-GB"/>
        </w:rPr>
      </w:pPr>
      <w:r w:rsidRPr="004609B7">
        <w:rPr>
          <w:b/>
          <w:lang w:val="en-GB"/>
        </w:rPr>
        <w:t>Results</w:t>
      </w:r>
    </w:p>
    <w:p w14:paraId="3D25FB39" w14:textId="566A2AF0" w:rsidR="00DF7248" w:rsidRDefault="00DF7248" w:rsidP="00604F1F">
      <w:pPr>
        <w:rPr>
          <w:b/>
          <w:lang w:val="en-GB"/>
        </w:rPr>
      </w:pPr>
    </w:p>
    <w:p w14:paraId="5672C904" w14:textId="77777777" w:rsidR="003E7005" w:rsidRPr="006F1626" w:rsidRDefault="003E7005" w:rsidP="003E7005">
      <w:pPr>
        <w:rPr>
          <w:b/>
          <w:i/>
          <w:lang w:val="en-GB"/>
        </w:rPr>
      </w:pPr>
      <w:r w:rsidRPr="006F1626">
        <w:rPr>
          <w:b/>
          <w:i/>
          <w:lang w:val="en-GB"/>
        </w:rPr>
        <w:t>Analysis of genetic and non-genetic trends</w:t>
      </w:r>
    </w:p>
    <w:p w14:paraId="30525CF7" w14:textId="77777777" w:rsidR="006F1626" w:rsidRDefault="006F1626" w:rsidP="00604F1F">
      <w:pPr>
        <w:rPr>
          <w:lang w:val="en-GB"/>
        </w:rPr>
      </w:pPr>
    </w:p>
    <w:p w14:paraId="7F323097" w14:textId="0A5015C4" w:rsidR="00A660C4" w:rsidRDefault="005F2E8E" w:rsidP="00604F1F">
      <w:pPr>
        <w:rPr>
          <w:lang w:val="en-GB"/>
        </w:rPr>
      </w:pPr>
      <w:r w:rsidRPr="005F2E8E">
        <w:rPr>
          <w:lang w:val="en-GB"/>
        </w:rPr>
        <w:t xml:space="preserve">The estimated genotype-location-year means are shown in Figures 3 to 6, where they are plotted against the trial year and the registration year. </w:t>
      </w:r>
      <w:r w:rsidR="001254B9" w:rsidRPr="001254B9">
        <w:rPr>
          <w:lang w:val="en-GB"/>
        </w:rPr>
        <w:t>Table 2 shows the fixed effects (genetic and non-genetic trend) and the variance components estimated using model (1)</w:t>
      </w:r>
      <w:r w:rsidR="004C505C">
        <w:rPr>
          <w:lang w:val="en-GB"/>
        </w:rPr>
        <w:t xml:space="preserve">, revealing a significant genetic trend for the </w:t>
      </w:r>
      <w:proofErr w:type="spellStart"/>
      <w:r w:rsidR="004C505C">
        <w:rPr>
          <w:lang w:val="en-GB"/>
        </w:rPr>
        <w:t>Boro</w:t>
      </w:r>
      <w:proofErr w:type="spellEnd"/>
      <w:r w:rsidR="004C505C">
        <w:rPr>
          <w:lang w:val="en-GB"/>
        </w:rPr>
        <w:t xml:space="preserve"> series. </w:t>
      </w:r>
    </w:p>
    <w:p w14:paraId="3ADE613E" w14:textId="77777777" w:rsidR="00DD3969" w:rsidRPr="001254B9" w:rsidRDefault="00DD3969" w:rsidP="00604F1F">
      <w:pPr>
        <w:rPr>
          <w:lang w:val="en-GB"/>
        </w:rPr>
      </w:pPr>
    </w:p>
    <w:p w14:paraId="2D9BF3EF" w14:textId="7D90EA3D" w:rsidR="003E7005" w:rsidRDefault="003E7005" w:rsidP="003E7005">
      <w:pPr>
        <w:rPr>
          <w:b/>
          <w:i/>
          <w:lang w:val="en-GB"/>
        </w:rPr>
      </w:pPr>
      <w:r w:rsidRPr="00FA407A">
        <w:rPr>
          <w:b/>
          <w:i/>
          <w:lang w:val="en-GB"/>
        </w:rPr>
        <w:t>Analysis of group-specific genetic trends</w:t>
      </w:r>
    </w:p>
    <w:p w14:paraId="3B771248" w14:textId="77777777" w:rsidR="003E7005" w:rsidRPr="00FA407A" w:rsidRDefault="003E7005" w:rsidP="003E7005">
      <w:pPr>
        <w:rPr>
          <w:b/>
          <w:i/>
          <w:lang w:val="en-GB"/>
        </w:rPr>
      </w:pPr>
    </w:p>
    <w:p w14:paraId="0F673D7F" w14:textId="1DF00007" w:rsidR="00DD3969" w:rsidRDefault="00224582" w:rsidP="00224582">
      <w:pPr>
        <w:jc w:val="both"/>
        <w:rPr>
          <w:lang w:val="en-GB"/>
        </w:rPr>
      </w:pPr>
      <w:r>
        <w:rPr>
          <w:lang w:val="en-GB"/>
        </w:rPr>
        <w:t>T</w:t>
      </w:r>
      <w:r w:rsidR="00DD3969" w:rsidRPr="006226D1">
        <w:rPr>
          <w:lang w:val="en-GB"/>
        </w:rPr>
        <w:t xml:space="preserve">he genetic trends for the </w:t>
      </w:r>
      <w:r w:rsidR="005D4E00">
        <w:rPr>
          <w:lang w:val="en-GB"/>
        </w:rPr>
        <w:t xml:space="preserve">different categories </w:t>
      </w:r>
      <w:r w:rsidR="00BE4A75">
        <w:rPr>
          <w:lang w:val="en-GB"/>
        </w:rPr>
        <w:t>estimated</w:t>
      </w:r>
      <w:r w:rsidR="00114675">
        <w:rPr>
          <w:lang w:val="en-GB"/>
        </w:rPr>
        <w:t xml:space="preserve"> </w:t>
      </w:r>
      <w:r>
        <w:rPr>
          <w:lang w:val="en-GB"/>
        </w:rPr>
        <w:t xml:space="preserve">by </w:t>
      </w:r>
      <w:r w:rsidR="00114675">
        <w:rPr>
          <w:lang w:val="en-GB"/>
        </w:rPr>
        <w:t>(2)</w:t>
      </w:r>
      <w:r>
        <w:rPr>
          <w:lang w:val="en-GB"/>
        </w:rPr>
        <w:t xml:space="preserve"> are displayed in </w:t>
      </w:r>
      <w:r w:rsidRPr="006226D1">
        <w:rPr>
          <w:lang w:val="en-GB"/>
        </w:rPr>
        <w:t xml:space="preserve">Table </w:t>
      </w:r>
      <w:r>
        <w:rPr>
          <w:lang w:val="en-GB"/>
        </w:rPr>
        <w:t>3</w:t>
      </w:r>
      <w:r w:rsidR="00BE4A75">
        <w:rPr>
          <w:lang w:val="en-GB"/>
        </w:rPr>
        <w:t>.</w:t>
      </w:r>
      <w:r w:rsidR="00BE4A75">
        <w:rPr>
          <w:lang w:val="en-GB"/>
        </w:rPr>
        <w:t xml:space="preserve"> </w:t>
      </w:r>
      <w:r w:rsidR="003D510A">
        <w:rPr>
          <w:lang w:val="en-GB"/>
        </w:rPr>
        <w:t xml:space="preserve">For the </w:t>
      </w:r>
      <w:proofErr w:type="spellStart"/>
      <w:r w:rsidR="003D510A">
        <w:rPr>
          <w:lang w:val="en-GB"/>
        </w:rPr>
        <w:t>Boro</w:t>
      </w:r>
      <w:proofErr w:type="spellEnd"/>
      <w:r w:rsidR="003D510A">
        <w:rPr>
          <w:lang w:val="en-GB"/>
        </w:rPr>
        <w:t xml:space="preserve"> series, the standard errors of the group specific intercepts and the overall intercept are fairly large to those of the </w:t>
      </w:r>
      <w:proofErr w:type="spellStart"/>
      <w:r w:rsidR="003D510A">
        <w:rPr>
          <w:lang w:val="en-GB"/>
        </w:rPr>
        <w:t>Aman</w:t>
      </w:r>
      <w:proofErr w:type="spellEnd"/>
      <w:r w:rsidR="003D510A">
        <w:rPr>
          <w:lang w:val="en-GB"/>
        </w:rPr>
        <w:t xml:space="preserve"> series. </w:t>
      </w:r>
      <w:r w:rsidR="00BE4A75">
        <w:rPr>
          <w:lang w:val="en-GB"/>
        </w:rPr>
        <w:t>Tables 4 and 5 show the differences of the genetic trends for each pair of categories and a test if the difference i</w:t>
      </w:r>
      <w:r w:rsidR="00A42812">
        <w:rPr>
          <w:lang w:val="en-GB"/>
        </w:rPr>
        <w:t>s</w:t>
      </w:r>
      <w:r w:rsidR="00BE4A75">
        <w:rPr>
          <w:lang w:val="en-GB"/>
        </w:rPr>
        <w:t xml:space="preserve"> </w:t>
      </w:r>
      <w:r w:rsidR="00A8772A">
        <w:rPr>
          <w:lang w:val="en-GB"/>
        </w:rPr>
        <w:t xml:space="preserve">significantly </w:t>
      </w:r>
      <w:r w:rsidR="00BE4A75">
        <w:rPr>
          <w:lang w:val="en-GB"/>
        </w:rPr>
        <w:t xml:space="preserve">different from zero.  </w:t>
      </w:r>
      <w:r w:rsidR="005D4E00">
        <w:rPr>
          <w:lang w:val="en-GB"/>
        </w:rPr>
        <w:t xml:space="preserve"> </w:t>
      </w:r>
    </w:p>
    <w:p w14:paraId="0D38FD7D" w14:textId="7E4A73CD" w:rsidR="00DD3969" w:rsidRDefault="00DD3969" w:rsidP="00DD3969">
      <w:pPr>
        <w:rPr>
          <w:b/>
          <w:lang w:val="en-GB"/>
        </w:rPr>
      </w:pPr>
    </w:p>
    <w:p w14:paraId="5AE7E96F" w14:textId="702EC1F3" w:rsidR="00DD3969" w:rsidRDefault="00DD3969" w:rsidP="00DD3969">
      <w:pPr>
        <w:rPr>
          <w:b/>
          <w:lang w:val="en-GB"/>
        </w:rPr>
      </w:pPr>
    </w:p>
    <w:p w14:paraId="54E667D6" w14:textId="77777777" w:rsidR="003E7005" w:rsidRPr="00FA407A" w:rsidRDefault="003E7005" w:rsidP="003E7005">
      <w:pPr>
        <w:rPr>
          <w:b/>
          <w:i/>
          <w:lang w:val="en-GB"/>
        </w:rPr>
      </w:pPr>
      <w:r w:rsidRPr="00FA407A">
        <w:rPr>
          <w:b/>
          <w:i/>
          <w:lang w:val="en-GB"/>
        </w:rPr>
        <w:t>Shukla’s stability variance model</w:t>
      </w:r>
    </w:p>
    <w:p w14:paraId="435A7948" w14:textId="77777777" w:rsidR="00DD3969" w:rsidRDefault="00DD3969" w:rsidP="00DD3969">
      <w:pPr>
        <w:rPr>
          <w:b/>
          <w:lang w:val="en-GB"/>
        </w:rPr>
      </w:pPr>
    </w:p>
    <w:p w14:paraId="603DE22B" w14:textId="22F48E86" w:rsidR="002E692E" w:rsidRDefault="00DD3969" w:rsidP="00DD3969">
      <w:pPr>
        <w:rPr>
          <w:lang w:val="en-GB"/>
        </w:rPr>
      </w:pPr>
      <w:r>
        <w:rPr>
          <w:lang w:val="en-GB"/>
        </w:rPr>
        <w:t xml:space="preserve">The Plots of the genotype specific variances </w:t>
      </w:r>
      <w:r>
        <w:rPr>
          <w:lang w:val="en-GB"/>
        </w:rPr>
        <w:t xml:space="preserve">based on Shukla’s stability variance model (3) </w:t>
      </w:r>
      <w:r w:rsidR="00EC2258">
        <w:rPr>
          <w:lang w:val="en-GB"/>
        </w:rPr>
        <w:t xml:space="preserve">are shown in </w:t>
      </w:r>
      <w:r w:rsidR="00EC2258">
        <w:rPr>
          <w:lang w:val="en-GB"/>
        </w:rPr>
        <w:t>Figures 7 and 8</w:t>
      </w:r>
      <w:r w:rsidR="00EC2258">
        <w:rPr>
          <w:lang w:val="en-GB"/>
        </w:rPr>
        <w:t xml:space="preserve">. These Figures </w:t>
      </w:r>
      <w:r>
        <w:rPr>
          <w:lang w:val="en-GB"/>
        </w:rPr>
        <w:t xml:space="preserve">clearly show that the standard errors of the variance components </w:t>
      </w:r>
      <w:r>
        <w:rPr>
          <w:lang w:val="en-GB"/>
        </w:rPr>
        <w:t>are</w:t>
      </w:r>
      <w:r>
        <w:rPr>
          <w:lang w:val="en-GB"/>
        </w:rPr>
        <w:t xml:space="preserve"> generally large for genotypes that were only observed in a few years. For the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data, such genotypes are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66”,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70”,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71”,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72”,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73”,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75”,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76”,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77”. </w:t>
      </w:r>
    </w:p>
    <w:p w14:paraId="00EBAA4F" w14:textId="12B40352" w:rsidR="00DD3969" w:rsidRDefault="00DD3969" w:rsidP="00DD3969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Boro</w:t>
      </w:r>
      <w:proofErr w:type="spellEnd"/>
      <w:r>
        <w:rPr>
          <w:lang w:val="en-GB"/>
        </w:rPr>
        <w:t xml:space="preserve">, genotypes “BR26”, “BRRI dhan67”, “BRRI dhan68”, “BRRI dhan69”, “BRRI dhan74” have large standard errors. </w:t>
      </w:r>
    </w:p>
    <w:p w14:paraId="17A47031" w14:textId="77777777" w:rsidR="001254B9" w:rsidRDefault="001254B9" w:rsidP="00604F1F">
      <w:pPr>
        <w:rPr>
          <w:b/>
          <w:lang w:val="en-GB"/>
        </w:rPr>
      </w:pPr>
    </w:p>
    <w:p w14:paraId="12709A61" w14:textId="40758BDA" w:rsidR="0051312D" w:rsidRDefault="0051312D" w:rsidP="00604F1F">
      <w:pPr>
        <w:rPr>
          <w:b/>
          <w:lang w:val="en-GB"/>
        </w:rPr>
      </w:pPr>
    </w:p>
    <w:p w14:paraId="1C379737" w14:textId="76E79D4B" w:rsidR="006B66E1" w:rsidRDefault="00C45F7D" w:rsidP="00B82FA4">
      <w:pPr>
        <w:keepNext/>
      </w:pPr>
      <w:r>
        <w:rPr>
          <w:b/>
          <w:lang w:val="en-GB"/>
        </w:rPr>
        <w:lastRenderedPageBreak/>
        <w:pict w14:anchorId="4CB85244">
          <v:shape id="_x0000_i1083" type="#_x0000_t75" style="width:453pt;height:270pt">
            <v:imagedata r:id="rId10" o:title="second data inspection means aman mean vs tj" croptop="3121f"/>
          </v:shape>
        </w:pict>
      </w:r>
    </w:p>
    <w:p w14:paraId="15E1D3E5" w14:textId="702BEC2E" w:rsidR="006B66E1" w:rsidRPr="00757EFF" w:rsidRDefault="006B66E1" w:rsidP="006B66E1">
      <w:pPr>
        <w:rPr>
          <w:lang w:val="en-GB"/>
        </w:rPr>
      </w:pPr>
      <w:r w:rsidRPr="00A57FD4">
        <w:rPr>
          <w:b/>
          <w:lang w:val="en-GB"/>
        </w:rPr>
        <w:t>Fig</w:t>
      </w:r>
      <w:r>
        <w:rPr>
          <w:b/>
          <w:lang w:val="en-GB"/>
        </w:rPr>
        <w:t>ure</w:t>
      </w:r>
      <w:r w:rsidRPr="00A57FD4">
        <w:rPr>
          <w:b/>
          <w:lang w:val="en-GB"/>
        </w:rPr>
        <w:t xml:space="preserve"> </w:t>
      </w:r>
      <w:r w:rsidR="00761346">
        <w:rPr>
          <w:b/>
          <w:lang w:val="en-GB"/>
        </w:rPr>
        <w:t>3</w:t>
      </w:r>
      <w:r w:rsidRPr="00A57FD4">
        <w:rPr>
          <w:b/>
          <w:lang w:val="en-GB"/>
        </w:rPr>
        <w:t>.</w:t>
      </w:r>
      <w:r>
        <w:rPr>
          <w:lang w:val="en-GB"/>
        </w:rPr>
        <w:t xml:space="preserve"> Genotype means per environment of T.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seasons plotted against </w:t>
      </w:r>
      <w:r w:rsidR="003210C0">
        <w:rPr>
          <w:lang w:val="en-GB"/>
        </w:rPr>
        <w:t xml:space="preserve">the </w:t>
      </w:r>
      <w:r>
        <w:rPr>
          <w:lang w:val="en-GB"/>
        </w:rPr>
        <w:t>calendar year of the respective trial. Colours indicate the year of release for the respective genotype.</w:t>
      </w:r>
    </w:p>
    <w:p w14:paraId="0DD98B39" w14:textId="259B1914" w:rsidR="0051312D" w:rsidRDefault="0051312D" w:rsidP="00B82FA4">
      <w:pPr>
        <w:pStyle w:val="Beschriftung"/>
        <w:rPr>
          <w:b/>
          <w:lang w:val="en-GB"/>
        </w:rPr>
      </w:pPr>
    </w:p>
    <w:p w14:paraId="1678D3E6" w14:textId="2BD868E2" w:rsidR="00387161" w:rsidRDefault="00C45F7D" w:rsidP="00B82FA4">
      <w:pPr>
        <w:keepNext/>
      </w:pPr>
      <w:r>
        <w:rPr>
          <w:b/>
          <w:lang w:val="en-GB"/>
        </w:rPr>
        <w:pict w14:anchorId="0B439D8F">
          <v:shape id="_x0000_i1084" type="#_x0000_t75" style="width:453pt;height:268.5pt">
            <v:imagedata r:id="rId11" o:title="second data inspection means aman mean vs ri" croptop="3468f"/>
          </v:shape>
        </w:pict>
      </w:r>
    </w:p>
    <w:p w14:paraId="52A93F39" w14:textId="11326753" w:rsidR="00387161" w:rsidRDefault="00387161" w:rsidP="00387161">
      <w:pPr>
        <w:rPr>
          <w:b/>
          <w:lang w:val="en-GB"/>
        </w:rPr>
      </w:pPr>
      <w:r>
        <w:rPr>
          <w:b/>
          <w:lang w:val="en-GB"/>
        </w:rPr>
        <w:t xml:space="preserve">Figure </w:t>
      </w:r>
      <w:r w:rsidR="00761346">
        <w:rPr>
          <w:b/>
          <w:lang w:val="en-GB"/>
        </w:rPr>
        <w:t>4</w:t>
      </w:r>
      <w:r>
        <w:rPr>
          <w:b/>
          <w:lang w:val="en-GB"/>
        </w:rPr>
        <w:t xml:space="preserve">. </w:t>
      </w:r>
      <w:r>
        <w:rPr>
          <w:lang w:val="en-GB"/>
        </w:rPr>
        <w:t xml:space="preserve">Genotype means per environment of T.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seasons plotted against </w:t>
      </w:r>
      <w:r w:rsidR="002E0C62">
        <w:rPr>
          <w:lang w:val="en-GB"/>
        </w:rPr>
        <w:t xml:space="preserve">the </w:t>
      </w:r>
      <w:r>
        <w:rPr>
          <w:lang w:val="en-GB"/>
        </w:rPr>
        <w:t>year of release for the respective genotype. Colours indicate the calendar year of the respective trial.</w:t>
      </w:r>
    </w:p>
    <w:p w14:paraId="68A36C52" w14:textId="19A74F6D" w:rsidR="00A660C4" w:rsidRDefault="00A660C4" w:rsidP="00604F1F">
      <w:pPr>
        <w:rPr>
          <w:b/>
          <w:lang w:val="en-GB"/>
        </w:rPr>
      </w:pPr>
    </w:p>
    <w:p w14:paraId="6CDC3AAD" w14:textId="66C24AAE" w:rsidR="00766510" w:rsidRDefault="00C45F7D" w:rsidP="00B82FA4">
      <w:pPr>
        <w:keepNext/>
      </w:pPr>
      <w:r>
        <w:rPr>
          <w:b/>
          <w:lang w:val="en-GB"/>
        </w:rPr>
        <w:lastRenderedPageBreak/>
        <w:pict w14:anchorId="5EDC082E">
          <v:shape id="_x0000_i1085" type="#_x0000_t75" style="width:453pt;height:271.5pt">
            <v:imagedata r:id="rId12" o:title="second data inspection means boro mean vs tj" croptop="2774f"/>
          </v:shape>
        </w:pict>
      </w:r>
    </w:p>
    <w:p w14:paraId="7455B2E2" w14:textId="44E65B6E" w:rsidR="00766510" w:rsidRPr="00757EFF" w:rsidRDefault="00766510" w:rsidP="00766510">
      <w:pPr>
        <w:rPr>
          <w:lang w:val="en-GB"/>
        </w:rPr>
      </w:pPr>
      <w:r w:rsidRPr="00A57FD4">
        <w:rPr>
          <w:b/>
          <w:lang w:val="en-GB"/>
        </w:rPr>
        <w:t>Fig</w:t>
      </w:r>
      <w:r>
        <w:rPr>
          <w:b/>
          <w:lang w:val="en-GB"/>
        </w:rPr>
        <w:t>ure</w:t>
      </w:r>
      <w:r w:rsidRPr="00A57FD4">
        <w:rPr>
          <w:b/>
          <w:lang w:val="en-GB"/>
        </w:rPr>
        <w:t xml:space="preserve"> </w:t>
      </w:r>
      <w:r w:rsidR="00761346">
        <w:rPr>
          <w:b/>
          <w:lang w:val="en-GB"/>
        </w:rPr>
        <w:t>5</w:t>
      </w:r>
      <w:r w:rsidRPr="00A57FD4">
        <w:rPr>
          <w:b/>
          <w:lang w:val="en-GB"/>
        </w:rPr>
        <w:t>.</w:t>
      </w:r>
      <w:r>
        <w:rPr>
          <w:lang w:val="en-GB"/>
        </w:rPr>
        <w:t xml:space="preserve"> Genotype means per environment of </w:t>
      </w:r>
      <w:proofErr w:type="spellStart"/>
      <w:r>
        <w:rPr>
          <w:lang w:val="en-GB"/>
        </w:rPr>
        <w:t>Boro</w:t>
      </w:r>
      <w:proofErr w:type="spellEnd"/>
      <w:r>
        <w:rPr>
          <w:lang w:val="en-GB"/>
        </w:rPr>
        <w:t xml:space="preserve"> seasons plotted against </w:t>
      </w:r>
      <w:r w:rsidR="002E0C62">
        <w:rPr>
          <w:lang w:val="en-GB"/>
        </w:rPr>
        <w:t xml:space="preserve">the </w:t>
      </w:r>
      <w:r>
        <w:rPr>
          <w:lang w:val="en-GB"/>
        </w:rPr>
        <w:t>calendar year of the respective trial. Colours indicate the year of release for the respective genotype.</w:t>
      </w:r>
    </w:p>
    <w:p w14:paraId="3ACE238C" w14:textId="77777777" w:rsidR="00766510" w:rsidRDefault="00766510" w:rsidP="00B82FA4">
      <w:pPr>
        <w:keepNext/>
        <w:rPr>
          <w:b/>
          <w:lang w:val="en-GB"/>
        </w:rPr>
      </w:pPr>
    </w:p>
    <w:p w14:paraId="2BFECCD8" w14:textId="77777777" w:rsidR="00766510" w:rsidRDefault="00766510" w:rsidP="00B82FA4">
      <w:pPr>
        <w:keepNext/>
        <w:rPr>
          <w:b/>
          <w:lang w:val="en-GB"/>
        </w:rPr>
      </w:pPr>
    </w:p>
    <w:p w14:paraId="7F103C8D" w14:textId="6110FB46" w:rsidR="00766510" w:rsidRDefault="00C45F7D" w:rsidP="00B82FA4">
      <w:pPr>
        <w:keepNext/>
      </w:pPr>
      <w:r>
        <w:rPr>
          <w:b/>
          <w:lang w:val="en-GB"/>
        </w:rPr>
        <w:pict w14:anchorId="53BB5BC6">
          <v:shape id="_x0000_i1086" type="#_x0000_t75" style="width:453pt;height:272.25pt">
            <v:imagedata r:id="rId13" o:title="second data inspection means boro mean vs ri" croptop="2601f"/>
          </v:shape>
        </w:pict>
      </w:r>
    </w:p>
    <w:p w14:paraId="55A4E3BD" w14:textId="3F2458CC" w:rsidR="00766510" w:rsidRDefault="00766510" w:rsidP="00766510">
      <w:pPr>
        <w:rPr>
          <w:b/>
          <w:lang w:val="en-GB"/>
        </w:rPr>
      </w:pPr>
      <w:r>
        <w:rPr>
          <w:b/>
          <w:lang w:val="en-GB"/>
        </w:rPr>
        <w:t xml:space="preserve">Figure </w:t>
      </w:r>
      <w:r w:rsidR="00761346">
        <w:rPr>
          <w:b/>
          <w:lang w:val="en-GB"/>
        </w:rPr>
        <w:t>6</w:t>
      </w:r>
      <w:r>
        <w:rPr>
          <w:b/>
          <w:lang w:val="en-GB"/>
        </w:rPr>
        <w:t xml:space="preserve">. </w:t>
      </w:r>
      <w:r>
        <w:rPr>
          <w:lang w:val="en-GB"/>
        </w:rPr>
        <w:t xml:space="preserve">Genotype means per environment of </w:t>
      </w:r>
      <w:proofErr w:type="spellStart"/>
      <w:r>
        <w:rPr>
          <w:lang w:val="en-GB"/>
        </w:rPr>
        <w:t>Boro</w:t>
      </w:r>
      <w:proofErr w:type="spellEnd"/>
      <w:r>
        <w:rPr>
          <w:lang w:val="en-GB"/>
        </w:rPr>
        <w:t xml:space="preserve"> seasons plotted against year of release for the respective genotype. Colours indicate the calendar year of the respective trial.</w:t>
      </w:r>
    </w:p>
    <w:p w14:paraId="6C627736" w14:textId="5A8BC12B" w:rsidR="00DF7248" w:rsidRDefault="00DF7248" w:rsidP="00604F1F">
      <w:pPr>
        <w:rPr>
          <w:b/>
          <w:lang w:val="en-GB"/>
        </w:rPr>
      </w:pPr>
    </w:p>
    <w:p w14:paraId="3E7E6FF4" w14:textId="5E3717F1" w:rsidR="00A660C4" w:rsidRDefault="00A660C4" w:rsidP="00604F1F">
      <w:pPr>
        <w:rPr>
          <w:b/>
          <w:lang w:val="en-GB"/>
        </w:rPr>
      </w:pPr>
    </w:p>
    <w:p w14:paraId="33CFA7E3" w14:textId="40240CFF" w:rsidR="00D87EAE" w:rsidRDefault="00D87EAE" w:rsidP="00604F1F">
      <w:pPr>
        <w:rPr>
          <w:b/>
          <w:lang w:val="en-GB"/>
        </w:rPr>
      </w:pPr>
    </w:p>
    <w:p w14:paraId="42136C07" w14:textId="46ED3602" w:rsidR="00C45F7D" w:rsidRDefault="00C45F7D" w:rsidP="00604F1F">
      <w:pPr>
        <w:rPr>
          <w:b/>
          <w:lang w:val="en-GB"/>
        </w:rPr>
      </w:pPr>
    </w:p>
    <w:p w14:paraId="153DD5E1" w14:textId="73EE1F4A" w:rsidR="00C45F7D" w:rsidRDefault="00C45F7D" w:rsidP="00604F1F">
      <w:pPr>
        <w:rPr>
          <w:b/>
          <w:lang w:val="en-GB"/>
        </w:rPr>
      </w:pPr>
    </w:p>
    <w:p w14:paraId="11335A2A" w14:textId="77777777" w:rsidR="00C45F7D" w:rsidRDefault="00C45F7D" w:rsidP="00604F1F">
      <w:pPr>
        <w:rPr>
          <w:b/>
          <w:lang w:val="en-GB"/>
        </w:rPr>
      </w:pPr>
    </w:p>
    <w:p w14:paraId="6689290E" w14:textId="77777777" w:rsidR="00D87EAE" w:rsidRDefault="00D87EAE" w:rsidP="00604F1F">
      <w:pPr>
        <w:rPr>
          <w:b/>
          <w:lang w:val="en-GB"/>
        </w:rPr>
      </w:pPr>
    </w:p>
    <w:p w14:paraId="31F315F1" w14:textId="1EBD24BB" w:rsidR="00E736CF" w:rsidRDefault="00E736CF" w:rsidP="00604F1F">
      <w:pPr>
        <w:rPr>
          <w:lang w:val="en-GB"/>
        </w:rPr>
      </w:pPr>
      <w:r w:rsidRPr="00E736CF">
        <w:rPr>
          <w:b/>
          <w:lang w:val="en-GB"/>
        </w:rPr>
        <w:t>Table</w:t>
      </w:r>
      <w:r w:rsidR="00433A03">
        <w:rPr>
          <w:b/>
          <w:lang w:val="en-GB"/>
        </w:rPr>
        <w:t xml:space="preserve"> </w:t>
      </w:r>
      <w:r w:rsidR="005F2E8E">
        <w:rPr>
          <w:b/>
          <w:lang w:val="en-GB"/>
        </w:rPr>
        <w:t>2</w:t>
      </w:r>
      <w:r>
        <w:rPr>
          <w:lang w:val="en-GB"/>
        </w:rPr>
        <w:t xml:space="preserve">: </w:t>
      </w:r>
      <w:r w:rsidR="00C57DCB">
        <w:rPr>
          <w:lang w:val="en-US"/>
        </w:rPr>
        <w:t>E</w:t>
      </w:r>
      <w:proofErr w:type="spellStart"/>
      <w:r>
        <w:rPr>
          <w:lang w:val="en-GB"/>
        </w:rPr>
        <w:t>stimates</w:t>
      </w:r>
      <w:proofErr w:type="spellEnd"/>
      <w:r>
        <w:rPr>
          <w:lang w:val="en-GB"/>
        </w:rPr>
        <w:t xml:space="preserve"> of fixed effects (t ha</w:t>
      </w:r>
      <w:r w:rsidRPr="00E736CF">
        <w:rPr>
          <w:vertAlign w:val="superscript"/>
          <w:lang w:val="en-GB"/>
        </w:rPr>
        <w:t>-1</w:t>
      </w:r>
      <w:r>
        <w:rPr>
          <w:lang w:val="en-GB"/>
        </w:rPr>
        <w:t>) and variance components (t</w:t>
      </w:r>
      <w:r w:rsidRPr="00E736CF">
        <w:rPr>
          <w:vertAlign w:val="superscript"/>
          <w:lang w:val="en-GB"/>
        </w:rPr>
        <w:t>2</w:t>
      </w:r>
      <w:r>
        <w:rPr>
          <w:lang w:val="en-GB"/>
        </w:rPr>
        <w:t xml:space="preserve"> ha</w:t>
      </w:r>
      <w:r w:rsidRPr="00E736CF">
        <w:rPr>
          <w:vertAlign w:val="superscript"/>
          <w:lang w:val="en-GB"/>
        </w:rPr>
        <w:t>-2</w:t>
      </w:r>
      <w:r>
        <w:rPr>
          <w:lang w:val="en-GB"/>
        </w:rPr>
        <w:t>)</w:t>
      </w:r>
      <w:r w:rsidR="00C57DCB">
        <w:rPr>
          <w:lang w:val="en-GB"/>
        </w:rPr>
        <w:t xml:space="preserve"> using model (1).</w:t>
      </w:r>
      <w:r w:rsidR="001F6EFF">
        <w:rPr>
          <w:lang w:val="en-GB"/>
        </w:rPr>
        <w:t xml:space="preserve"> </w:t>
      </w:r>
    </w:p>
    <w:tbl>
      <w:tblPr>
        <w:tblW w:w="10020" w:type="dxa"/>
        <w:tblLayout w:type="fixed"/>
        <w:tblLook w:val="01E0" w:firstRow="1" w:lastRow="1" w:firstColumn="1" w:lastColumn="1" w:noHBand="0" w:noVBand="0"/>
      </w:tblPr>
      <w:tblGrid>
        <w:gridCol w:w="2405"/>
        <w:gridCol w:w="1134"/>
        <w:gridCol w:w="2552"/>
        <w:gridCol w:w="1138"/>
        <w:gridCol w:w="2791"/>
      </w:tblGrid>
      <w:tr w:rsidR="00F4773C" w:rsidRPr="00B71768" w14:paraId="7F26179D" w14:textId="77777777" w:rsidTr="00F4773C">
        <w:trPr>
          <w:trHeight w:val="256"/>
        </w:trPr>
        <w:tc>
          <w:tcPr>
            <w:tcW w:w="2405" w:type="dxa"/>
            <w:shd w:val="clear" w:color="auto" w:fill="auto"/>
          </w:tcPr>
          <w:p w14:paraId="559D95FE" w14:textId="612AF16E" w:rsidR="00F4773C" w:rsidRPr="00B71768" w:rsidRDefault="00F4773C" w:rsidP="000F3610">
            <w:pPr>
              <w:rPr>
                <w:lang w:val="en-GB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9B0700" w14:textId="0AE20087" w:rsidR="00F4773C" w:rsidRPr="00B71768" w:rsidRDefault="00F4773C" w:rsidP="002E0C62">
            <w:pPr>
              <w:jc w:val="center"/>
              <w:rPr>
                <w:lang w:val="en-GB"/>
              </w:rPr>
            </w:pPr>
            <w:proofErr w:type="spellStart"/>
            <w:r w:rsidRPr="00B71768">
              <w:rPr>
                <w:lang w:val="en-GB"/>
              </w:rPr>
              <w:t>Aman</w:t>
            </w:r>
            <w:proofErr w:type="spellEnd"/>
          </w:p>
        </w:tc>
        <w:tc>
          <w:tcPr>
            <w:tcW w:w="39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D1EAB6" w14:textId="55F39F01" w:rsidR="00F4773C" w:rsidRPr="00B71768" w:rsidRDefault="00F4773C" w:rsidP="002E0C62">
            <w:pPr>
              <w:jc w:val="center"/>
              <w:rPr>
                <w:lang w:val="en-GB"/>
              </w:rPr>
            </w:pPr>
            <w:proofErr w:type="spellStart"/>
            <w:r w:rsidRPr="00B71768">
              <w:rPr>
                <w:lang w:val="en-GB"/>
              </w:rPr>
              <w:t>Boro</w:t>
            </w:r>
            <w:proofErr w:type="spellEnd"/>
          </w:p>
        </w:tc>
      </w:tr>
      <w:tr w:rsidR="00F4773C" w:rsidRPr="001A5B82" w14:paraId="37CD11AF" w14:textId="77777777" w:rsidTr="00F4773C">
        <w:trPr>
          <w:trHeight w:val="526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4D785" w14:textId="29F008BF" w:rsidR="00F4773C" w:rsidRPr="00B71768" w:rsidRDefault="00F4773C" w:rsidP="00F4773C">
            <w:pPr>
              <w:jc w:val="center"/>
              <w:rPr>
                <w:lang w:val="en-GB"/>
              </w:rPr>
            </w:pPr>
            <w:r w:rsidRPr="00B71768">
              <w:rPr>
                <w:lang w:val="en-GB"/>
              </w:rPr>
              <w:t>Fixed effects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AD0252" w14:textId="77777777" w:rsidR="00F4773C" w:rsidRPr="00393829" w:rsidRDefault="00F4773C" w:rsidP="00F4773C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393829">
              <w:t>Estimate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8E61BD" w14:textId="4CF47B3B" w:rsidR="00F4773C" w:rsidRPr="00B71768" w:rsidRDefault="00F4773C" w:rsidP="00F4773C">
            <w:pPr>
              <w:autoSpaceDE w:val="0"/>
              <w:autoSpaceDN w:val="0"/>
              <w:adjustRightInd w:val="0"/>
              <w:jc w:val="center"/>
              <w:rPr>
                <w:lang w:val="en-GB"/>
              </w:rPr>
            </w:pPr>
            <w:r w:rsidRPr="00B71768">
              <w:rPr>
                <w:lang w:val="en-GB"/>
              </w:rPr>
              <w:t xml:space="preserve">Standard error </w:t>
            </w:r>
            <w:r>
              <w:rPr>
                <w:lang w:val="en-GB"/>
              </w:rPr>
              <w:t>(p-value</w:t>
            </w:r>
            <w:r w:rsidRPr="00B71768">
              <w:rPr>
                <w:lang w:val="en-GB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48897E" w14:textId="55813EAF" w:rsidR="00F4773C" w:rsidRPr="00B71768" w:rsidRDefault="00F4773C" w:rsidP="00F4773C">
            <w:pPr>
              <w:jc w:val="center"/>
              <w:rPr>
                <w:lang w:val="en-GB"/>
              </w:rPr>
            </w:pPr>
            <w:r w:rsidRPr="00B71768">
              <w:rPr>
                <w:lang w:val="en-GB"/>
              </w:rPr>
              <w:t>Estimate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8581B0" w14:textId="220FBF0A" w:rsidR="00F4773C" w:rsidRPr="00B71768" w:rsidRDefault="00F4773C" w:rsidP="00F4773C">
            <w:pPr>
              <w:jc w:val="center"/>
              <w:rPr>
                <w:lang w:val="en-GB"/>
              </w:rPr>
            </w:pPr>
            <w:r w:rsidRPr="00B71768">
              <w:rPr>
                <w:lang w:val="en-GB"/>
              </w:rPr>
              <w:t>Standard error</w:t>
            </w:r>
            <w:r>
              <w:rPr>
                <w:lang w:val="en-GB"/>
              </w:rPr>
              <w:t xml:space="preserve"> </w:t>
            </w:r>
            <w:r w:rsidRPr="00B71768">
              <w:rPr>
                <w:lang w:val="en-GB"/>
              </w:rPr>
              <w:t>(p-value)</w:t>
            </w:r>
          </w:p>
        </w:tc>
      </w:tr>
      <w:tr w:rsidR="00F4773C" w:rsidRPr="00B71768" w14:paraId="45869DB9" w14:textId="77777777" w:rsidTr="00F4773C">
        <w:trPr>
          <w:trHeight w:val="512"/>
        </w:trPr>
        <w:tc>
          <w:tcPr>
            <w:tcW w:w="24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2085F6" w14:textId="5332D8D5" w:rsidR="00F4773C" w:rsidRPr="00B71768" w:rsidRDefault="00F4773C" w:rsidP="00F4773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μ</m:t>
              </m:r>
            </m:oMath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BFF554" w14:textId="3FDAB3C6" w:rsidR="00F4773C" w:rsidRPr="00AA4352" w:rsidRDefault="00F4773C" w:rsidP="00F4773C">
            <w:pPr>
              <w:autoSpaceDE w:val="0"/>
              <w:autoSpaceDN w:val="0"/>
              <w:adjustRightInd w:val="0"/>
              <w:jc w:val="right"/>
            </w:pPr>
            <w:r>
              <w:t>-56.0899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E4E30A" w14:textId="58A51A8E" w:rsidR="00F4773C" w:rsidRPr="002168C6" w:rsidRDefault="00F4773C" w:rsidP="00F4773C">
            <w:pPr>
              <w:autoSpaceDE w:val="0"/>
              <w:autoSpaceDN w:val="0"/>
              <w:adjustRightInd w:val="0"/>
              <w:jc w:val="right"/>
            </w:pPr>
            <w:r w:rsidRPr="002168C6">
              <w:t xml:space="preserve"> </w:t>
            </w:r>
            <w:r>
              <w:t>39.7316</w:t>
            </w:r>
            <w:r>
              <w:t xml:space="preserve"> </w:t>
            </w:r>
            <w:r w:rsidRPr="002168C6">
              <w:t xml:space="preserve">(p = </w:t>
            </w:r>
            <w:r>
              <w:t>0.1857</w:t>
            </w:r>
            <w:r w:rsidRPr="002168C6">
              <w:t>)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E6D989" w14:textId="6A836230" w:rsidR="00F4773C" w:rsidRPr="002168C6" w:rsidRDefault="00F4773C" w:rsidP="00F4773C">
            <w:pPr>
              <w:autoSpaceDE w:val="0"/>
              <w:autoSpaceDN w:val="0"/>
              <w:adjustRightInd w:val="0"/>
              <w:jc w:val="right"/>
            </w:pPr>
            <w:r>
              <w:t>-45.5913</w:t>
            </w:r>
          </w:p>
        </w:tc>
        <w:tc>
          <w:tcPr>
            <w:tcW w:w="27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3453FA" w14:textId="5955FA81" w:rsidR="00F4773C" w:rsidRPr="002168C6" w:rsidRDefault="00F4773C" w:rsidP="00F4773C">
            <w:pPr>
              <w:autoSpaceDE w:val="0"/>
              <w:autoSpaceDN w:val="0"/>
              <w:adjustRightInd w:val="0"/>
              <w:jc w:val="right"/>
            </w:pPr>
            <w:r w:rsidRPr="002168C6">
              <w:t xml:space="preserve"> </w:t>
            </w:r>
            <w:r>
              <w:t>39.6475</w:t>
            </w:r>
            <w:r>
              <w:t xml:space="preserve"> </w:t>
            </w:r>
            <w:r>
              <w:t>(p=0.2726)</w:t>
            </w:r>
          </w:p>
        </w:tc>
      </w:tr>
      <w:tr w:rsidR="00F4773C" w:rsidRPr="002E0C62" w14:paraId="138E9920" w14:textId="77777777" w:rsidTr="00F4773C">
        <w:trPr>
          <w:trHeight w:val="526"/>
        </w:trPr>
        <w:tc>
          <w:tcPr>
            <w:tcW w:w="2405" w:type="dxa"/>
            <w:shd w:val="clear" w:color="auto" w:fill="auto"/>
            <w:vAlign w:val="center"/>
          </w:tcPr>
          <w:p w14:paraId="585D9E71" w14:textId="5BC12CD9" w:rsidR="00F4773C" w:rsidRPr="00B71768" w:rsidRDefault="00F4773C" w:rsidP="00F4773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β</m:t>
              </m:r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1A9445E5" w14:textId="278A5841" w:rsidR="00F4773C" w:rsidRPr="00AA4352" w:rsidRDefault="00F4773C" w:rsidP="00F4773C">
            <w:pPr>
              <w:autoSpaceDE w:val="0"/>
              <w:autoSpaceDN w:val="0"/>
              <w:adjustRightInd w:val="0"/>
              <w:jc w:val="right"/>
            </w:pPr>
            <w:r>
              <w:t>0.0053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54A2ACC" w14:textId="38D7B05D" w:rsidR="00F4773C" w:rsidRPr="002E0C62" w:rsidRDefault="00F4773C" w:rsidP="00F4773C">
            <w:pPr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>0.0062</w:t>
            </w:r>
            <w:r>
              <w:rPr>
                <w:lang w:val="en-GB"/>
              </w:rPr>
              <w:t xml:space="preserve"> </w:t>
            </w:r>
            <w:r w:rsidRPr="002E0C62">
              <w:rPr>
                <w:lang w:val="en-GB"/>
              </w:rPr>
              <w:t xml:space="preserve">(p= </w:t>
            </w:r>
            <w:r w:rsidRPr="002E0C62">
              <w:rPr>
                <w:lang w:val="en-GB"/>
              </w:rPr>
              <w:t>0.3946</w:t>
            </w:r>
            <w:r w:rsidRPr="002E0C62">
              <w:rPr>
                <w:lang w:val="en-GB"/>
              </w:rPr>
              <w:t>)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958AE53" w14:textId="2F2C2549" w:rsidR="00F4773C" w:rsidRPr="002E0C62" w:rsidRDefault="00F4773C" w:rsidP="00F4773C">
            <w:pPr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 xml:space="preserve"> </w:t>
            </w:r>
            <w:r w:rsidRPr="002E0C62">
              <w:rPr>
                <w:lang w:val="en-GB"/>
              </w:rPr>
              <w:t>0.01050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6A24744D" w14:textId="2E1221E0" w:rsidR="00F4773C" w:rsidRPr="002E0C62" w:rsidRDefault="00F4773C" w:rsidP="00F4773C">
            <w:pPr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>0.0035</w:t>
            </w:r>
            <w:r>
              <w:rPr>
                <w:lang w:val="en-GB"/>
              </w:rPr>
              <w:t xml:space="preserve"> </w:t>
            </w:r>
            <w:r w:rsidRPr="002E0C62">
              <w:rPr>
                <w:lang w:val="en-GB"/>
              </w:rPr>
              <w:t>(p=</w:t>
            </w:r>
            <w:r w:rsidRPr="002E0C62">
              <w:rPr>
                <w:lang w:val="en-GB"/>
              </w:rPr>
              <w:t>0.0027</w:t>
            </w:r>
            <w:r w:rsidRPr="002E0C62">
              <w:rPr>
                <w:lang w:val="en-GB"/>
              </w:rPr>
              <w:t>)</w:t>
            </w:r>
          </w:p>
        </w:tc>
      </w:tr>
      <w:tr w:rsidR="00F4773C" w:rsidRPr="002E0C62" w14:paraId="41E0AF3D" w14:textId="77777777" w:rsidTr="00E64E20">
        <w:trPr>
          <w:trHeight w:val="512"/>
        </w:trPr>
        <w:tc>
          <w:tcPr>
            <w:tcW w:w="2405" w:type="dxa"/>
            <w:shd w:val="clear" w:color="auto" w:fill="auto"/>
            <w:vAlign w:val="center"/>
          </w:tcPr>
          <w:p w14:paraId="60950A5C" w14:textId="414202E4" w:rsidR="00F4773C" w:rsidRPr="00B71768" w:rsidRDefault="00F4773C" w:rsidP="00F4773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γ</m:t>
              </m:r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50BB4BEE" w14:textId="3E81A3C3" w:rsidR="00F4773C" w:rsidRPr="002E0C62" w:rsidRDefault="00F4773C" w:rsidP="00F4773C">
            <w:pPr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 xml:space="preserve"> </w:t>
            </w:r>
            <w:r w:rsidRPr="002E0C62">
              <w:rPr>
                <w:lang w:val="en-GB"/>
              </w:rPr>
              <w:t>0.0246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C5CC181" w14:textId="354FB5BD" w:rsidR="00F4773C" w:rsidRPr="002E0C62" w:rsidRDefault="00F4773C" w:rsidP="00F4773C">
            <w:pPr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>0.0188</w:t>
            </w:r>
            <w:r>
              <w:rPr>
                <w:lang w:val="en-GB"/>
              </w:rPr>
              <w:t xml:space="preserve"> </w:t>
            </w:r>
            <w:r w:rsidRPr="002E0C62">
              <w:rPr>
                <w:lang w:val="en-GB"/>
              </w:rPr>
              <w:t xml:space="preserve">(p= </w:t>
            </w:r>
            <w:r w:rsidRPr="002E0C62">
              <w:rPr>
                <w:lang w:val="en-GB"/>
              </w:rPr>
              <w:t>0.1927</w:t>
            </w:r>
            <w:r w:rsidRPr="002E0C62">
              <w:rPr>
                <w:lang w:val="en-GB"/>
              </w:rPr>
              <w:t>)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D7835BF" w14:textId="35D4D42F" w:rsidR="00F4773C" w:rsidRPr="002E0C62" w:rsidRDefault="00F4773C" w:rsidP="00F4773C">
            <w:pPr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 xml:space="preserve"> </w:t>
            </w:r>
            <w:r w:rsidRPr="002E0C62">
              <w:rPr>
                <w:lang w:val="en-GB"/>
              </w:rPr>
              <w:t>0.01502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17B2CFF5" w14:textId="4B2F3C05" w:rsidR="00F4773C" w:rsidRPr="002E0C62" w:rsidRDefault="00F4773C" w:rsidP="00F4773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2E0C62">
              <w:rPr>
                <w:lang w:val="en-GB"/>
              </w:rPr>
              <w:t>0.0195</w:t>
            </w:r>
            <w:r>
              <w:rPr>
                <w:lang w:val="en-GB"/>
              </w:rPr>
              <w:t xml:space="preserve"> </w:t>
            </w:r>
            <w:r w:rsidRPr="002E0C62">
              <w:rPr>
                <w:lang w:val="en-GB"/>
              </w:rPr>
              <w:t xml:space="preserve">(p= </w:t>
            </w:r>
            <w:r w:rsidRPr="002E0C62">
              <w:rPr>
                <w:lang w:val="en-GB"/>
              </w:rPr>
              <w:t>0.4411</w:t>
            </w:r>
            <w:r w:rsidRPr="002E0C62">
              <w:rPr>
                <w:lang w:val="en-GB"/>
              </w:rPr>
              <w:t>)</w:t>
            </w:r>
          </w:p>
        </w:tc>
      </w:tr>
      <w:tr w:rsidR="00E64E20" w:rsidRPr="002E0C62" w14:paraId="6B7C20A0" w14:textId="77777777" w:rsidTr="00E64E20">
        <w:trPr>
          <w:trHeight w:val="284"/>
        </w:trPr>
        <w:tc>
          <w:tcPr>
            <w:tcW w:w="2405" w:type="dxa"/>
            <w:shd w:val="clear" w:color="auto" w:fill="auto"/>
            <w:vAlign w:val="center"/>
          </w:tcPr>
          <w:p w14:paraId="45FAE584" w14:textId="77777777" w:rsidR="00E64E20" w:rsidRPr="00B71768" w:rsidRDefault="00E64E20" w:rsidP="00F4773C">
            <w:pPr>
              <w:jc w:val="right"/>
              <w:rPr>
                <w:lang w:val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43E620" w14:textId="77777777" w:rsidR="00E64E20" w:rsidRPr="00B71768" w:rsidRDefault="00E64E20" w:rsidP="00F4773C">
            <w:pPr>
              <w:jc w:val="right"/>
              <w:rPr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8E0260D" w14:textId="77777777" w:rsidR="00E64E20" w:rsidRPr="00B71768" w:rsidRDefault="00E64E20" w:rsidP="00F4773C">
            <w:pPr>
              <w:jc w:val="right"/>
              <w:rPr>
                <w:lang w:val="en-GB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14:paraId="2A20A50E" w14:textId="77777777" w:rsidR="00E64E20" w:rsidRPr="00B71768" w:rsidRDefault="00E64E20" w:rsidP="00F4773C">
            <w:pPr>
              <w:jc w:val="right"/>
              <w:rPr>
                <w:lang w:val="en-GB"/>
              </w:rPr>
            </w:pPr>
          </w:p>
        </w:tc>
        <w:tc>
          <w:tcPr>
            <w:tcW w:w="2791" w:type="dxa"/>
            <w:shd w:val="clear" w:color="auto" w:fill="auto"/>
            <w:vAlign w:val="center"/>
          </w:tcPr>
          <w:p w14:paraId="4168C5E1" w14:textId="77777777" w:rsidR="00E64E20" w:rsidRPr="00B71768" w:rsidRDefault="00E64E20" w:rsidP="00F4773C">
            <w:pPr>
              <w:jc w:val="right"/>
              <w:rPr>
                <w:lang w:val="en-GB"/>
              </w:rPr>
            </w:pPr>
          </w:p>
        </w:tc>
      </w:tr>
      <w:tr w:rsidR="00E64E20" w:rsidRPr="002E0C62" w14:paraId="61D33DDD" w14:textId="77777777" w:rsidTr="00E64E20">
        <w:trPr>
          <w:trHeight w:val="284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F8AB4" w14:textId="76238E90" w:rsidR="00E64E20" w:rsidRPr="00B71768" w:rsidRDefault="00E64E20" w:rsidP="00E64E20">
            <w:pPr>
              <w:jc w:val="right"/>
              <w:rPr>
                <w:lang w:val="en-GB"/>
              </w:rPr>
            </w:pPr>
            <w:r w:rsidRPr="00B71768">
              <w:rPr>
                <w:lang w:val="en-GB"/>
              </w:rPr>
              <w:t xml:space="preserve">Variance components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90989" w14:textId="0723B1B2" w:rsidR="00E64E20" w:rsidRPr="00B71768" w:rsidRDefault="00E64E20" w:rsidP="00E64E20">
            <w:pPr>
              <w:jc w:val="right"/>
              <w:rPr>
                <w:lang w:val="en-GB"/>
              </w:rPr>
            </w:pPr>
            <w:proofErr w:type="spellStart"/>
            <w:r w:rsidRPr="00393829">
              <w:t>Estimate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FA70F" w14:textId="235BA49C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Confidence limits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8BF91" w14:textId="6345707F" w:rsidR="00E64E20" w:rsidRPr="00B71768" w:rsidRDefault="00E64E20" w:rsidP="00E64E20">
            <w:pPr>
              <w:jc w:val="right"/>
              <w:rPr>
                <w:lang w:val="en-GB"/>
              </w:rPr>
            </w:pPr>
            <w:proofErr w:type="spellStart"/>
            <w:r w:rsidRPr="00393829">
              <w:t>Estimate</w:t>
            </w:r>
            <w:proofErr w:type="spellEnd"/>
          </w:p>
        </w:tc>
        <w:tc>
          <w:tcPr>
            <w:tcW w:w="27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3A04B4" w14:textId="79F9AEBF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Confidence limits</w:t>
            </w:r>
          </w:p>
        </w:tc>
      </w:tr>
      <w:tr w:rsidR="00E64E20" w:rsidRPr="00393829" w14:paraId="4FDA19B3" w14:textId="77777777" w:rsidTr="00685D4A">
        <w:trPr>
          <w:trHeight w:val="270"/>
        </w:trPr>
        <w:tc>
          <w:tcPr>
            <w:tcW w:w="24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F92445" w14:textId="5076DFCD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oMath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F154DE" w14:textId="7DF10BF9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0.1952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518E69" w14:textId="33FE89AB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0.1212</w:t>
            </w:r>
            <w:r>
              <w:t>-</w:t>
            </w:r>
            <w:r>
              <w:t>0.3659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D109BE" w14:textId="74BD168C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 w:rsidRPr="00BF544A">
              <w:t xml:space="preserve">  </w:t>
            </w:r>
            <w:r>
              <w:t>0.076</w:t>
            </w:r>
          </w:p>
        </w:tc>
        <w:tc>
          <w:tcPr>
            <w:tcW w:w="27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6F8F53" w14:textId="527E8E1C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0.0442-</w:t>
            </w:r>
            <w:r>
              <w:t>0.1619</w:t>
            </w:r>
            <w:r w:rsidRPr="00BF544A">
              <w:t xml:space="preserve">  </w:t>
            </w:r>
          </w:p>
        </w:tc>
      </w:tr>
      <w:tr w:rsidR="00E64E20" w:rsidRPr="00B71768" w14:paraId="7512802B" w14:textId="77777777" w:rsidTr="00F4773C">
        <w:trPr>
          <w:trHeight w:val="256"/>
        </w:trPr>
        <w:tc>
          <w:tcPr>
            <w:tcW w:w="2405" w:type="dxa"/>
            <w:shd w:val="clear" w:color="auto" w:fill="auto"/>
            <w:vAlign w:val="center"/>
          </w:tcPr>
          <w:p w14:paraId="7D18CADB" w14:textId="0798639C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3B2B23CD" w14:textId="216E4813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0.1580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1094D36" w14:textId="6A4CC14C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0.0655</w:t>
            </w:r>
            <w:r>
              <w:t>-</w:t>
            </w:r>
            <w:r>
              <w:t>0.7665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CE3CD02" w14:textId="2AD129D8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 w:rsidRPr="00BF544A">
              <w:t xml:space="preserve">   </w:t>
            </w:r>
            <w:r>
              <w:t>0.437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2A3CAF01" w14:textId="1A964035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0.2060</w:t>
            </w:r>
            <w:r>
              <w:t>-</w:t>
            </w:r>
            <w:r>
              <w:t>1.4729</w:t>
            </w:r>
            <w:r w:rsidRPr="00BF544A">
              <w:t xml:space="preserve">   </w:t>
            </w:r>
          </w:p>
        </w:tc>
      </w:tr>
      <w:tr w:rsidR="00E64E20" w:rsidRPr="00B71768" w14:paraId="7DAB0117" w14:textId="77777777" w:rsidTr="00F4773C">
        <w:trPr>
          <w:trHeight w:val="256"/>
        </w:trPr>
        <w:tc>
          <w:tcPr>
            <w:tcW w:w="2405" w:type="dxa"/>
            <w:shd w:val="clear" w:color="auto" w:fill="auto"/>
            <w:vAlign w:val="center"/>
          </w:tcPr>
          <w:p w14:paraId="61CBE469" w14:textId="44B28E08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66067479" w14:textId="5284F7CC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0.0674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0AF281E" w14:textId="4D4AFE83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0.0231</w:t>
            </w:r>
            <w:r>
              <w:t>-</w:t>
            </w:r>
            <w:r>
              <w:t>0.6820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AA2B86C" w14:textId="4DB97AE2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 w:rsidRPr="00BF544A">
              <w:t xml:space="preserve">  </w:t>
            </w:r>
            <w:r>
              <w:t>0.067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4F8A09E9" w14:textId="5EE079B4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0.0215</w:t>
            </w:r>
            <w:r>
              <w:t>-</w:t>
            </w:r>
            <w:r>
              <w:t>0.9191</w:t>
            </w:r>
            <w:r w:rsidRPr="00BF544A">
              <w:t xml:space="preserve">  </w:t>
            </w:r>
          </w:p>
        </w:tc>
      </w:tr>
      <w:tr w:rsidR="00E64E20" w:rsidRPr="00B71768" w14:paraId="5AD552CB" w14:textId="77777777" w:rsidTr="00F4773C">
        <w:trPr>
          <w:trHeight w:val="270"/>
        </w:trPr>
        <w:tc>
          <w:tcPr>
            <w:tcW w:w="2405" w:type="dxa"/>
            <w:shd w:val="clear" w:color="auto" w:fill="auto"/>
            <w:vAlign w:val="center"/>
          </w:tcPr>
          <w:p w14:paraId="2455BA35" w14:textId="757DFD7A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jk</m:t>
                  </m:r>
                </m:sub>
              </m:sSub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07D537A2" w14:textId="563A973B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0.5010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9C3F40E" w14:textId="0F03245C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0.3892</w:t>
            </w:r>
            <w:r>
              <w:t>-</w:t>
            </w:r>
            <w:r>
              <w:t>0.6692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D768B64" w14:textId="68BAF50E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 w:rsidRPr="00BF544A">
              <w:t xml:space="preserve">   </w:t>
            </w:r>
            <w:r>
              <w:t>0.641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17CE27B0" w14:textId="2C193C38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0.5089</w:t>
            </w:r>
            <w:r>
              <w:t>-</w:t>
            </w:r>
            <w:r>
              <w:t>0.8347</w:t>
            </w:r>
            <w:r w:rsidRPr="00BF544A">
              <w:t xml:space="preserve"> </w:t>
            </w:r>
          </w:p>
        </w:tc>
      </w:tr>
      <w:tr w:rsidR="00E64E20" w:rsidRPr="00B71768" w14:paraId="787A6A9B" w14:textId="77777777" w:rsidTr="00F4773C">
        <w:trPr>
          <w:trHeight w:val="270"/>
        </w:trPr>
        <w:tc>
          <w:tcPr>
            <w:tcW w:w="2405" w:type="dxa"/>
            <w:shd w:val="clear" w:color="auto" w:fill="auto"/>
            <w:vAlign w:val="center"/>
          </w:tcPr>
          <w:p w14:paraId="44D61701" w14:textId="7E93177A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GL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643D525C" w14:textId="4249F975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0.1690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F8D7AD3" w14:textId="424F5C63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0.1441</w:t>
            </w:r>
            <w:r>
              <w:t>-</w:t>
            </w:r>
            <w:r>
              <w:t>0.2011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1ADBD9B" w14:textId="34C8362D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 xml:space="preserve">  </w:t>
            </w:r>
            <w:r>
              <w:t>0.147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514FABB0" w14:textId="4905FFDD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0.1267</w:t>
            </w:r>
            <w:r>
              <w:t>-</w:t>
            </w:r>
            <w:r>
              <w:t>0.1747</w:t>
            </w:r>
            <w:r w:rsidRPr="00BF544A">
              <w:t xml:space="preserve"> </w:t>
            </w:r>
          </w:p>
        </w:tc>
      </w:tr>
      <w:tr w:rsidR="00E64E20" w:rsidRPr="00B71768" w14:paraId="78950870" w14:textId="77777777" w:rsidTr="00F4773C">
        <w:trPr>
          <w:trHeight w:val="270"/>
        </w:trPr>
        <w:tc>
          <w:tcPr>
            <w:tcW w:w="2405" w:type="dxa"/>
            <w:shd w:val="clear" w:color="auto" w:fill="auto"/>
            <w:vAlign w:val="center"/>
          </w:tcPr>
          <w:p w14:paraId="0B58BD30" w14:textId="05F0554F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ik</m:t>
                  </m:r>
                </m:sub>
              </m:sSub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665E9E19" w14:textId="34ED2AB2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0.0902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6E3FFBF" w14:textId="6BCFB5A8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0.0775</w:t>
            </w:r>
            <w:r>
              <w:t>-</w:t>
            </w:r>
            <w:r>
              <w:t>0.1063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3D713FD" w14:textId="62012192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 xml:space="preserve"> </w:t>
            </w:r>
            <w:r>
              <w:t>0.067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6D267CF7" w14:textId="3CABD996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0.0579-</w:t>
            </w:r>
            <w:r>
              <w:t>0.0799</w:t>
            </w:r>
            <w:r w:rsidRPr="00BF544A">
              <w:t xml:space="preserve"> </w:t>
            </w:r>
          </w:p>
        </w:tc>
      </w:tr>
    </w:tbl>
    <w:p w14:paraId="1A5F6FAB" w14:textId="77777777" w:rsidR="004609B7" w:rsidRDefault="004609B7" w:rsidP="00604F1F">
      <w:pPr>
        <w:rPr>
          <w:lang w:val="en-GB"/>
        </w:rPr>
      </w:pPr>
    </w:p>
    <w:p w14:paraId="313C169E" w14:textId="77777777" w:rsidR="00D223D6" w:rsidRDefault="00D223D6" w:rsidP="00D223D6">
      <w:pPr>
        <w:rPr>
          <w:b/>
          <w:lang w:val="en-GB"/>
        </w:rPr>
      </w:pPr>
    </w:p>
    <w:p w14:paraId="6520F2EC" w14:textId="77777777" w:rsidR="00D223D6" w:rsidRDefault="00D223D6">
      <w:pPr>
        <w:rPr>
          <w:b/>
          <w:noProof/>
          <w:lang w:val="en-US" w:eastAsia="en-US"/>
        </w:rPr>
      </w:pPr>
    </w:p>
    <w:p w14:paraId="68F39E81" w14:textId="11D2F9BB" w:rsidR="00A57FD4" w:rsidRDefault="00A57FD4">
      <w:pPr>
        <w:rPr>
          <w:b/>
          <w:lang w:val="en-GB"/>
        </w:rPr>
      </w:pPr>
    </w:p>
    <w:p w14:paraId="5BA77C4F" w14:textId="77777777" w:rsidR="00AB31D4" w:rsidRDefault="00AB31D4" w:rsidP="00AB31D4">
      <w:pPr>
        <w:rPr>
          <w:b/>
          <w:lang w:val="en-GB"/>
        </w:rPr>
      </w:pPr>
    </w:p>
    <w:p w14:paraId="6CA5E5AD" w14:textId="3B7D5443" w:rsidR="00FF4FE6" w:rsidRPr="00FF4FE6" w:rsidRDefault="00FF4FE6" w:rsidP="00FF4FE6">
      <w:pPr>
        <w:pStyle w:val="Beschriftung"/>
        <w:keepNext/>
        <w:rPr>
          <w:i w:val="0"/>
          <w:color w:val="000000" w:themeColor="text1"/>
          <w:sz w:val="22"/>
          <w:lang w:val="en-GB"/>
        </w:rPr>
      </w:pPr>
      <w:r w:rsidRPr="00FF4FE6">
        <w:rPr>
          <w:b/>
          <w:i w:val="0"/>
          <w:color w:val="000000" w:themeColor="text1"/>
          <w:sz w:val="22"/>
          <w:lang w:val="en-GB"/>
        </w:rPr>
        <w:t xml:space="preserve">Table </w:t>
      </w:r>
      <w:r w:rsidR="00394370">
        <w:rPr>
          <w:b/>
          <w:i w:val="0"/>
          <w:color w:val="000000" w:themeColor="text1"/>
          <w:sz w:val="22"/>
          <w:lang w:val="en-GB"/>
        </w:rPr>
        <w:t>3</w:t>
      </w:r>
      <w:r w:rsidRPr="00FF4FE6">
        <w:rPr>
          <w:i w:val="0"/>
          <w:color w:val="000000" w:themeColor="text1"/>
          <w:sz w:val="22"/>
          <w:lang w:val="en-GB"/>
        </w:rPr>
        <w:t xml:space="preserve">: </w:t>
      </w:r>
      <w:r w:rsidRPr="00FF4FE6">
        <w:rPr>
          <w:i w:val="0"/>
          <w:color w:val="000000" w:themeColor="text1"/>
          <w:sz w:val="22"/>
          <w:lang w:val="en-US"/>
        </w:rPr>
        <w:t>E</w:t>
      </w:r>
      <w:proofErr w:type="spellStart"/>
      <w:r w:rsidR="001C3E93" w:rsidRPr="00FF4FE6">
        <w:rPr>
          <w:i w:val="0"/>
          <w:color w:val="000000" w:themeColor="text1"/>
          <w:sz w:val="22"/>
          <w:lang w:val="en-GB"/>
        </w:rPr>
        <w:t>stimates</w:t>
      </w:r>
      <w:proofErr w:type="spellEnd"/>
      <w:r w:rsidRPr="00FF4FE6">
        <w:rPr>
          <w:i w:val="0"/>
          <w:color w:val="000000" w:themeColor="text1"/>
          <w:sz w:val="22"/>
          <w:lang w:val="en-GB"/>
        </w:rPr>
        <w:t xml:space="preserve"> of </w:t>
      </w:r>
      <w:r>
        <w:rPr>
          <w:i w:val="0"/>
          <w:color w:val="000000" w:themeColor="text1"/>
          <w:sz w:val="22"/>
          <w:lang w:val="en-GB"/>
        </w:rPr>
        <w:t xml:space="preserve">group-specific </w:t>
      </w:r>
      <w:r w:rsidRPr="00FF4FE6">
        <w:rPr>
          <w:i w:val="0"/>
          <w:color w:val="000000" w:themeColor="text1"/>
          <w:sz w:val="22"/>
          <w:lang w:val="en-GB"/>
        </w:rPr>
        <w:t>i</w:t>
      </w:r>
      <w:r>
        <w:rPr>
          <w:i w:val="0"/>
          <w:color w:val="000000" w:themeColor="text1"/>
          <w:sz w:val="22"/>
          <w:lang w:val="en-GB"/>
        </w:rPr>
        <w:t xml:space="preserve">ntercepts and slopes based on model (2) </w:t>
      </w:r>
      <w:r w:rsidR="00716CF1">
        <w:rPr>
          <w:i w:val="0"/>
          <w:color w:val="000000" w:themeColor="text1"/>
          <w:sz w:val="22"/>
          <w:lang w:val="en-GB"/>
        </w:rPr>
        <w:t xml:space="preserve">for both the </w:t>
      </w:r>
      <w:proofErr w:type="spellStart"/>
      <w:r w:rsidR="00716CF1">
        <w:rPr>
          <w:i w:val="0"/>
          <w:color w:val="000000" w:themeColor="text1"/>
          <w:sz w:val="22"/>
          <w:lang w:val="en-GB"/>
        </w:rPr>
        <w:t>Aman</w:t>
      </w:r>
      <w:proofErr w:type="spellEnd"/>
      <w:r w:rsidR="00716CF1">
        <w:rPr>
          <w:i w:val="0"/>
          <w:color w:val="000000" w:themeColor="text1"/>
          <w:sz w:val="22"/>
          <w:lang w:val="en-GB"/>
        </w:rPr>
        <w:t xml:space="preserve"> </w:t>
      </w:r>
      <w:r w:rsidR="00EB3AEB">
        <w:rPr>
          <w:i w:val="0"/>
          <w:color w:val="000000" w:themeColor="text1"/>
          <w:sz w:val="22"/>
          <w:lang w:val="en-GB"/>
        </w:rPr>
        <w:t xml:space="preserve">series </w:t>
      </w:r>
      <w:r w:rsidR="00716CF1">
        <w:rPr>
          <w:i w:val="0"/>
          <w:color w:val="000000" w:themeColor="text1"/>
          <w:sz w:val="22"/>
          <w:lang w:val="en-GB"/>
        </w:rPr>
        <w:t xml:space="preserve">and the </w:t>
      </w:r>
      <w:proofErr w:type="spellStart"/>
      <w:r w:rsidR="00716CF1">
        <w:rPr>
          <w:i w:val="0"/>
          <w:color w:val="000000" w:themeColor="text1"/>
          <w:sz w:val="22"/>
          <w:lang w:val="en-GB"/>
        </w:rPr>
        <w:t>Boro</w:t>
      </w:r>
      <w:proofErr w:type="spellEnd"/>
      <w:r w:rsidR="00716CF1">
        <w:rPr>
          <w:i w:val="0"/>
          <w:color w:val="000000" w:themeColor="text1"/>
          <w:sz w:val="22"/>
          <w:lang w:val="en-GB"/>
        </w:rPr>
        <w:t xml:space="preserve"> series. </w:t>
      </w:r>
    </w:p>
    <w:tbl>
      <w:tblPr>
        <w:tblW w:w="9318" w:type="dxa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Lösung für feste Effekte"/>
      </w:tblPr>
      <w:tblGrid>
        <w:gridCol w:w="1584"/>
        <w:gridCol w:w="1145"/>
        <w:gridCol w:w="1735"/>
        <w:gridCol w:w="987"/>
        <w:gridCol w:w="1145"/>
        <w:gridCol w:w="1735"/>
        <w:gridCol w:w="987"/>
      </w:tblGrid>
      <w:tr w:rsidR="00866A63" w:rsidRPr="002E0C62" w14:paraId="347193D2" w14:textId="77777777" w:rsidTr="00F4773C">
        <w:trPr>
          <w:trHeight w:val="40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39511" w14:textId="77777777" w:rsidR="00866A63" w:rsidRPr="00FF4FE6" w:rsidRDefault="00866A63" w:rsidP="001A5B82">
            <w:pPr>
              <w:rPr>
                <w:bCs/>
                <w:lang w:val="en-GB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077B0" w14:textId="756C74A3" w:rsidR="00866A63" w:rsidRPr="002E0C62" w:rsidRDefault="00866A63" w:rsidP="00866A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Aman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54DCB00" w14:textId="37085D86" w:rsidR="00866A63" w:rsidRPr="002E0C62" w:rsidRDefault="00866A63" w:rsidP="00866A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Boro</w:t>
            </w:r>
            <w:proofErr w:type="spellEnd"/>
          </w:p>
        </w:tc>
      </w:tr>
      <w:tr w:rsidR="00866A63" w:rsidRPr="002E0C62" w14:paraId="680207FC" w14:textId="77777777" w:rsidTr="00F4773C">
        <w:trPr>
          <w:trHeight w:val="40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58C468" w14:textId="71F28889" w:rsidR="00866A63" w:rsidRPr="002E0C62" w:rsidRDefault="00AB5C0D" w:rsidP="00866A63">
            <w:pPr>
              <w:rPr>
                <w:bCs/>
              </w:rPr>
            </w:pPr>
            <w:r w:rsidRPr="00B71768">
              <w:rPr>
                <w:lang w:val="en-GB"/>
              </w:rPr>
              <w:t>Fixed effects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89E5BF" w14:textId="72094832" w:rsidR="00866A63" w:rsidRPr="002E0C62" w:rsidRDefault="00866A63" w:rsidP="001A5B82">
            <w:pPr>
              <w:jc w:val="right"/>
              <w:rPr>
                <w:bCs/>
              </w:rPr>
            </w:pPr>
            <w:proofErr w:type="spellStart"/>
            <w:r w:rsidRPr="002E0C62">
              <w:t>Estimate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3F9F96" w14:textId="058B2811" w:rsidR="00866A63" w:rsidRPr="002E0C62" w:rsidRDefault="00866A63" w:rsidP="001A5B82">
            <w:pPr>
              <w:jc w:val="right"/>
              <w:rPr>
                <w:bCs/>
              </w:rPr>
            </w:pPr>
            <w:r w:rsidRPr="002E0C62">
              <w:rPr>
                <w:lang w:val="en-GB"/>
              </w:rPr>
              <w:t>Standard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DA171B" w14:textId="5E06C7CC" w:rsidR="00866A63" w:rsidRPr="002E0C62" w:rsidRDefault="00866A63" w:rsidP="001A5B82">
            <w:pPr>
              <w:jc w:val="right"/>
              <w:rPr>
                <w:bCs/>
              </w:rPr>
            </w:pPr>
            <w:r w:rsidRPr="002E0C62">
              <w:rPr>
                <w:lang w:val="en-GB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549F0" w14:textId="24F12201" w:rsidR="00866A63" w:rsidRPr="002E0C62" w:rsidRDefault="00866A63" w:rsidP="001A5B82">
            <w:pPr>
              <w:jc w:val="right"/>
              <w:rPr>
                <w:bCs/>
              </w:rPr>
            </w:pPr>
            <w:proofErr w:type="spellStart"/>
            <w:r w:rsidRPr="002E0C62">
              <w:t>Estimate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E261F1" w14:textId="1D763B5D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rPr>
                <w:lang w:val="en-GB"/>
              </w:rPr>
              <w:t>Standard error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D427A6" w14:textId="68B88373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rPr>
                <w:lang w:val="en-GB"/>
              </w:rPr>
              <w:t>p-value</w:t>
            </w:r>
          </w:p>
        </w:tc>
      </w:tr>
      <w:tr w:rsidR="00866A63" w:rsidRPr="002E0C62" w14:paraId="2AB178AE" w14:textId="77777777" w:rsidTr="00F4773C">
        <w:trPr>
          <w:trHeight w:val="273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F931FA" w14:textId="77DAFDE0" w:rsidR="00866A63" w:rsidRPr="002E0C62" w:rsidRDefault="00866A63" w:rsidP="003A039F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μ</m:t>
              </m:r>
            </m:oMath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0584B9B" w14:textId="77777777" w:rsidR="00866A63" w:rsidRPr="002E0C62" w:rsidRDefault="00866A63" w:rsidP="003A039F">
            <w:pPr>
              <w:jc w:val="right"/>
            </w:pPr>
            <w:r w:rsidRPr="002E0C62">
              <w:t>-67.6744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59777E" w14:textId="77777777" w:rsidR="00866A63" w:rsidRPr="002E0C62" w:rsidRDefault="00866A63" w:rsidP="003A039F">
            <w:pPr>
              <w:jc w:val="right"/>
            </w:pPr>
            <w:r w:rsidRPr="002E0C62">
              <w:t>75.2722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49CBC1" w14:textId="77777777" w:rsidR="00866A63" w:rsidRPr="002E0C62" w:rsidRDefault="00866A63" w:rsidP="003A039F">
            <w:pPr>
              <w:jc w:val="right"/>
            </w:pPr>
            <w:r w:rsidRPr="002E0C62">
              <w:t>0.3879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1A80AE" w14:textId="77777777" w:rsidR="00866A63" w:rsidRPr="002E0C62" w:rsidRDefault="00866A63" w:rsidP="003A039F">
            <w:pPr>
              <w:jc w:val="right"/>
            </w:pPr>
            <w:r w:rsidRPr="002E0C62">
              <w:t>679.39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C77DAF" w14:textId="77777777" w:rsidR="00866A63" w:rsidRPr="002E0C62" w:rsidRDefault="00866A63" w:rsidP="003A039F">
            <w:pPr>
              <w:rPr>
                <w:sz w:val="20"/>
                <w:szCs w:val="20"/>
              </w:rPr>
            </w:pPr>
            <w:r w:rsidRPr="002E0C62">
              <w:t>83257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2D80C2" w14:textId="77777777" w:rsidR="00866A63" w:rsidRPr="002E0C62" w:rsidRDefault="00866A63" w:rsidP="003A039F">
            <w:pPr>
              <w:rPr>
                <w:sz w:val="20"/>
                <w:szCs w:val="20"/>
              </w:rPr>
            </w:pPr>
            <w:r w:rsidRPr="002E0C62">
              <w:t>0.9936</w:t>
            </w:r>
          </w:p>
        </w:tc>
      </w:tr>
      <w:tr w:rsidR="00866A63" w:rsidRPr="002E0C62" w14:paraId="6FAD99EB" w14:textId="77777777" w:rsidTr="00866A6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F7BC2" w14:textId="42D4B35C" w:rsidR="00866A63" w:rsidRPr="002E0C62" w:rsidRDefault="00866A63" w:rsidP="003A039F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γ</m:t>
              </m:r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652C9" w14:textId="77777777" w:rsidR="00866A63" w:rsidRPr="002E0C62" w:rsidRDefault="00866A63" w:rsidP="003A039F">
            <w:pPr>
              <w:jc w:val="right"/>
            </w:pPr>
            <w:r w:rsidRPr="002E0C62">
              <w:t>0.02430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2E373" w14:textId="77777777" w:rsidR="00866A63" w:rsidRPr="002E0C62" w:rsidRDefault="00866A63" w:rsidP="003A039F">
            <w:pPr>
              <w:jc w:val="right"/>
            </w:pPr>
            <w:r w:rsidRPr="002E0C62">
              <w:t>0.01888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CAB7C" w14:textId="77777777" w:rsidR="00866A63" w:rsidRPr="002E0C62" w:rsidRDefault="00866A63" w:rsidP="003A039F">
            <w:pPr>
              <w:jc w:val="right"/>
            </w:pPr>
            <w:r w:rsidRPr="002E0C62">
              <w:t>0.1982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BA5DD" w14:textId="77777777" w:rsidR="00866A63" w:rsidRPr="002E0C62" w:rsidRDefault="00866A63" w:rsidP="003A039F">
            <w:pPr>
              <w:jc w:val="right"/>
            </w:pPr>
            <w:r w:rsidRPr="002E0C62">
              <w:t>0.01498</w:t>
            </w:r>
          </w:p>
        </w:tc>
        <w:tc>
          <w:tcPr>
            <w:tcW w:w="0" w:type="auto"/>
          </w:tcPr>
          <w:p w14:paraId="0756E5C2" w14:textId="77777777" w:rsidR="00866A63" w:rsidRPr="002E0C62" w:rsidRDefault="00866A63" w:rsidP="003A039F">
            <w:pPr>
              <w:rPr>
                <w:sz w:val="20"/>
                <w:szCs w:val="20"/>
              </w:rPr>
            </w:pPr>
            <w:r w:rsidRPr="002E0C62">
              <w:t>0.01946</w:t>
            </w:r>
          </w:p>
        </w:tc>
        <w:tc>
          <w:tcPr>
            <w:tcW w:w="0" w:type="auto"/>
          </w:tcPr>
          <w:p w14:paraId="2BB8E81E" w14:textId="77777777" w:rsidR="00866A63" w:rsidRPr="002E0C62" w:rsidRDefault="00866A63" w:rsidP="003A039F">
            <w:pPr>
              <w:rPr>
                <w:sz w:val="20"/>
                <w:szCs w:val="20"/>
              </w:rPr>
            </w:pPr>
            <w:r w:rsidRPr="002E0C62">
              <w:t>0.4416</w:t>
            </w:r>
          </w:p>
        </w:tc>
      </w:tr>
      <w:tr w:rsidR="00866A63" w:rsidRPr="002E0C62" w14:paraId="5F37C6C6" w14:textId="77777777" w:rsidTr="00866A6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6B019" w14:textId="3AFB6B46" w:rsidR="00866A63" w:rsidRPr="002E0C62" w:rsidRDefault="00866A63" w:rsidP="003A039F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β</m:t>
              </m:r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CE64C9" w14:textId="77777777" w:rsidR="00866A63" w:rsidRPr="002E0C62" w:rsidRDefault="00866A63" w:rsidP="003A039F">
            <w:pPr>
              <w:jc w:val="right"/>
            </w:pPr>
            <w:r w:rsidRPr="002E0C62">
              <w:t>-0.04355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D4F2E" w14:textId="77777777" w:rsidR="00866A63" w:rsidRPr="002E0C62" w:rsidRDefault="00866A63" w:rsidP="003A039F">
            <w:pPr>
              <w:jc w:val="right"/>
            </w:pPr>
            <w:r w:rsidRPr="002E0C62">
              <w:t>32.1996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38196" w14:textId="77777777" w:rsidR="00866A63" w:rsidRPr="002E0C62" w:rsidRDefault="00866A63" w:rsidP="003A039F">
            <w:pPr>
              <w:jc w:val="right"/>
            </w:pPr>
            <w:r w:rsidRPr="002E0C62"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F2439" w14:textId="77777777" w:rsidR="00866A63" w:rsidRPr="002E0C62" w:rsidRDefault="00866A63" w:rsidP="003A039F">
            <w:pPr>
              <w:jc w:val="right"/>
            </w:pPr>
            <w:r w:rsidRPr="002E0C62">
              <w:t>0.01882</w:t>
            </w:r>
          </w:p>
        </w:tc>
        <w:tc>
          <w:tcPr>
            <w:tcW w:w="0" w:type="auto"/>
          </w:tcPr>
          <w:p w14:paraId="5BBD522E" w14:textId="77777777" w:rsidR="00866A63" w:rsidRPr="002E0C62" w:rsidRDefault="00866A63" w:rsidP="003A039F">
            <w:pPr>
              <w:rPr>
                <w:sz w:val="20"/>
                <w:szCs w:val="20"/>
              </w:rPr>
            </w:pPr>
            <w:r w:rsidRPr="002E0C62">
              <w:t>0.01005</w:t>
            </w:r>
          </w:p>
        </w:tc>
        <w:tc>
          <w:tcPr>
            <w:tcW w:w="0" w:type="auto"/>
          </w:tcPr>
          <w:p w14:paraId="0906A6C0" w14:textId="77777777" w:rsidR="00866A63" w:rsidRPr="002E0C62" w:rsidRDefault="00866A63" w:rsidP="003A039F">
            <w:pPr>
              <w:rPr>
                <w:sz w:val="20"/>
                <w:szCs w:val="20"/>
              </w:rPr>
            </w:pPr>
            <w:r w:rsidRPr="002E0C62">
              <w:t>0.0613</w:t>
            </w:r>
          </w:p>
        </w:tc>
      </w:tr>
      <w:tr w:rsidR="00866A63" w:rsidRPr="002E0C62" w14:paraId="1BF74435" w14:textId="77777777" w:rsidTr="00866A63">
        <w:trPr>
          <w:trHeight w:val="26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18E84" w14:textId="1B0F1B95" w:rsidR="00866A63" w:rsidRPr="002E0C62" w:rsidRDefault="00866A63" w:rsidP="001A5B82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D8E98" w14:textId="77777777" w:rsidR="00866A63" w:rsidRPr="002E0C62" w:rsidRDefault="00866A63" w:rsidP="001A5B82">
            <w:pPr>
              <w:jc w:val="right"/>
            </w:pPr>
            <w:r w:rsidRPr="002E0C62">
              <w:t>0.04898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41EC9" w14:textId="77777777" w:rsidR="00866A63" w:rsidRPr="002E0C62" w:rsidRDefault="00866A63" w:rsidP="001A5B82">
            <w:pPr>
              <w:jc w:val="right"/>
            </w:pPr>
            <w:r w:rsidRPr="002E0C62">
              <w:t>32.1996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DB605" w14:textId="77777777" w:rsidR="00866A63" w:rsidRPr="002E0C62" w:rsidRDefault="00866A63" w:rsidP="001A5B82">
            <w:pPr>
              <w:jc w:val="right"/>
            </w:pPr>
            <w:r w:rsidRPr="002E0C62"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CD614" w14:textId="77777777" w:rsidR="00866A63" w:rsidRPr="002E0C62" w:rsidRDefault="00866A63" w:rsidP="001A5B82">
            <w:pPr>
              <w:jc w:val="right"/>
            </w:pPr>
            <w:r w:rsidRPr="002E0C62">
              <w:t xml:space="preserve"> .</w:t>
            </w:r>
          </w:p>
        </w:tc>
        <w:tc>
          <w:tcPr>
            <w:tcW w:w="0" w:type="auto"/>
          </w:tcPr>
          <w:p w14:paraId="0E8D8533" w14:textId="77777777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t>.</w:t>
            </w:r>
          </w:p>
        </w:tc>
        <w:tc>
          <w:tcPr>
            <w:tcW w:w="0" w:type="auto"/>
          </w:tcPr>
          <w:p w14:paraId="663BB763" w14:textId="77777777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t>.</w:t>
            </w:r>
          </w:p>
        </w:tc>
      </w:tr>
      <w:tr w:rsidR="00866A63" w:rsidRPr="002E0C62" w14:paraId="62A2506D" w14:textId="77777777" w:rsidTr="00866A6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066AA" w14:textId="1608D59E" w:rsidR="00866A63" w:rsidRPr="002E0C62" w:rsidRDefault="00866A63" w:rsidP="00EF116E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A365C" w14:textId="77777777" w:rsidR="00866A63" w:rsidRPr="002E0C62" w:rsidRDefault="00866A63" w:rsidP="001A5B82">
            <w:pPr>
              <w:jc w:val="right"/>
            </w:pPr>
            <w:r w:rsidRPr="002E0C62">
              <w:t>0.03256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454F8" w14:textId="77777777" w:rsidR="00866A63" w:rsidRPr="002E0C62" w:rsidRDefault="00866A63" w:rsidP="001A5B82">
            <w:pPr>
              <w:jc w:val="right"/>
            </w:pPr>
            <w:r w:rsidRPr="002E0C62">
              <w:t>32.1996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C7701" w14:textId="77777777" w:rsidR="00866A63" w:rsidRPr="002E0C62" w:rsidRDefault="00866A63" w:rsidP="001A5B82">
            <w:pPr>
              <w:jc w:val="right"/>
            </w:pPr>
            <w:r w:rsidRPr="002E0C62"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E0ABA" w14:textId="77777777" w:rsidR="00866A63" w:rsidRPr="002E0C62" w:rsidRDefault="00866A63" w:rsidP="001A5B82">
            <w:pPr>
              <w:jc w:val="right"/>
            </w:pPr>
            <w:r w:rsidRPr="002E0C62">
              <w:t>-0.00763</w:t>
            </w:r>
          </w:p>
        </w:tc>
        <w:tc>
          <w:tcPr>
            <w:tcW w:w="0" w:type="auto"/>
          </w:tcPr>
          <w:p w14:paraId="362E3F3D" w14:textId="77777777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t>0.01114</w:t>
            </w:r>
          </w:p>
        </w:tc>
        <w:tc>
          <w:tcPr>
            <w:tcW w:w="0" w:type="auto"/>
          </w:tcPr>
          <w:p w14:paraId="273CCD72" w14:textId="77777777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t>0.4935</w:t>
            </w:r>
          </w:p>
        </w:tc>
      </w:tr>
      <w:tr w:rsidR="00866A63" w:rsidRPr="002E0C62" w14:paraId="5ED4D53B" w14:textId="77777777" w:rsidTr="00866A6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4406A" w14:textId="7D26AD84" w:rsidR="00866A63" w:rsidRPr="002E0C62" w:rsidRDefault="00866A63" w:rsidP="00EF116E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36C65" w14:textId="77777777" w:rsidR="00866A63" w:rsidRPr="002E0C62" w:rsidRDefault="00866A63" w:rsidP="001A5B82">
            <w:pPr>
              <w:jc w:val="right"/>
            </w:pPr>
            <w:r w:rsidRPr="002E0C62">
              <w:t>0.05262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20B6D" w14:textId="77777777" w:rsidR="00866A63" w:rsidRPr="002E0C62" w:rsidRDefault="00866A63" w:rsidP="001A5B82">
            <w:pPr>
              <w:jc w:val="right"/>
            </w:pPr>
            <w:r w:rsidRPr="002E0C62">
              <w:t>32.1996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D18EE" w14:textId="77777777" w:rsidR="00866A63" w:rsidRPr="002E0C62" w:rsidRDefault="00866A63" w:rsidP="001A5B82">
            <w:pPr>
              <w:jc w:val="right"/>
            </w:pPr>
            <w:r w:rsidRPr="002E0C62">
              <w:t>0.9987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2557A" w14:textId="77777777" w:rsidR="00866A63" w:rsidRPr="002E0C62" w:rsidRDefault="00866A63" w:rsidP="001A5B82">
            <w:pPr>
              <w:jc w:val="right"/>
            </w:pPr>
            <w:r w:rsidRPr="002E0C62">
              <w:t xml:space="preserve"> .</w:t>
            </w:r>
          </w:p>
        </w:tc>
        <w:tc>
          <w:tcPr>
            <w:tcW w:w="0" w:type="auto"/>
          </w:tcPr>
          <w:p w14:paraId="5B75FC31" w14:textId="77777777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t>.</w:t>
            </w:r>
          </w:p>
        </w:tc>
        <w:tc>
          <w:tcPr>
            <w:tcW w:w="0" w:type="auto"/>
          </w:tcPr>
          <w:p w14:paraId="5858B998" w14:textId="77777777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t>.</w:t>
            </w:r>
          </w:p>
        </w:tc>
      </w:tr>
      <w:tr w:rsidR="00866A63" w:rsidRPr="002E0C62" w14:paraId="6596F8C5" w14:textId="77777777" w:rsidTr="00866A6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5308C" w14:textId="208D1CDF" w:rsidR="00866A63" w:rsidRPr="002E0C62" w:rsidRDefault="00866A63" w:rsidP="00EF116E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6AFA9" w14:textId="77777777" w:rsidR="00866A63" w:rsidRPr="002E0C62" w:rsidRDefault="00866A63" w:rsidP="001A5B82">
            <w:pPr>
              <w:jc w:val="right"/>
            </w:pPr>
            <w:r w:rsidRPr="002E0C62">
              <w:t>0.05136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DD8E3" w14:textId="77777777" w:rsidR="00866A63" w:rsidRPr="002E0C62" w:rsidRDefault="00866A63" w:rsidP="001A5B82">
            <w:pPr>
              <w:jc w:val="right"/>
            </w:pPr>
            <w:r w:rsidRPr="002E0C62">
              <w:t>32.1996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644EC" w14:textId="77777777" w:rsidR="00866A63" w:rsidRPr="002E0C62" w:rsidRDefault="00866A63" w:rsidP="001A5B82">
            <w:pPr>
              <w:jc w:val="right"/>
            </w:pPr>
            <w:r w:rsidRPr="002E0C62">
              <w:t>0.9987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EDE03" w14:textId="77777777" w:rsidR="00866A63" w:rsidRPr="002E0C62" w:rsidRDefault="00866A63" w:rsidP="001A5B82">
            <w:pPr>
              <w:jc w:val="right"/>
            </w:pPr>
            <w:r w:rsidRPr="002E0C62">
              <w:t>-0.00880</w:t>
            </w:r>
          </w:p>
        </w:tc>
        <w:tc>
          <w:tcPr>
            <w:tcW w:w="0" w:type="auto"/>
          </w:tcPr>
          <w:p w14:paraId="0447EF7C" w14:textId="77777777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t>0.01187</w:t>
            </w:r>
          </w:p>
        </w:tc>
        <w:tc>
          <w:tcPr>
            <w:tcW w:w="0" w:type="auto"/>
          </w:tcPr>
          <w:p w14:paraId="56BB2C15" w14:textId="77777777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t>0.4585</w:t>
            </w:r>
          </w:p>
        </w:tc>
      </w:tr>
      <w:tr w:rsidR="00866A63" w:rsidRPr="002E0C62" w14:paraId="5B073117" w14:textId="77777777" w:rsidTr="00866A6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280EB" w14:textId="47BD3497" w:rsidR="00866A63" w:rsidRPr="002E0C62" w:rsidRDefault="00866A63" w:rsidP="00EF116E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29DB8" w14:textId="77777777" w:rsidR="00866A63" w:rsidRPr="002E0C62" w:rsidRDefault="00866A63" w:rsidP="001A5B82">
            <w:pPr>
              <w:jc w:val="right"/>
            </w:pPr>
            <w:r w:rsidRPr="002E0C62">
              <w:t>0.05510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97A41" w14:textId="77777777" w:rsidR="00866A63" w:rsidRPr="002E0C62" w:rsidRDefault="00866A63" w:rsidP="001A5B82">
            <w:pPr>
              <w:jc w:val="right"/>
            </w:pPr>
            <w:r w:rsidRPr="002E0C62">
              <w:t>32.1997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3E45B" w14:textId="77777777" w:rsidR="00866A63" w:rsidRPr="002E0C62" w:rsidRDefault="00866A63" w:rsidP="001A5B82">
            <w:pPr>
              <w:jc w:val="right"/>
            </w:pPr>
            <w:r w:rsidRPr="002E0C62">
              <w:t>0.9986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C619B" w14:textId="77777777" w:rsidR="00866A63" w:rsidRPr="002E0C62" w:rsidRDefault="00866A63" w:rsidP="001A5B82">
            <w:pPr>
              <w:jc w:val="right"/>
            </w:pPr>
            <w:r w:rsidRPr="002E0C62">
              <w:t>0</w:t>
            </w:r>
          </w:p>
        </w:tc>
        <w:tc>
          <w:tcPr>
            <w:tcW w:w="0" w:type="auto"/>
          </w:tcPr>
          <w:p w14:paraId="33595C8A" w14:textId="77777777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t>.</w:t>
            </w:r>
          </w:p>
        </w:tc>
        <w:tc>
          <w:tcPr>
            <w:tcW w:w="0" w:type="auto"/>
          </w:tcPr>
          <w:p w14:paraId="063FDCD3" w14:textId="77777777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t>.</w:t>
            </w:r>
          </w:p>
        </w:tc>
      </w:tr>
      <w:tr w:rsidR="00866A63" w:rsidRPr="002E0C62" w14:paraId="2B514812" w14:textId="77777777" w:rsidTr="00866A63">
        <w:trPr>
          <w:trHeight w:val="26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3202A" w14:textId="4A9BD485" w:rsidR="00866A63" w:rsidRPr="002E0C62" w:rsidRDefault="00866A63" w:rsidP="00EF116E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FB6F7" w14:textId="77777777" w:rsidR="00866A63" w:rsidRPr="002E0C62" w:rsidRDefault="00866A63" w:rsidP="00EF116E">
            <w:pPr>
              <w:jc w:val="right"/>
            </w:pPr>
            <w:r w:rsidRPr="002E0C62">
              <w:t>11.1918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AEC6F" w14:textId="77777777" w:rsidR="00866A63" w:rsidRPr="002E0C62" w:rsidRDefault="00866A63" w:rsidP="00EF116E">
            <w:pPr>
              <w:jc w:val="right"/>
            </w:pPr>
            <w:r w:rsidRPr="002E0C62">
              <w:t>71.8102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D3BD5" w14:textId="77777777" w:rsidR="00866A63" w:rsidRPr="002E0C62" w:rsidRDefault="00866A63" w:rsidP="00EF116E">
            <w:pPr>
              <w:jc w:val="right"/>
            </w:pPr>
            <w:r w:rsidRPr="002E0C62">
              <w:t>0.8762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D4E97" w14:textId="77777777" w:rsidR="00866A63" w:rsidRPr="002E0C62" w:rsidRDefault="00866A63" w:rsidP="00EF116E">
            <w:pPr>
              <w:jc w:val="right"/>
            </w:pPr>
            <w:r w:rsidRPr="002E0C62">
              <w:t xml:space="preserve"> .</w:t>
            </w:r>
          </w:p>
        </w:tc>
        <w:tc>
          <w:tcPr>
            <w:tcW w:w="0" w:type="auto"/>
          </w:tcPr>
          <w:p w14:paraId="628CEC7E" w14:textId="77777777" w:rsidR="00866A63" w:rsidRPr="002E0C62" w:rsidRDefault="00866A63" w:rsidP="00EF116E">
            <w:pPr>
              <w:rPr>
                <w:sz w:val="20"/>
                <w:szCs w:val="20"/>
              </w:rPr>
            </w:pPr>
            <w:r w:rsidRPr="002E0C62">
              <w:t>.</w:t>
            </w:r>
          </w:p>
        </w:tc>
        <w:tc>
          <w:tcPr>
            <w:tcW w:w="0" w:type="auto"/>
          </w:tcPr>
          <w:p w14:paraId="53597E5B" w14:textId="77777777" w:rsidR="00866A63" w:rsidRPr="002E0C62" w:rsidRDefault="00866A63" w:rsidP="00EF116E">
            <w:pPr>
              <w:rPr>
                <w:sz w:val="20"/>
                <w:szCs w:val="20"/>
              </w:rPr>
            </w:pPr>
            <w:r w:rsidRPr="002E0C62">
              <w:t>.</w:t>
            </w:r>
          </w:p>
        </w:tc>
      </w:tr>
      <w:tr w:rsidR="00866A63" w:rsidRPr="002E0C62" w14:paraId="502BC635" w14:textId="77777777" w:rsidTr="00866A6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69A4D" w14:textId="2B125DE3" w:rsidR="00866A63" w:rsidRPr="002E0C62" w:rsidRDefault="00866A63" w:rsidP="00EF116E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AD814" w14:textId="77777777" w:rsidR="00866A63" w:rsidRPr="002E0C62" w:rsidRDefault="00866A63" w:rsidP="00EF116E">
            <w:pPr>
              <w:jc w:val="right"/>
            </w:pPr>
            <w:r w:rsidRPr="002E0C62">
              <w:t>45.0095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8301" w14:textId="77777777" w:rsidR="00866A63" w:rsidRPr="002E0C62" w:rsidRDefault="00866A63" w:rsidP="00EF116E">
            <w:pPr>
              <w:jc w:val="right"/>
            </w:pPr>
            <w:r w:rsidRPr="002E0C62">
              <w:t>67.8378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EB46E" w14:textId="77777777" w:rsidR="00866A63" w:rsidRPr="002E0C62" w:rsidRDefault="00866A63" w:rsidP="00EF116E">
            <w:pPr>
              <w:jc w:val="right"/>
            </w:pPr>
            <w:r w:rsidRPr="002E0C62">
              <w:t>0.5071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C8521" w14:textId="77777777" w:rsidR="00866A63" w:rsidRPr="002E0C62" w:rsidRDefault="00866A63" w:rsidP="00EF116E">
            <w:pPr>
              <w:jc w:val="right"/>
            </w:pPr>
            <w:r w:rsidRPr="002E0C62">
              <w:t>-726.19</w:t>
            </w:r>
          </w:p>
        </w:tc>
        <w:tc>
          <w:tcPr>
            <w:tcW w:w="0" w:type="auto"/>
          </w:tcPr>
          <w:p w14:paraId="710BFA0F" w14:textId="77777777" w:rsidR="00866A63" w:rsidRPr="002E0C62" w:rsidRDefault="00866A63" w:rsidP="00EF116E">
            <w:pPr>
              <w:rPr>
                <w:sz w:val="20"/>
                <w:szCs w:val="20"/>
              </w:rPr>
            </w:pPr>
            <w:r w:rsidRPr="002E0C62">
              <w:t>83258</w:t>
            </w:r>
          </w:p>
        </w:tc>
        <w:tc>
          <w:tcPr>
            <w:tcW w:w="0" w:type="auto"/>
          </w:tcPr>
          <w:p w14:paraId="7384FEB1" w14:textId="77777777" w:rsidR="00866A63" w:rsidRPr="002E0C62" w:rsidRDefault="00866A63" w:rsidP="00EF116E">
            <w:pPr>
              <w:rPr>
                <w:sz w:val="20"/>
                <w:szCs w:val="20"/>
              </w:rPr>
            </w:pPr>
            <w:r w:rsidRPr="002E0C62">
              <w:t>0.9930</w:t>
            </w:r>
          </w:p>
        </w:tc>
      </w:tr>
      <w:tr w:rsidR="00866A63" w:rsidRPr="002E0C62" w14:paraId="0FC2E5BC" w14:textId="77777777" w:rsidTr="00866A6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FCD79" w14:textId="0F20F4DC" w:rsidR="00866A63" w:rsidRPr="002E0C62" w:rsidRDefault="00866A63" w:rsidP="00EF116E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C1AFB" w14:textId="77777777" w:rsidR="00866A63" w:rsidRPr="002E0C62" w:rsidRDefault="00866A63" w:rsidP="00EF116E">
            <w:pPr>
              <w:jc w:val="right"/>
            </w:pPr>
            <w:r w:rsidRPr="002E0C62">
              <w:t>5.0095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3D038" w14:textId="77777777" w:rsidR="00866A63" w:rsidRPr="002E0C62" w:rsidRDefault="00866A63" w:rsidP="00EF116E">
            <w:pPr>
              <w:jc w:val="right"/>
            </w:pPr>
            <w:r w:rsidRPr="002E0C62">
              <w:t>66.5431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7E7A9" w14:textId="77777777" w:rsidR="00866A63" w:rsidRPr="002E0C62" w:rsidRDefault="00866A63" w:rsidP="00EF116E">
            <w:pPr>
              <w:jc w:val="right"/>
            </w:pPr>
            <w:r w:rsidRPr="002E0C62">
              <w:t>0.9400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F06DB" w14:textId="77777777" w:rsidR="00866A63" w:rsidRPr="002E0C62" w:rsidRDefault="00866A63" w:rsidP="00EF116E">
            <w:pPr>
              <w:jc w:val="right"/>
            </w:pPr>
            <w:r w:rsidRPr="002E0C62">
              <w:t xml:space="preserve"> .</w:t>
            </w:r>
          </w:p>
        </w:tc>
        <w:tc>
          <w:tcPr>
            <w:tcW w:w="0" w:type="auto"/>
          </w:tcPr>
          <w:p w14:paraId="3516A579" w14:textId="77777777" w:rsidR="00866A63" w:rsidRPr="002E0C62" w:rsidRDefault="00866A63" w:rsidP="00EF116E">
            <w:pPr>
              <w:rPr>
                <w:sz w:val="20"/>
                <w:szCs w:val="20"/>
              </w:rPr>
            </w:pPr>
            <w:r w:rsidRPr="002E0C62">
              <w:t>.</w:t>
            </w:r>
          </w:p>
        </w:tc>
        <w:tc>
          <w:tcPr>
            <w:tcW w:w="0" w:type="auto"/>
          </w:tcPr>
          <w:p w14:paraId="40D6E95A" w14:textId="77777777" w:rsidR="00866A63" w:rsidRPr="002E0C62" w:rsidRDefault="00866A63" w:rsidP="00EF116E">
            <w:pPr>
              <w:rPr>
                <w:sz w:val="20"/>
                <w:szCs w:val="20"/>
              </w:rPr>
            </w:pPr>
            <w:r w:rsidRPr="002E0C62">
              <w:t>.</w:t>
            </w:r>
          </w:p>
        </w:tc>
      </w:tr>
      <w:tr w:rsidR="00866A63" w:rsidRPr="002E0C62" w14:paraId="5CC2606D" w14:textId="77777777" w:rsidTr="00866A6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40E13" w14:textId="2A3B7BC5" w:rsidR="00866A63" w:rsidRPr="002E0C62" w:rsidRDefault="00866A63" w:rsidP="00EF116E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B0245" w14:textId="77777777" w:rsidR="00866A63" w:rsidRPr="002E0C62" w:rsidRDefault="00866A63" w:rsidP="00EF116E">
            <w:pPr>
              <w:jc w:val="right"/>
            </w:pPr>
            <w:r w:rsidRPr="002E0C62">
              <w:t>7.0100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2F82A" w14:textId="77777777" w:rsidR="00866A63" w:rsidRPr="002E0C62" w:rsidRDefault="00866A63" w:rsidP="00EF116E">
            <w:pPr>
              <w:jc w:val="right"/>
            </w:pPr>
            <w:r w:rsidRPr="002E0C62">
              <w:t>72.3135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76111" w14:textId="77777777" w:rsidR="00866A63" w:rsidRPr="002E0C62" w:rsidRDefault="00866A63" w:rsidP="00EF116E">
            <w:pPr>
              <w:jc w:val="right"/>
            </w:pPr>
            <w:r w:rsidRPr="002E0C62">
              <w:t>0.9228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37BC1" w14:textId="77777777" w:rsidR="00866A63" w:rsidRPr="002E0C62" w:rsidRDefault="00866A63" w:rsidP="00EF116E">
            <w:pPr>
              <w:jc w:val="right"/>
            </w:pPr>
            <w:r w:rsidRPr="002E0C62">
              <w:t>-724.02</w:t>
            </w:r>
          </w:p>
        </w:tc>
        <w:tc>
          <w:tcPr>
            <w:tcW w:w="0" w:type="auto"/>
          </w:tcPr>
          <w:p w14:paraId="333F65E5" w14:textId="77777777" w:rsidR="00866A63" w:rsidRPr="002E0C62" w:rsidRDefault="00866A63" w:rsidP="00EF116E">
            <w:pPr>
              <w:rPr>
                <w:sz w:val="20"/>
                <w:szCs w:val="20"/>
              </w:rPr>
            </w:pPr>
            <w:r w:rsidRPr="002E0C62">
              <w:t>83258</w:t>
            </w:r>
          </w:p>
        </w:tc>
        <w:tc>
          <w:tcPr>
            <w:tcW w:w="0" w:type="auto"/>
          </w:tcPr>
          <w:p w14:paraId="2234C04F" w14:textId="77777777" w:rsidR="00866A63" w:rsidRPr="002E0C62" w:rsidRDefault="00866A63" w:rsidP="00EF116E">
            <w:pPr>
              <w:rPr>
                <w:sz w:val="20"/>
                <w:szCs w:val="20"/>
              </w:rPr>
            </w:pPr>
            <w:r w:rsidRPr="002E0C62">
              <w:t>0.9931</w:t>
            </w:r>
          </w:p>
        </w:tc>
      </w:tr>
      <w:tr w:rsidR="00866A63" w:rsidRPr="002E0C62" w14:paraId="3A3AAC18" w14:textId="77777777" w:rsidTr="00866A63">
        <w:trPr>
          <w:trHeight w:val="13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A2B9D" w14:textId="2DC2A11F" w:rsidR="00866A63" w:rsidRPr="002E0C62" w:rsidRDefault="00866A63" w:rsidP="00EF116E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BE2B4" w14:textId="77777777" w:rsidR="00866A63" w:rsidRPr="002E0C62" w:rsidRDefault="00866A63" w:rsidP="00EF116E">
            <w:pPr>
              <w:jc w:val="right"/>
            </w:pPr>
            <w:r w:rsidRPr="002E0C6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4D507" w14:textId="77777777" w:rsidR="00866A63" w:rsidRPr="002E0C62" w:rsidRDefault="00866A63" w:rsidP="00EF116E">
            <w:pPr>
              <w:jc w:val="right"/>
            </w:pPr>
            <w:r w:rsidRPr="002E0C62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D4BE1" w14:textId="77777777" w:rsidR="00866A63" w:rsidRPr="002E0C62" w:rsidRDefault="00866A63" w:rsidP="00EF116E">
            <w:pPr>
              <w:jc w:val="right"/>
            </w:pPr>
            <w:r w:rsidRPr="002E0C62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4DB84" w14:textId="77777777" w:rsidR="00866A63" w:rsidRPr="002E0C62" w:rsidRDefault="00866A63" w:rsidP="00EF116E">
            <w:pPr>
              <w:jc w:val="right"/>
            </w:pPr>
            <w:r w:rsidRPr="002E0C62">
              <w:t>-741.62</w:t>
            </w:r>
          </w:p>
        </w:tc>
        <w:tc>
          <w:tcPr>
            <w:tcW w:w="0" w:type="auto"/>
          </w:tcPr>
          <w:p w14:paraId="4EE63C8E" w14:textId="77777777" w:rsidR="00866A63" w:rsidRPr="002E0C62" w:rsidRDefault="00866A63" w:rsidP="00EF116E">
            <w:pPr>
              <w:rPr>
                <w:sz w:val="20"/>
                <w:szCs w:val="20"/>
              </w:rPr>
            </w:pPr>
            <w:r w:rsidRPr="002E0C62">
              <w:t>83258</w:t>
            </w:r>
          </w:p>
        </w:tc>
        <w:tc>
          <w:tcPr>
            <w:tcW w:w="0" w:type="auto"/>
          </w:tcPr>
          <w:p w14:paraId="71ADF91C" w14:textId="77777777" w:rsidR="00866A63" w:rsidRPr="002E0C62" w:rsidRDefault="00866A63" w:rsidP="00EF116E">
            <w:pPr>
              <w:rPr>
                <w:sz w:val="20"/>
                <w:szCs w:val="20"/>
              </w:rPr>
            </w:pPr>
            <w:r w:rsidRPr="002E0C62">
              <w:t>0.9929</w:t>
            </w:r>
          </w:p>
        </w:tc>
      </w:tr>
    </w:tbl>
    <w:p w14:paraId="77E8F78C" w14:textId="77777777" w:rsidR="00AB31D4" w:rsidRDefault="00AB31D4" w:rsidP="00AB31D4">
      <w:pPr>
        <w:rPr>
          <w:b/>
          <w:lang w:val="en-GB"/>
        </w:rPr>
      </w:pPr>
    </w:p>
    <w:p w14:paraId="3F6DA61A" w14:textId="77777777" w:rsidR="00AB31D4" w:rsidRDefault="00AB31D4" w:rsidP="00AB31D4">
      <w:pPr>
        <w:rPr>
          <w:b/>
          <w:lang w:val="en-GB"/>
        </w:rPr>
      </w:pPr>
    </w:p>
    <w:p w14:paraId="18B60E5C" w14:textId="2BD82A16" w:rsidR="00394370" w:rsidRPr="00394370" w:rsidRDefault="00394370" w:rsidP="00394370">
      <w:pPr>
        <w:pStyle w:val="Beschriftung"/>
        <w:keepNext/>
        <w:rPr>
          <w:lang w:val="en-GB"/>
        </w:rPr>
      </w:pPr>
      <w:r w:rsidRPr="00FF4FE6">
        <w:rPr>
          <w:b/>
          <w:i w:val="0"/>
          <w:color w:val="000000" w:themeColor="text1"/>
          <w:sz w:val="22"/>
          <w:lang w:val="en-GB"/>
        </w:rPr>
        <w:t xml:space="preserve">Table </w:t>
      </w:r>
      <w:r>
        <w:rPr>
          <w:b/>
          <w:i w:val="0"/>
          <w:color w:val="000000" w:themeColor="text1"/>
          <w:sz w:val="22"/>
          <w:lang w:val="en-GB"/>
        </w:rPr>
        <w:t>4</w:t>
      </w:r>
      <w:r w:rsidRPr="00FF4FE6">
        <w:rPr>
          <w:i w:val="0"/>
          <w:color w:val="000000" w:themeColor="text1"/>
          <w:sz w:val="22"/>
          <w:lang w:val="en-GB"/>
        </w:rPr>
        <w:t xml:space="preserve">: </w:t>
      </w:r>
      <w:r w:rsidR="00101839">
        <w:rPr>
          <w:i w:val="0"/>
          <w:color w:val="000000" w:themeColor="text1"/>
          <w:sz w:val="22"/>
          <w:lang w:val="en-US"/>
        </w:rPr>
        <w:t>D</w:t>
      </w:r>
      <w:proofErr w:type="spellStart"/>
      <w:r>
        <w:rPr>
          <w:i w:val="0"/>
          <w:color w:val="000000" w:themeColor="text1"/>
          <w:sz w:val="22"/>
          <w:lang w:val="en-GB"/>
        </w:rPr>
        <w:t>ifferences</w:t>
      </w:r>
      <w:proofErr w:type="spellEnd"/>
      <w:r>
        <w:rPr>
          <w:i w:val="0"/>
          <w:color w:val="000000" w:themeColor="text1"/>
          <w:sz w:val="22"/>
          <w:lang w:val="en-GB"/>
        </w:rPr>
        <w:t xml:space="preserve"> of </w:t>
      </w:r>
      <w:r>
        <w:rPr>
          <w:i w:val="0"/>
          <w:color w:val="000000" w:themeColor="text1"/>
          <w:sz w:val="22"/>
          <w:lang w:val="en-GB"/>
        </w:rPr>
        <w:t xml:space="preserve">group-specific slopes based on model (2) for the </w:t>
      </w:r>
      <w:proofErr w:type="spellStart"/>
      <w:r>
        <w:rPr>
          <w:i w:val="0"/>
          <w:color w:val="000000" w:themeColor="text1"/>
          <w:sz w:val="22"/>
          <w:lang w:val="en-GB"/>
        </w:rPr>
        <w:t>Aman</w:t>
      </w:r>
      <w:proofErr w:type="spellEnd"/>
      <w:r>
        <w:rPr>
          <w:i w:val="0"/>
          <w:color w:val="000000" w:themeColor="text1"/>
          <w:sz w:val="22"/>
          <w:lang w:val="en-GB"/>
        </w:rPr>
        <w:t xml:space="preserve"> </w:t>
      </w:r>
      <w:r>
        <w:rPr>
          <w:i w:val="0"/>
          <w:color w:val="000000" w:themeColor="text1"/>
          <w:sz w:val="22"/>
          <w:lang w:val="en-GB"/>
        </w:rPr>
        <w:t>series.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Schätzungen"/>
      </w:tblPr>
      <w:tblGrid>
        <w:gridCol w:w="2244"/>
        <w:gridCol w:w="1050"/>
        <w:gridCol w:w="1530"/>
        <w:gridCol w:w="870"/>
      </w:tblGrid>
      <w:tr w:rsidR="002E7ACB" w14:paraId="525D9C30" w14:textId="77777777" w:rsidTr="00685D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EC799" w14:textId="77777777" w:rsidR="002E7ACB" w:rsidRPr="002E7ACB" w:rsidRDefault="002E7ACB" w:rsidP="00685D4A">
            <w:pPr>
              <w:rPr>
                <w:bCs/>
              </w:rPr>
            </w:pPr>
            <w:proofErr w:type="spellStart"/>
            <w:r w:rsidRPr="002E7ACB">
              <w:rPr>
                <w:bCs/>
              </w:rPr>
              <w:t>Difference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C19FD" w14:textId="77777777" w:rsidR="002E7ACB" w:rsidRDefault="002E7ACB" w:rsidP="00685D4A">
            <w:pPr>
              <w:jc w:val="right"/>
              <w:rPr>
                <w:b/>
                <w:bCs/>
              </w:rPr>
            </w:pPr>
            <w:proofErr w:type="spellStart"/>
            <w:r w:rsidRPr="002E0C62"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DDDD8" w14:textId="77777777" w:rsidR="002E7ACB" w:rsidRDefault="002E7ACB" w:rsidP="00685D4A">
            <w:pPr>
              <w:jc w:val="right"/>
              <w:rPr>
                <w:b/>
                <w:bCs/>
              </w:rPr>
            </w:pPr>
            <w:r w:rsidRPr="002E0C62">
              <w:rPr>
                <w:lang w:val="en-GB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486A1" w14:textId="77777777" w:rsidR="002E7ACB" w:rsidRDefault="002E7ACB" w:rsidP="00685D4A">
            <w:pPr>
              <w:jc w:val="right"/>
              <w:rPr>
                <w:b/>
                <w:bCs/>
              </w:rPr>
            </w:pPr>
            <w:r w:rsidRPr="002E0C62">
              <w:rPr>
                <w:lang w:val="en-GB"/>
              </w:rPr>
              <w:t>p-value</w:t>
            </w:r>
          </w:p>
        </w:tc>
      </w:tr>
      <w:tr w:rsidR="002E7ACB" w14:paraId="40568DD1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DC523" w14:textId="7A6DF152" w:rsidR="002E7ACB" w:rsidRPr="009810E1" w:rsidRDefault="009810E1" w:rsidP="00685D4A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</m:oMath>
            <w:r w:rsidR="002E7ACB" w:rsidRPr="009810E1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0B88B" w14:textId="77777777" w:rsidR="002E7ACB" w:rsidRDefault="002E7ACB" w:rsidP="00685D4A">
            <w:pPr>
              <w:jc w:val="right"/>
            </w:pPr>
            <w:r>
              <w:t>0.01642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46478" w14:textId="77777777" w:rsidR="002E7ACB" w:rsidRDefault="002E7ACB" w:rsidP="00685D4A">
            <w:pPr>
              <w:jc w:val="right"/>
            </w:pPr>
            <w:r>
              <w:t>0.01746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F1D5E" w14:textId="77777777" w:rsidR="002E7ACB" w:rsidRDefault="002E7ACB" w:rsidP="00685D4A">
            <w:pPr>
              <w:jc w:val="right"/>
            </w:pPr>
            <w:r>
              <w:t>0.3470</w:t>
            </w:r>
          </w:p>
        </w:tc>
      </w:tr>
      <w:tr w:rsidR="002E7ACB" w14:paraId="0CE74297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B6FB4" w14:textId="5B8451CD" w:rsidR="002E7ACB" w:rsidRDefault="009810E1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4931FF" w14:textId="77777777" w:rsidR="002E7ACB" w:rsidRDefault="002E7ACB" w:rsidP="00685D4A">
            <w:pPr>
              <w:jc w:val="right"/>
            </w:pPr>
            <w:r>
              <w:t>-0.00364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FC2CD" w14:textId="77777777" w:rsidR="002E7ACB" w:rsidRDefault="002E7ACB" w:rsidP="00685D4A">
            <w:pPr>
              <w:jc w:val="right"/>
            </w:pPr>
            <w:r>
              <w:t>0.01615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11107" w14:textId="77777777" w:rsidR="002E7ACB" w:rsidRDefault="002E7ACB" w:rsidP="00685D4A">
            <w:pPr>
              <w:jc w:val="right"/>
            </w:pPr>
            <w:r>
              <w:t>0.8216</w:t>
            </w:r>
          </w:p>
        </w:tc>
      </w:tr>
      <w:tr w:rsidR="002E7ACB" w14:paraId="426A5D28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256E0" w14:textId="57353429" w:rsidR="002E7ACB" w:rsidRDefault="009810E1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FB95CF" w14:textId="77777777" w:rsidR="002E7ACB" w:rsidRDefault="002E7ACB" w:rsidP="00685D4A">
            <w:pPr>
              <w:jc w:val="right"/>
            </w:pPr>
            <w:r>
              <w:t>-0.00238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EF626" w14:textId="77777777" w:rsidR="002E7ACB" w:rsidRDefault="002E7ACB" w:rsidP="00685D4A">
            <w:pPr>
              <w:jc w:val="right"/>
            </w:pPr>
            <w:r>
              <w:t>0.02152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5E260" w14:textId="77777777" w:rsidR="002E7ACB" w:rsidRDefault="002E7ACB" w:rsidP="00685D4A">
            <w:pPr>
              <w:jc w:val="right"/>
            </w:pPr>
            <w:r>
              <w:t>0.9119</w:t>
            </w:r>
          </w:p>
        </w:tc>
      </w:tr>
      <w:tr w:rsidR="002E7ACB" w14:paraId="2B391A61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4B109" w14:textId="579719EA" w:rsidR="002E7ACB" w:rsidRDefault="009810E1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885027" w14:textId="77777777" w:rsidR="002E7ACB" w:rsidRDefault="002E7ACB" w:rsidP="00685D4A">
            <w:pPr>
              <w:jc w:val="right"/>
            </w:pPr>
            <w:r>
              <w:t>-0.00612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7D69C" w14:textId="77777777" w:rsidR="002E7ACB" w:rsidRDefault="002E7ACB" w:rsidP="00685D4A">
            <w:pPr>
              <w:jc w:val="right"/>
            </w:pPr>
            <w:r>
              <w:t>0.03582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114D6" w14:textId="77777777" w:rsidR="002E7ACB" w:rsidRDefault="002E7ACB" w:rsidP="00685D4A">
            <w:pPr>
              <w:jc w:val="right"/>
            </w:pPr>
            <w:r>
              <w:t>0.8644</w:t>
            </w:r>
          </w:p>
        </w:tc>
      </w:tr>
      <w:tr w:rsidR="001F5414" w14:paraId="037B574C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5BD66" w14:textId="2541263F" w:rsidR="001F5414" w:rsidRDefault="001F5414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2FDACD" w14:textId="77777777" w:rsidR="001F5414" w:rsidRDefault="001F5414" w:rsidP="00685D4A">
            <w:pPr>
              <w:jc w:val="right"/>
            </w:pPr>
            <w:r>
              <w:t>-0.02006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9E820" w14:textId="77777777" w:rsidR="001F5414" w:rsidRDefault="001F5414" w:rsidP="00685D4A">
            <w:pPr>
              <w:jc w:val="right"/>
            </w:pPr>
            <w:r>
              <w:t>0.01103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04FE" w14:textId="77777777" w:rsidR="001F5414" w:rsidRDefault="001F5414" w:rsidP="00685D4A">
            <w:pPr>
              <w:jc w:val="right"/>
            </w:pPr>
            <w:r>
              <w:t>0.0690</w:t>
            </w:r>
          </w:p>
        </w:tc>
      </w:tr>
      <w:tr w:rsidR="001F5414" w14:paraId="480B995E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0BBFA" w14:textId="69051750" w:rsidR="001F5414" w:rsidRDefault="001F5414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C83698" w14:textId="77777777" w:rsidR="001F5414" w:rsidRDefault="001F5414" w:rsidP="00685D4A">
            <w:pPr>
              <w:jc w:val="right"/>
            </w:pPr>
            <w:r>
              <w:t>-0.01880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337B8" w14:textId="77777777" w:rsidR="001F5414" w:rsidRDefault="001F5414" w:rsidP="00685D4A">
            <w:pPr>
              <w:jc w:val="right"/>
            </w:pPr>
            <w:r>
              <w:t>0.01793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D40CB" w14:textId="77777777" w:rsidR="001F5414" w:rsidRDefault="001F5414" w:rsidP="00685D4A">
            <w:pPr>
              <w:jc w:val="right"/>
            </w:pPr>
            <w:r>
              <w:t>0.2946</w:t>
            </w:r>
          </w:p>
        </w:tc>
      </w:tr>
      <w:tr w:rsidR="001F5414" w14:paraId="1394F0A3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77B07" w14:textId="38EB2C02" w:rsidR="001F5414" w:rsidRDefault="001F5414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0760C8" w14:textId="77777777" w:rsidR="001F5414" w:rsidRDefault="001F5414" w:rsidP="00685D4A">
            <w:pPr>
              <w:jc w:val="right"/>
            </w:pPr>
            <w:r>
              <w:t>-0.02254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8BD10" w14:textId="77777777" w:rsidR="001F5414" w:rsidRDefault="001F5414" w:rsidP="00685D4A">
            <w:pPr>
              <w:jc w:val="right"/>
            </w:pPr>
            <w:r>
              <w:t>0.03381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9DF35" w14:textId="77777777" w:rsidR="001F5414" w:rsidRDefault="001F5414" w:rsidP="00685D4A">
            <w:pPr>
              <w:jc w:val="right"/>
            </w:pPr>
            <w:r>
              <w:t>0.5051</w:t>
            </w:r>
          </w:p>
        </w:tc>
      </w:tr>
      <w:tr w:rsidR="001F5414" w14:paraId="51EEDD18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064C5" w14:textId="2DA287B4" w:rsidR="001F5414" w:rsidRDefault="001F5414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6C550" w14:textId="77777777" w:rsidR="001F5414" w:rsidRDefault="001F5414" w:rsidP="00685D4A">
            <w:pPr>
              <w:jc w:val="right"/>
            </w:pPr>
            <w:r>
              <w:t>0.001262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C6F8B" w14:textId="77777777" w:rsidR="001F5414" w:rsidRDefault="001F5414" w:rsidP="00685D4A">
            <w:pPr>
              <w:jc w:val="right"/>
            </w:pPr>
            <w:r>
              <w:t>0.01668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00D65" w14:textId="77777777" w:rsidR="001F5414" w:rsidRDefault="001F5414" w:rsidP="00685D4A">
            <w:pPr>
              <w:jc w:val="right"/>
            </w:pPr>
            <w:r>
              <w:t>0.9397</w:t>
            </w:r>
          </w:p>
        </w:tc>
      </w:tr>
      <w:tr w:rsidR="001F5414" w14:paraId="48A799C0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4AFDE" w14:textId="0AE4EC92" w:rsidR="001F5414" w:rsidRDefault="001F5414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FBC2CB" w14:textId="77777777" w:rsidR="001F5414" w:rsidRDefault="001F5414" w:rsidP="00685D4A">
            <w:pPr>
              <w:jc w:val="right"/>
            </w:pPr>
            <w:r>
              <w:t>-0.00247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CDC36" w14:textId="77777777" w:rsidR="001F5414" w:rsidRDefault="001F5414" w:rsidP="00685D4A">
            <w:pPr>
              <w:jc w:val="right"/>
            </w:pPr>
            <w:r>
              <w:t>0.03316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8BDD5" w14:textId="77777777" w:rsidR="001F5414" w:rsidRDefault="001F5414" w:rsidP="00685D4A">
            <w:pPr>
              <w:jc w:val="right"/>
            </w:pPr>
            <w:r>
              <w:t>0.9405</w:t>
            </w:r>
          </w:p>
        </w:tc>
      </w:tr>
      <w:tr w:rsidR="002E7ACB" w14:paraId="0773F77F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240E0" w14:textId="0CDECBD6" w:rsidR="002E7ACB" w:rsidRDefault="00AE0279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3FC152" w14:textId="77777777" w:rsidR="002E7ACB" w:rsidRDefault="002E7ACB" w:rsidP="00685D4A">
            <w:pPr>
              <w:jc w:val="right"/>
            </w:pPr>
            <w:r>
              <w:t>-0.00374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82881" w14:textId="77777777" w:rsidR="002E7ACB" w:rsidRDefault="002E7ACB" w:rsidP="00685D4A">
            <w:pPr>
              <w:jc w:val="right"/>
            </w:pPr>
            <w:r>
              <w:t>0.03602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69BCD" w14:textId="77777777" w:rsidR="002E7ACB" w:rsidRDefault="002E7ACB" w:rsidP="00685D4A">
            <w:pPr>
              <w:jc w:val="right"/>
            </w:pPr>
            <w:r>
              <w:t>0.9174</w:t>
            </w:r>
          </w:p>
        </w:tc>
      </w:tr>
    </w:tbl>
    <w:p w14:paraId="7EBB49FB" w14:textId="77777777" w:rsidR="002E7ACB" w:rsidRDefault="002E7ACB" w:rsidP="00AB31D4">
      <w:pPr>
        <w:rPr>
          <w:b/>
          <w:lang w:val="en-GB"/>
        </w:rPr>
      </w:pPr>
    </w:p>
    <w:p w14:paraId="2E2E37D7" w14:textId="77777777" w:rsidR="00685D4A" w:rsidRDefault="00685D4A" w:rsidP="00394370">
      <w:pPr>
        <w:pStyle w:val="Beschriftung"/>
        <w:keepNext/>
        <w:rPr>
          <w:b/>
          <w:i w:val="0"/>
          <w:color w:val="000000" w:themeColor="text1"/>
          <w:sz w:val="22"/>
          <w:lang w:val="en-GB"/>
        </w:rPr>
      </w:pPr>
    </w:p>
    <w:p w14:paraId="28544EAA" w14:textId="77777777" w:rsidR="00685D4A" w:rsidRDefault="00685D4A" w:rsidP="00394370">
      <w:pPr>
        <w:pStyle w:val="Beschriftung"/>
        <w:keepNext/>
        <w:rPr>
          <w:b/>
          <w:i w:val="0"/>
          <w:color w:val="000000" w:themeColor="text1"/>
          <w:sz w:val="22"/>
          <w:lang w:val="en-GB"/>
        </w:rPr>
      </w:pPr>
    </w:p>
    <w:p w14:paraId="0B3323EA" w14:textId="1AE04218" w:rsidR="00394370" w:rsidRPr="00394370" w:rsidRDefault="00394370" w:rsidP="00394370">
      <w:pPr>
        <w:pStyle w:val="Beschriftung"/>
        <w:keepNext/>
        <w:rPr>
          <w:lang w:val="en-GB"/>
        </w:rPr>
      </w:pPr>
      <w:r w:rsidRPr="00FF4FE6">
        <w:rPr>
          <w:b/>
          <w:i w:val="0"/>
          <w:color w:val="000000" w:themeColor="text1"/>
          <w:sz w:val="22"/>
          <w:lang w:val="en-GB"/>
        </w:rPr>
        <w:t xml:space="preserve">Table </w:t>
      </w:r>
      <w:r>
        <w:rPr>
          <w:b/>
          <w:i w:val="0"/>
          <w:color w:val="000000" w:themeColor="text1"/>
          <w:sz w:val="22"/>
          <w:lang w:val="en-GB"/>
        </w:rPr>
        <w:t>5</w:t>
      </w:r>
      <w:r w:rsidRPr="00FF4FE6">
        <w:rPr>
          <w:i w:val="0"/>
          <w:color w:val="000000" w:themeColor="text1"/>
          <w:sz w:val="22"/>
          <w:lang w:val="en-GB"/>
        </w:rPr>
        <w:t xml:space="preserve">: </w:t>
      </w:r>
      <w:r w:rsidR="00101839">
        <w:rPr>
          <w:i w:val="0"/>
          <w:color w:val="000000" w:themeColor="text1"/>
          <w:sz w:val="22"/>
          <w:lang w:val="en-US"/>
        </w:rPr>
        <w:t>D</w:t>
      </w:r>
      <w:proofErr w:type="spellStart"/>
      <w:r>
        <w:rPr>
          <w:i w:val="0"/>
          <w:color w:val="000000" w:themeColor="text1"/>
          <w:sz w:val="22"/>
          <w:lang w:val="en-GB"/>
        </w:rPr>
        <w:t>ifferences</w:t>
      </w:r>
      <w:proofErr w:type="spellEnd"/>
      <w:r>
        <w:rPr>
          <w:i w:val="0"/>
          <w:color w:val="000000" w:themeColor="text1"/>
          <w:sz w:val="22"/>
          <w:lang w:val="en-GB"/>
        </w:rPr>
        <w:t xml:space="preserve"> of group-specific slopes based on model (2) for the </w:t>
      </w:r>
      <w:proofErr w:type="spellStart"/>
      <w:r>
        <w:rPr>
          <w:i w:val="0"/>
          <w:color w:val="000000" w:themeColor="text1"/>
          <w:sz w:val="22"/>
          <w:lang w:val="en-GB"/>
        </w:rPr>
        <w:t>Boro</w:t>
      </w:r>
      <w:proofErr w:type="spellEnd"/>
      <w:r>
        <w:rPr>
          <w:i w:val="0"/>
          <w:color w:val="000000" w:themeColor="text1"/>
          <w:sz w:val="22"/>
          <w:lang w:val="en-GB"/>
        </w:rPr>
        <w:t xml:space="preserve"> series.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Schätzungen"/>
      </w:tblPr>
      <w:tblGrid>
        <w:gridCol w:w="1752"/>
        <w:gridCol w:w="1050"/>
        <w:gridCol w:w="1530"/>
        <w:gridCol w:w="870"/>
      </w:tblGrid>
      <w:tr w:rsidR="002E7ACB" w14:paraId="66F75CD0" w14:textId="77777777" w:rsidTr="00685D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B6D65" w14:textId="77777777" w:rsidR="002E7ACB" w:rsidRDefault="002E7ACB" w:rsidP="00685D4A">
            <w:pPr>
              <w:rPr>
                <w:b/>
                <w:bCs/>
              </w:rPr>
            </w:pPr>
            <w:proofErr w:type="spellStart"/>
            <w:r w:rsidRPr="002E7ACB">
              <w:rPr>
                <w:bCs/>
              </w:rPr>
              <w:t>Difference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0A5B6" w14:textId="77777777" w:rsidR="002E7ACB" w:rsidRDefault="002E7ACB" w:rsidP="00685D4A">
            <w:pPr>
              <w:jc w:val="right"/>
              <w:rPr>
                <w:b/>
                <w:bCs/>
              </w:rPr>
            </w:pPr>
            <w:proofErr w:type="spellStart"/>
            <w:r w:rsidRPr="002E0C62"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23839" w14:textId="77777777" w:rsidR="002E7ACB" w:rsidRDefault="002E7ACB" w:rsidP="00685D4A">
            <w:pPr>
              <w:jc w:val="right"/>
              <w:rPr>
                <w:b/>
                <w:bCs/>
              </w:rPr>
            </w:pPr>
            <w:r w:rsidRPr="002E0C62">
              <w:rPr>
                <w:lang w:val="en-GB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394FC" w14:textId="77777777" w:rsidR="002E7ACB" w:rsidRDefault="002E7ACB" w:rsidP="00685D4A">
            <w:pPr>
              <w:jc w:val="right"/>
              <w:rPr>
                <w:b/>
                <w:bCs/>
              </w:rPr>
            </w:pPr>
            <w:r w:rsidRPr="002E0C62">
              <w:rPr>
                <w:lang w:val="en-GB"/>
              </w:rPr>
              <w:t>p-value</w:t>
            </w:r>
          </w:p>
        </w:tc>
      </w:tr>
      <w:tr w:rsidR="002E7ACB" w14:paraId="6FD1E05D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08C87" w14:textId="3A9E8FF3" w:rsidR="002E7ACB" w:rsidRDefault="00AE0279" w:rsidP="00685D4A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Long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Short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BDF47" w14:textId="77777777" w:rsidR="002E7ACB" w:rsidRDefault="002E7ACB" w:rsidP="00685D4A">
            <w:pPr>
              <w:jc w:val="right"/>
            </w:pPr>
            <w:r>
              <w:t>0.001171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15E2A" w14:textId="77777777" w:rsidR="002E7ACB" w:rsidRDefault="002E7ACB" w:rsidP="00685D4A">
            <w:pPr>
              <w:jc w:val="right"/>
            </w:pPr>
            <w:r>
              <w:t>0.007979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65403" w14:textId="77777777" w:rsidR="002E7ACB" w:rsidRDefault="002E7ACB" w:rsidP="00685D4A">
            <w:pPr>
              <w:jc w:val="right"/>
            </w:pPr>
            <w:r>
              <w:t>0.8833</w:t>
            </w:r>
          </w:p>
        </w:tc>
      </w:tr>
      <w:tr w:rsidR="002E7ACB" w14:paraId="2A170025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9317D" w14:textId="0B484D00" w:rsidR="002E7ACB" w:rsidRDefault="007F0F19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0C8338" w14:textId="77777777" w:rsidR="002E7ACB" w:rsidRDefault="002E7ACB" w:rsidP="00685D4A">
            <w:pPr>
              <w:jc w:val="right"/>
            </w:pPr>
            <w:r>
              <w:t>-0.00763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2CA04" w14:textId="77777777" w:rsidR="002E7ACB" w:rsidRDefault="002E7ACB" w:rsidP="00685D4A">
            <w:pPr>
              <w:jc w:val="right"/>
            </w:pPr>
            <w:r>
              <w:t>0.01114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CF105" w14:textId="77777777" w:rsidR="002E7ACB" w:rsidRDefault="002E7ACB" w:rsidP="00685D4A">
            <w:pPr>
              <w:jc w:val="right"/>
            </w:pPr>
            <w:r>
              <w:t>0.4935</w:t>
            </w:r>
          </w:p>
        </w:tc>
      </w:tr>
      <w:tr w:rsidR="002E7ACB" w14:paraId="660BC8A0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D4F2D" w14:textId="2DD276C3" w:rsidR="002E7ACB" w:rsidRDefault="007F0F19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8352FB" w14:textId="77777777" w:rsidR="002E7ACB" w:rsidRDefault="002E7ACB" w:rsidP="00685D4A">
            <w:pPr>
              <w:jc w:val="right"/>
            </w:pPr>
            <w:r>
              <w:t>-0.00880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334A8" w14:textId="77777777" w:rsidR="002E7ACB" w:rsidRDefault="002E7ACB" w:rsidP="00685D4A">
            <w:pPr>
              <w:jc w:val="right"/>
            </w:pPr>
            <w:r>
              <w:t>0.01187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80A30" w14:textId="77777777" w:rsidR="002E7ACB" w:rsidRDefault="002E7ACB" w:rsidP="00685D4A">
            <w:pPr>
              <w:jc w:val="right"/>
            </w:pPr>
            <w:r>
              <w:t>0.4585</w:t>
            </w:r>
          </w:p>
        </w:tc>
      </w:tr>
    </w:tbl>
    <w:p w14:paraId="164CBD82" w14:textId="07BED875" w:rsidR="00AB31D4" w:rsidRDefault="00AB31D4" w:rsidP="00AB31D4">
      <w:pPr>
        <w:rPr>
          <w:b/>
          <w:lang w:val="en-GB"/>
        </w:rPr>
      </w:pPr>
    </w:p>
    <w:p w14:paraId="1C788797" w14:textId="77777777" w:rsidR="00AB31D4" w:rsidRDefault="00AB31D4" w:rsidP="00AB31D4">
      <w:pPr>
        <w:rPr>
          <w:b/>
          <w:lang w:val="en-GB"/>
        </w:rPr>
      </w:pPr>
    </w:p>
    <w:p w14:paraId="4632B6E5" w14:textId="63E7BF3C" w:rsidR="00680A8B" w:rsidRDefault="00680A8B" w:rsidP="00680A8B">
      <w:pPr>
        <w:rPr>
          <w:b/>
          <w:lang w:val="en-GB"/>
        </w:rPr>
      </w:pPr>
    </w:p>
    <w:p w14:paraId="4CA0468D" w14:textId="61F2F442" w:rsidR="00AB31D4" w:rsidRDefault="00AB31D4" w:rsidP="00680A8B">
      <w:pPr>
        <w:rPr>
          <w:b/>
          <w:lang w:val="en-GB"/>
        </w:rPr>
      </w:pPr>
    </w:p>
    <w:p w14:paraId="40917CF1" w14:textId="7C0E4223" w:rsidR="00AB31D4" w:rsidRDefault="00AB31D4" w:rsidP="00680A8B">
      <w:pPr>
        <w:rPr>
          <w:b/>
          <w:lang w:val="en-GB"/>
        </w:rPr>
      </w:pPr>
    </w:p>
    <w:p w14:paraId="4A0C30AD" w14:textId="5A51A31F" w:rsidR="00C854B3" w:rsidRDefault="00C854B3" w:rsidP="00680A8B">
      <w:pPr>
        <w:rPr>
          <w:b/>
          <w:lang w:val="en-GB"/>
        </w:rPr>
      </w:pPr>
    </w:p>
    <w:p w14:paraId="08EBD0EE" w14:textId="5937F3A3" w:rsidR="00C854B3" w:rsidRDefault="00C854B3" w:rsidP="00680A8B">
      <w:pPr>
        <w:rPr>
          <w:b/>
          <w:lang w:val="en-GB"/>
        </w:rPr>
      </w:pPr>
    </w:p>
    <w:p w14:paraId="528A9612" w14:textId="0CD59815" w:rsidR="00C854B3" w:rsidRDefault="00C854B3" w:rsidP="00680A8B">
      <w:pPr>
        <w:rPr>
          <w:b/>
          <w:lang w:val="en-GB"/>
        </w:rPr>
      </w:pPr>
    </w:p>
    <w:p w14:paraId="79380D6E" w14:textId="570697A0" w:rsidR="00C854B3" w:rsidRDefault="00C854B3" w:rsidP="00680A8B">
      <w:pPr>
        <w:rPr>
          <w:b/>
          <w:lang w:val="en-GB"/>
        </w:rPr>
      </w:pPr>
    </w:p>
    <w:p w14:paraId="32F3B137" w14:textId="58761480" w:rsidR="002E7ACB" w:rsidRDefault="002E7ACB" w:rsidP="00680A8B">
      <w:pPr>
        <w:rPr>
          <w:b/>
          <w:lang w:val="en-GB"/>
        </w:rPr>
      </w:pPr>
    </w:p>
    <w:p w14:paraId="44FD576E" w14:textId="59A6A42F" w:rsidR="002E7ACB" w:rsidRDefault="002E7ACB" w:rsidP="00680A8B">
      <w:pPr>
        <w:rPr>
          <w:b/>
          <w:lang w:val="en-GB"/>
        </w:rPr>
      </w:pPr>
    </w:p>
    <w:p w14:paraId="12B99485" w14:textId="77777777" w:rsidR="002F5824" w:rsidRDefault="002F5824" w:rsidP="00680A8B">
      <w:pPr>
        <w:rPr>
          <w:b/>
          <w:lang w:val="en-GB"/>
        </w:rPr>
      </w:pPr>
    </w:p>
    <w:p w14:paraId="3A066FEA" w14:textId="77777777" w:rsidR="006E298E" w:rsidRDefault="00680A8B" w:rsidP="00E11BAE">
      <w:pPr>
        <w:keepNext/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165C7B2A" wp14:editId="6D2FFB75">
            <wp:extent cx="5753100" cy="3409950"/>
            <wp:effectExtent l="0" t="0" r="0" b="0"/>
            <wp:docPr id="1" name="Grafik 1" descr="second data inspection means aman shuk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econd data inspection means aman shukl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1"/>
                    <a:stretch/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2A281" w14:textId="5DEFA8EA" w:rsidR="00680A8B" w:rsidRDefault="006E298E">
      <w:pPr>
        <w:rPr>
          <w:lang w:val="en-GB"/>
        </w:rPr>
      </w:pPr>
      <w:r w:rsidRPr="00406195">
        <w:rPr>
          <w:b/>
          <w:lang w:val="en-GB"/>
        </w:rPr>
        <w:t xml:space="preserve">Figure </w:t>
      </w:r>
      <w:r w:rsidR="00972148">
        <w:rPr>
          <w:b/>
          <w:lang w:val="en-GB"/>
        </w:rPr>
        <w:t>7</w:t>
      </w:r>
      <w:r w:rsidRPr="00406195">
        <w:rPr>
          <w:b/>
          <w:lang w:val="en-GB"/>
        </w:rPr>
        <w:t>.</w:t>
      </w:r>
      <w:r>
        <w:rPr>
          <w:lang w:val="en-GB"/>
        </w:rPr>
        <w:t xml:space="preserve"> Shukla’s stability variances and their standard error for each genotype estimated via (3) for T.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seasons.</w:t>
      </w:r>
      <w:r w:rsidR="002F5824">
        <w:rPr>
          <w:lang w:val="en-GB"/>
        </w:rPr>
        <w:t xml:space="preserve"> </w:t>
      </w:r>
    </w:p>
    <w:p w14:paraId="2741BC2B" w14:textId="5FEA4629" w:rsidR="00177277" w:rsidRDefault="00177277" w:rsidP="007A5D73">
      <w:pPr>
        <w:rPr>
          <w:lang w:val="en-GB"/>
        </w:rPr>
      </w:pPr>
    </w:p>
    <w:p w14:paraId="2FD4ACA4" w14:textId="77777777" w:rsidR="006E298E" w:rsidRDefault="006E298E" w:rsidP="006E298E">
      <w:pPr>
        <w:rPr>
          <w:b/>
          <w:lang w:val="en-GB"/>
        </w:rPr>
      </w:pPr>
    </w:p>
    <w:p w14:paraId="0CEFDB7C" w14:textId="77777777" w:rsidR="006E298E" w:rsidRDefault="006E298E" w:rsidP="006E298E">
      <w:pPr>
        <w:rPr>
          <w:b/>
          <w:lang w:val="en-GB"/>
        </w:rPr>
      </w:pPr>
    </w:p>
    <w:p w14:paraId="68C3D798" w14:textId="77777777" w:rsidR="006E298E" w:rsidRDefault="006E298E" w:rsidP="006E298E">
      <w:pPr>
        <w:rPr>
          <w:b/>
          <w:lang w:val="en-GB"/>
        </w:rPr>
      </w:pPr>
    </w:p>
    <w:p w14:paraId="3C32E139" w14:textId="77777777" w:rsidR="006E298E" w:rsidRDefault="006E298E" w:rsidP="006E298E">
      <w:pPr>
        <w:keepNext/>
      </w:pPr>
      <w:r>
        <w:rPr>
          <w:b/>
          <w:noProof/>
          <w:lang w:val="en-GB" w:eastAsia="en-GB"/>
        </w:rPr>
        <w:drawing>
          <wp:inline distT="0" distB="0" distL="0" distR="0" wp14:anchorId="3E4F0477" wp14:editId="4B00B0E5">
            <wp:extent cx="5753100" cy="3400425"/>
            <wp:effectExtent l="0" t="0" r="0" b="9525"/>
            <wp:docPr id="3" name="Grafik 3" descr="second data inspection means boro shuk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econd data inspection means boro shukl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71CFB" w14:textId="71CFABF9" w:rsidR="006E298E" w:rsidRDefault="006E298E" w:rsidP="006E298E">
      <w:pPr>
        <w:rPr>
          <w:lang w:val="en-GB"/>
        </w:rPr>
      </w:pPr>
      <w:r>
        <w:rPr>
          <w:b/>
          <w:lang w:val="en-GB"/>
        </w:rPr>
        <w:t xml:space="preserve">Figure </w:t>
      </w:r>
      <w:r w:rsidR="00972148">
        <w:rPr>
          <w:b/>
          <w:lang w:val="en-GB"/>
        </w:rPr>
        <w:t>8</w:t>
      </w:r>
      <w:r w:rsidRPr="00406195">
        <w:rPr>
          <w:b/>
          <w:lang w:val="en-GB"/>
        </w:rPr>
        <w:t>.</w:t>
      </w:r>
      <w:r>
        <w:rPr>
          <w:lang w:val="en-GB"/>
        </w:rPr>
        <w:t xml:space="preserve"> Shukla’s stability variances and their standard error for each genotype estimated via (3) for </w:t>
      </w:r>
      <w:proofErr w:type="spellStart"/>
      <w:r>
        <w:rPr>
          <w:lang w:val="en-GB"/>
        </w:rPr>
        <w:t>Boro</w:t>
      </w:r>
      <w:proofErr w:type="spellEnd"/>
      <w:r>
        <w:rPr>
          <w:lang w:val="en-GB"/>
        </w:rPr>
        <w:t xml:space="preserve"> seasons.</w:t>
      </w:r>
    </w:p>
    <w:p w14:paraId="4B44D57E" w14:textId="59EFFEBF" w:rsidR="006E298E" w:rsidRDefault="006E298E" w:rsidP="007A5D73">
      <w:pPr>
        <w:rPr>
          <w:lang w:val="en-GB"/>
        </w:rPr>
      </w:pPr>
    </w:p>
    <w:p w14:paraId="670CCB96" w14:textId="223B96A5" w:rsidR="00874EC9" w:rsidRDefault="00874EC9" w:rsidP="007A5D73">
      <w:pPr>
        <w:rPr>
          <w:lang w:val="en-GB"/>
        </w:rPr>
      </w:pPr>
    </w:p>
    <w:p w14:paraId="630EF814" w14:textId="7CEF5015" w:rsidR="00874EC9" w:rsidRDefault="00874EC9" w:rsidP="007A5D73">
      <w:pPr>
        <w:rPr>
          <w:lang w:val="en-GB"/>
        </w:rPr>
      </w:pPr>
    </w:p>
    <w:p w14:paraId="03E02188" w14:textId="06FE9993" w:rsidR="00874EC9" w:rsidRDefault="00874EC9" w:rsidP="007A5D73">
      <w:pPr>
        <w:rPr>
          <w:lang w:val="en-GB"/>
        </w:rPr>
      </w:pPr>
    </w:p>
    <w:p w14:paraId="57120821" w14:textId="77777777" w:rsidR="00874EC9" w:rsidRPr="00874EC9" w:rsidRDefault="00874EC9" w:rsidP="00874EC9">
      <w:pPr>
        <w:spacing w:line="276" w:lineRule="auto"/>
        <w:jc w:val="both"/>
        <w:rPr>
          <w:rFonts w:eastAsiaTheme="minorEastAsia"/>
          <w:b/>
          <w:iCs/>
          <w:lang w:val="en-GB"/>
        </w:rPr>
      </w:pPr>
      <w:r w:rsidRPr="00874EC9">
        <w:rPr>
          <w:rFonts w:eastAsiaTheme="minorEastAsia"/>
          <w:b/>
          <w:iCs/>
          <w:lang w:val="en-GB"/>
        </w:rPr>
        <w:lastRenderedPageBreak/>
        <w:t>References</w:t>
      </w:r>
    </w:p>
    <w:p w14:paraId="5600CEE5" w14:textId="4493647E" w:rsidR="00874EC9" w:rsidRPr="00A948D4" w:rsidRDefault="00174E7D" w:rsidP="00874EC9">
      <w:pPr>
        <w:rPr>
          <w:lang w:val="en-GB"/>
        </w:rPr>
      </w:pPr>
      <w:r>
        <w:rPr>
          <w:lang w:val="en-GB"/>
        </w:rPr>
        <w:t>BRRI ,2017.</w:t>
      </w:r>
      <w:r w:rsidR="00874EC9" w:rsidRPr="00A948D4">
        <w:rPr>
          <w:lang w:val="en-GB"/>
        </w:rPr>
        <w:t xml:space="preserve"> Modern Rice Cultivation, 20th Edition, Bangladesh Rice Research Institute (BRRI), Gazipur-1701.</w:t>
      </w:r>
    </w:p>
    <w:p w14:paraId="099FB6E5" w14:textId="77777777" w:rsidR="00874EC9" w:rsidRPr="00874EC9" w:rsidRDefault="00874EC9" w:rsidP="00874EC9">
      <w:pPr>
        <w:spacing w:line="276" w:lineRule="auto"/>
        <w:jc w:val="both"/>
        <w:rPr>
          <w:rFonts w:cstheme="minorHAnsi"/>
          <w:lang w:val="en-GB"/>
        </w:rPr>
      </w:pPr>
      <w:proofErr w:type="spellStart"/>
      <w:r w:rsidRPr="00874EC9">
        <w:rPr>
          <w:rFonts w:cstheme="minorHAnsi"/>
          <w:lang w:val="en-GB"/>
        </w:rPr>
        <w:t>Piepho</w:t>
      </w:r>
      <w:proofErr w:type="spellEnd"/>
      <w:r w:rsidRPr="00874EC9">
        <w:rPr>
          <w:rFonts w:cstheme="minorHAnsi"/>
          <w:lang w:val="en-GB"/>
        </w:rPr>
        <w:t xml:space="preserve">, H.P., </w:t>
      </w:r>
      <w:proofErr w:type="spellStart"/>
      <w:r w:rsidRPr="00874EC9">
        <w:rPr>
          <w:rFonts w:cstheme="minorHAnsi"/>
          <w:lang w:val="en-GB"/>
        </w:rPr>
        <w:t>Laidig</w:t>
      </w:r>
      <w:proofErr w:type="spellEnd"/>
      <w:r w:rsidRPr="00874EC9">
        <w:rPr>
          <w:rFonts w:cstheme="minorHAnsi"/>
          <w:lang w:val="en-GB"/>
        </w:rPr>
        <w:t xml:space="preserve">, F., </w:t>
      </w:r>
      <w:proofErr w:type="spellStart"/>
      <w:r w:rsidRPr="00874EC9">
        <w:rPr>
          <w:rFonts w:cstheme="minorHAnsi"/>
          <w:lang w:val="en-GB"/>
        </w:rPr>
        <w:t>Drobek</w:t>
      </w:r>
      <w:proofErr w:type="spellEnd"/>
      <w:r w:rsidRPr="00874EC9">
        <w:rPr>
          <w:rFonts w:cstheme="minorHAnsi"/>
          <w:lang w:val="en-GB"/>
        </w:rPr>
        <w:t>, T., Meyer, U., 2014. Dissecting genetic and non-genetic sources of long-term yield trend in German official variety trials. Theoretical and Applied Genetics 127, 1009-1018.</w:t>
      </w:r>
    </w:p>
    <w:p w14:paraId="4F382391" w14:textId="77777777" w:rsidR="00874EC9" w:rsidRDefault="00874EC9" w:rsidP="00874EC9">
      <w:pPr>
        <w:spacing w:line="276" w:lineRule="auto"/>
        <w:jc w:val="both"/>
        <w:rPr>
          <w:rFonts w:cstheme="minorHAnsi"/>
        </w:rPr>
      </w:pPr>
      <w:r w:rsidRPr="00874EC9">
        <w:rPr>
          <w:rFonts w:cstheme="minorHAnsi"/>
          <w:lang w:val="en-GB"/>
        </w:rPr>
        <w:t xml:space="preserve">Shukla, G.K., 1972. Some statistical aspects of partitioning genotype-environmental components of variability. </w:t>
      </w:r>
      <w:proofErr w:type="spellStart"/>
      <w:r w:rsidRPr="00E81C25">
        <w:rPr>
          <w:rFonts w:cstheme="minorHAnsi"/>
        </w:rPr>
        <w:t>Heredity</w:t>
      </w:r>
      <w:proofErr w:type="spellEnd"/>
      <w:r w:rsidRPr="00E81C25">
        <w:rPr>
          <w:rFonts w:cstheme="minorHAnsi"/>
        </w:rPr>
        <w:t xml:space="preserve"> 29, 237-245.</w:t>
      </w:r>
    </w:p>
    <w:p w14:paraId="705658DE" w14:textId="669A8E4D" w:rsidR="00874EC9" w:rsidRDefault="00874EC9" w:rsidP="007A5D73">
      <w:pPr>
        <w:rPr>
          <w:lang w:val="en-GB"/>
        </w:rPr>
      </w:pPr>
    </w:p>
    <w:sectPr w:rsidR="00874EC9">
      <w:footerReference w:type="even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238E0" w14:textId="77777777" w:rsidR="00B150A7" w:rsidRDefault="00B150A7">
      <w:r>
        <w:separator/>
      </w:r>
    </w:p>
  </w:endnote>
  <w:endnote w:type="continuationSeparator" w:id="0">
    <w:p w14:paraId="4935873E" w14:textId="77777777" w:rsidR="00B150A7" w:rsidRDefault="00B1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15D87" w14:textId="77777777" w:rsidR="001A5B82" w:rsidRDefault="001A5B82" w:rsidP="00DE499E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1EDF6E9" w14:textId="77777777" w:rsidR="001A5B82" w:rsidRDefault="001A5B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6A4AB" w14:textId="0DDAC355" w:rsidR="001A5B82" w:rsidRDefault="001A5B82" w:rsidP="00DE499E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D4FD9">
      <w:rPr>
        <w:rStyle w:val="Seitenzahl"/>
        <w:noProof/>
      </w:rPr>
      <w:t>10</w:t>
    </w:r>
    <w:r>
      <w:rPr>
        <w:rStyle w:val="Seitenzahl"/>
      </w:rPr>
      <w:fldChar w:fldCharType="end"/>
    </w:r>
  </w:p>
  <w:p w14:paraId="0A482EA2" w14:textId="77777777" w:rsidR="001A5B82" w:rsidRDefault="001A5B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7207C" w14:textId="77777777" w:rsidR="00B150A7" w:rsidRDefault="00B150A7">
      <w:r>
        <w:separator/>
      </w:r>
    </w:p>
  </w:footnote>
  <w:footnote w:type="continuationSeparator" w:id="0">
    <w:p w14:paraId="6A8DB232" w14:textId="77777777" w:rsidR="00B150A7" w:rsidRDefault="00B15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1E"/>
    <w:rsid w:val="00006265"/>
    <w:rsid w:val="0001395F"/>
    <w:rsid w:val="00020BC8"/>
    <w:rsid w:val="00040BFF"/>
    <w:rsid w:val="00044523"/>
    <w:rsid w:val="000464AE"/>
    <w:rsid w:val="00056242"/>
    <w:rsid w:val="000569EF"/>
    <w:rsid w:val="00064167"/>
    <w:rsid w:val="00071810"/>
    <w:rsid w:val="00072432"/>
    <w:rsid w:val="00081280"/>
    <w:rsid w:val="0008311C"/>
    <w:rsid w:val="00084FDA"/>
    <w:rsid w:val="0009305D"/>
    <w:rsid w:val="00096F0B"/>
    <w:rsid w:val="000A1043"/>
    <w:rsid w:val="000A507E"/>
    <w:rsid w:val="000B04C5"/>
    <w:rsid w:val="000B05DD"/>
    <w:rsid w:val="000B1916"/>
    <w:rsid w:val="000B78F0"/>
    <w:rsid w:val="000C2588"/>
    <w:rsid w:val="000C4507"/>
    <w:rsid w:val="000F3610"/>
    <w:rsid w:val="00101839"/>
    <w:rsid w:val="00105283"/>
    <w:rsid w:val="001057F1"/>
    <w:rsid w:val="001063F0"/>
    <w:rsid w:val="00107FBD"/>
    <w:rsid w:val="00110176"/>
    <w:rsid w:val="00111341"/>
    <w:rsid w:val="0011151B"/>
    <w:rsid w:val="0011166E"/>
    <w:rsid w:val="00114675"/>
    <w:rsid w:val="00115C0F"/>
    <w:rsid w:val="001254B9"/>
    <w:rsid w:val="00131301"/>
    <w:rsid w:val="00143F77"/>
    <w:rsid w:val="001442DE"/>
    <w:rsid w:val="001463C6"/>
    <w:rsid w:val="00146EFB"/>
    <w:rsid w:val="00153D04"/>
    <w:rsid w:val="00156F79"/>
    <w:rsid w:val="00157301"/>
    <w:rsid w:val="00161BED"/>
    <w:rsid w:val="001639F2"/>
    <w:rsid w:val="001673E5"/>
    <w:rsid w:val="001709FB"/>
    <w:rsid w:val="00174138"/>
    <w:rsid w:val="00174E7D"/>
    <w:rsid w:val="00177277"/>
    <w:rsid w:val="00180CB8"/>
    <w:rsid w:val="0019349B"/>
    <w:rsid w:val="0019603B"/>
    <w:rsid w:val="001A5B82"/>
    <w:rsid w:val="001C3E93"/>
    <w:rsid w:val="001D16EF"/>
    <w:rsid w:val="001D4385"/>
    <w:rsid w:val="001E149D"/>
    <w:rsid w:val="001E706E"/>
    <w:rsid w:val="001F1A96"/>
    <w:rsid w:val="001F5414"/>
    <w:rsid w:val="001F6EFF"/>
    <w:rsid w:val="002009A6"/>
    <w:rsid w:val="0021213D"/>
    <w:rsid w:val="002168C6"/>
    <w:rsid w:val="00221B90"/>
    <w:rsid w:val="00224582"/>
    <w:rsid w:val="00236654"/>
    <w:rsid w:val="0024459E"/>
    <w:rsid w:val="00251D8C"/>
    <w:rsid w:val="0025441C"/>
    <w:rsid w:val="0026273D"/>
    <w:rsid w:val="00264B6B"/>
    <w:rsid w:val="00280A31"/>
    <w:rsid w:val="002863CB"/>
    <w:rsid w:val="00297674"/>
    <w:rsid w:val="002A2501"/>
    <w:rsid w:val="002B01EB"/>
    <w:rsid w:val="002C03AC"/>
    <w:rsid w:val="002C1C73"/>
    <w:rsid w:val="002C259B"/>
    <w:rsid w:val="002C34DB"/>
    <w:rsid w:val="002C4642"/>
    <w:rsid w:val="002C5A1D"/>
    <w:rsid w:val="002C61E2"/>
    <w:rsid w:val="002C74E9"/>
    <w:rsid w:val="002E0C62"/>
    <w:rsid w:val="002E2868"/>
    <w:rsid w:val="002E50DA"/>
    <w:rsid w:val="002E692E"/>
    <w:rsid w:val="002E7ACB"/>
    <w:rsid w:val="002F53DD"/>
    <w:rsid w:val="002F5824"/>
    <w:rsid w:val="00305A9E"/>
    <w:rsid w:val="00307ECB"/>
    <w:rsid w:val="00310688"/>
    <w:rsid w:val="003210C0"/>
    <w:rsid w:val="00324070"/>
    <w:rsid w:val="003263DB"/>
    <w:rsid w:val="00333BD0"/>
    <w:rsid w:val="00333CD4"/>
    <w:rsid w:val="0034676C"/>
    <w:rsid w:val="0036749F"/>
    <w:rsid w:val="003722DD"/>
    <w:rsid w:val="00381430"/>
    <w:rsid w:val="00386280"/>
    <w:rsid w:val="00387161"/>
    <w:rsid w:val="00387629"/>
    <w:rsid w:val="00391BE6"/>
    <w:rsid w:val="00392A26"/>
    <w:rsid w:val="00393829"/>
    <w:rsid w:val="00394370"/>
    <w:rsid w:val="003A039F"/>
    <w:rsid w:val="003C2673"/>
    <w:rsid w:val="003C32B0"/>
    <w:rsid w:val="003C6980"/>
    <w:rsid w:val="003D2F28"/>
    <w:rsid w:val="003D510A"/>
    <w:rsid w:val="003E452E"/>
    <w:rsid w:val="003E7005"/>
    <w:rsid w:val="00405693"/>
    <w:rsid w:val="0041614D"/>
    <w:rsid w:val="004244A4"/>
    <w:rsid w:val="00425539"/>
    <w:rsid w:val="00432721"/>
    <w:rsid w:val="00433A03"/>
    <w:rsid w:val="00437CE5"/>
    <w:rsid w:val="00442405"/>
    <w:rsid w:val="00445371"/>
    <w:rsid w:val="004602F6"/>
    <w:rsid w:val="004609B7"/>
    <w:rsid w:val="00463D1B"/>
    <w:rsid w:val="004710C0"/>
    <w:rsid w:val="0047121D"/>
    <w:rsid w:val="00472B78"/>
    <w:rsid w:val="00474838"/>
    <w:rsid w:val="004768D8"/>
    <w:rsid w:val="00482D80"/>
    <w:rsid w:val="00483372"/>
    <w:rsid w:val="004849EE"/>
    <w:rsid w:val="004859F8"/>
    <w:rsid w:val="0048671B"/>
    <w:rsid w:val="00491EDC"/>
    <w:rsid w:val="00492D67"/>
    <w:rsid w:val="0049578D"/>
    <w:rsid w:val="004A12D3"/>
    <w:rsid w:val="004A6B5C"/>
    <w:rsid w:val="004B4CAE"/>
    <w:rsid w:val="004C505C"/>
    <w:rsid w:val="004D7719"/>
    <w:rsid w:val="004D79A3"/>
    <w:rsid w:val="004E0CE0"/>
    <w:rsid w:val="004E5329"/>
    <w:rsid w:val="004F28ED"/>
    <w:rsid w:val="004F6732"/>
    <w:rsid w:val="004F761D"/>
    <w:rsid w:val="00500615"/>
    <w:rsid w:val="005019B3"/>
    <w:rsid w:val="00505216"/>
    <w:rsid w:val="00507B2A"/>
    <w:rsid w:val="0051312D"/>
    <w:rsid w:val="00526FC3"/>
    <w:rsid w:val="00552168"/>
    <w:rsid w:val="0055363B"/>
    <w:rsid w:val="005571BD"/>
    <w:rsid w:val="00586EBF"/>
    <w:rsid w:val="00587806"/>
    <w:rsid w:val="00595012"/>
    <w:rsid w:val="00596D5A"/>
    <w:rsid w:val="005A3E88"/>
    <w:rsid w:val="005B7C1E"/>
    <w:rsid w:val="005C252C"/>
    <w:rsid w:val="005C5BE1"/>
    <w:rsid w:val="005C69C4"/>
    <w:rsid w:val="005D01C5"/>
    <w:rsid w:val="005D2F0C"/>
    <w:rsid w:val="005D4E00"/>
    <w:rsid w:val="005F0A9B"/>
    <w:rsid w:val="005F2E8E"/>
    <w:rsid w:val="005F35CB"/>
    <w:rsid w:val="005F41A6"/>
    <w:rsid w:val="00604F1F"/>
    <w:rsid w:val="0060594B"/>
    <w:rsid w:val="006226D1"/>
    <w:rsid w:val="00623229"/>
    <w:rsid w:val="00627907"/>
    <w:rsid w:val="006334D2"/>
    <w:rsid w:val="00636C0D"/>
    <w:rsid w:val="006453E8"/>
    <w:rsid w:val="00647220"/>
    <w:rsid w:val="00651085"/>
    <w:rsid w:val="006517AD"/>
    <w:rsid w:val="00653F4D"/>
    <w:rsid w:val="00667FB1"/>
    <w:rsid w:val="00674BEC"/>
    <w:rsid w:val="00674D9C"/>
    <w:rsid w:val="00680A8B"/>
    <w:rsid w:val="00681441"/>
    <w:rsid w:val="006844C4"/>
    <w:rsid w:val="00685D4A"/>
    <w:rsid w:val="00697748"/>
    <w:rsid w:val="00697F2B"/>
    <w:rsid w:val="006A1542"/>
    <w:rsid w:val="006A2DC8"/>
    <w:rsid w:val="006B50CA"/>
    <w:rsid w:val="006B66E1"/>
    <w:rsid w:val="006B6DF1"/>
    <w:rsid w:val="006C0033"/>
    <w:rsid w:val="006C0402"/>
    <w:rsid w:val="006C5013"/>
    <w:rsid w:val="006C654F"/>
    <w:rsid w:val="006C7DD1"/>
    <w:rsid w:val="006D6832"/>
    <w:rsid w:val="006E2912"/>
    <w:rsid w:val="006E298E"/>
    <w:rsid w:val="006E6174"/>
    <w:rsid w:val="006F1626"/>
    <w:rsid w:val="00716CF1"/>
    <w:rsid w:val="00721172"/>
    <w:rsid w:val="00722D5B"/>
    <w:rsid w:val="00724104"/>
    <w:rsid w:val="00733FB1"/>
    <w:rsid w:val="00736C14"/>
    <w:rsid w:val="0075579C"/>
    <w:rsid w:val="00755CE2"/>
    <w:rsid w:val="00757EFF"/>
    <w:rsid w:val="00761346"/>
    <w:rsid w:val="00763836"/>
    <w:rsid w:val="00766510"/>
    <w:rsid w:val="00775D39"/>
    <w:rsid w:val="007774B4"/>
    <w:rsid w:val="00780314"/>
    <w:rsid w:val="007845DA"/>
    <w:rsid w:val="00784C4F"/>
    <w:rsid w:val="00787D19"/>
    <w:rsid w:val="007A156F"/>
    <w:rsid w:val="007A213E"/>
    <w:rsid w:val="007A36DC"/>
    <w:rsid w:val="007A4DCA"/>
    <w:rsid w:val="007A5D73"/>
    <w:rsid w:val="007B2256"/>
    <w:rsid w:val="007C3171"/>
    <w:rsid w:val="007C3FED"/>
    <w:rsid w:val="007C70A7"/>
    <w:rsid w:val="007D4468"/>
    <w:rsid w:val="007D5647"/>
    <w:rsid w:val="007F0F19"/>
    <w:rsid w:val="00802312"/>
    <w:rsid w:val="008036E0"/>
    <w:rsid w:val="00811729"/>
    <w:rsid w:val="00813DF2"/>
    <w:rsid w:val="00814689"/>
    <w:rsid w:val="008161A9"/>
    <w:rsid w:val="00824263"/>
    <w:rsid w:val="00825B25"/>
    <w:rsid w:val="00840C41"/>
    <w:rsid w:val="00845587"/>
    <w:rsid w:val="008508A6"/>
    <w:rsid w:val="008569F3"/>
    <w:rsid w:val="008621DF"/>
    <w:rsid w:val="00866A63"/>
    <w:rsid w:val="00874EC9"/>
    <w:rsid w:val="00881096"/>
    <w:rsid w:val="00881C9A"/>
    <w:rsid w:val="0089761D"/>
    <w:rsid w:val="008A01D0"/>
    <w:rsid w:val="008A62F5"/>
    <w:rsid w:val="008A6B95"/>
    <w:rsid w:val="008B1619"/>
    <w:rsid w:val="008D0A3B"/>
    <w:rsid w:val="008D2630"/>
    <w:rsid w:val="008D2973"/>
    <w:rsid w:val="008D4FD9"/>
    <w:rsid w:val="008D6FDB"/>
    <w:rsid w:val="008E44BB"/>
    <w:rsid w:val="008E499C"/>
    <w:rsid w:val="008F14A5"/>
    <w:rsid w:val="008F4E0F"/>
    <w:rsid w:val="008F581E"/>
    <w:rsid w:val="008F6694"/>
    <w:rsid w:val="00903276"/>
    <w:rsid w:val="00905D92"/>
    <w:rsid w:val="00907C68"/>
    <w:rsid w:val="009113DD"/>
    <w:rsid w:val="00911970"/>
    <w:rsid w:val="0091211E"/>
    <w:rsid w:val="00912B02"/>
    <w:rsid w:val="00916335"/>
    <w:rsid w:val="009331BD"/>
    <w:rsid w:val="00942794"/>
    <w:rsid w:val="00945097"/>
    <w:rsid w:val="00946248"/>
    <w:rsid w:val="00964871"/>
    <w:rsid w:val="00972148"/>
    <w:rsid w:val="0097342D"/>
    <w:rsid w:val="009810E1"/>
    <w:rsid w:val="00991EF3"/>
    <w:rsid w:val="009A3B91"/>
    <w:rsid w:val="009A5C37"/>
    <w:rsid w:val="009B7792"/>
    <w:rsid w:val="009B79D4"/>
    <w:rsid w:val="009D2BD4"/>
    <w:rsid w:val="009D6997"/>
    <w:rsid w:val="009E0CEB"/>
    <w:rsid w:val="009E3CB3"/>
    <w:rsid w:val="009F2BC7"/>
    <w:rsid w:val="009F4CE8"/>
    <w:rsid w:val="00A15AE6"/>
    <w:rsid w:val="00A26243"/>
    <w:rsid w:val="00A262E2"/>
    <w:rsid w:val="00A3182E"/>
    <w:rsid w:val="00A32E79"/>
    <w:rsid w:val="00A36CCB"/>
    <w:rsid w:val="00A4072E"/>
    <w:rsid w:val="00A42812"/>
    <w:rsid w:val="00A471BB"/>
    <w:rsid w:val="00A5015B"/>
    <w:rsid w:val="00A559AE"/>
    <w:rsid w:val="00A57FD4"/>
    <w:rsid w:val="00A660C4"/>
    <w:rsid w:val="00A6670A"/>
    <w:rsid w:val="00A75D27"/>
    <w:rsid w:val="00A7649E"/>
    <w:rsid w:val="00A8144D"/>
    <w:rsid w:val="00A82742"/>
    <w:rsid w:val="00A830E7"/>
    <w:rsid w:val="00A8772A"/>
    <w:rsid w:val="00A90D8F"/>
    <w:rsid w:val="00A92ECC"/>
    <w:rsid w:val="00A948D4"/>
    <w:rsid w:val="00A959CB"/>
    <w:rsid w:val="00A95A99"/>
    <w:rsid w:val="00AA3AED"/>
    <w:rsid w:val="00AA4352"/>
    <w:rsid w:val="00AB03D2"/>
    <w:rsid w:val="00AB2ED0"/>
    <w:rsid w:val="00AB31D4"/>
    <w:rsid w:val="00AB5C0D"/>
    <w:rsid w:val="00AB72DB"/>
    <w:rsid w:val="00AB7EE1"/>
    <w:rsid w:val="00AC1172"/>
    <w:rsid w:val="00AD2212"/>
    <w:rsid w:val="00AE0279"/>
    <w:rsid w:val="00AF6704"/>
    <w:rsid w:val="00B035D4"/>
    <w:rsid w:val="00B05455"/>
    <w:rsid w:val="00B13B99"/>
    <w:rsid w:val="00B150A7"/>
    <w:rsid w:val="00B20DDB"/>
    <w:rsid w:val="00B21F99"/>
    <w:rsid w:val="00B234CD"/>
    <w:rsid w:val="00B24946"/>
    <w:rsid w:val="00B36003"/>
    <w:rsid w:val="00B422E5"/>
    <w:rsid w:val="00B5064A"/>
    <w:rsid w:val="00B71768"/>
    <w:rsid w:val="00B7310B"/>
    <w:rsid w:val="00B82FA4"/>
    <w:rsid w:val="00B9588A"/>
    <w:rsid w:val="00B9639A"/>
    <w:rsid w:val="00BA3038"/>
    <w:rsid w:val="00BA7522"/>
    <w:rsid w:val="00BB2B74"/>
    <w:rsid w:val="00BB6DEB"/>
    <w:rsid w:val="00BC7A73"/>
    <w:rsid w:val="00BE4A75"/>
    <w:rsid w:val="00BE6C67"/>
    <w:rsid w:val="00BE7CD7"/>
    <w:rsid w:val="00BF30AC"/>
    <w:rsid w:val="00BF42B0"/>
    <w:rsid w:val="00BF544A"/>
    <w:rsid w:val="00C000A0"/>
    <w:rsid w:val="00C12F8E"/>
    <w:rsid w:val="00C2138E"/>
    <w:rsid w:val="00C22E4A"/>
    <w:rsid w:val="00C31FA0"/>
    <w:rsid w:val="00C40B75"/>
    <w:rsid w:val="00C4582C"/>
    <w:rsid w:val="00C45F7D"/>
    <w:rsid w:val="00C530CF"/>
    <w:rsid w:val="00C56312"/>
    <w:rsid w:val="00C56970"/>
    <w:rsid w:val="00C57DCB"/>
    <w:rsid w:val="00C60110"/>
    <w:rsid w:val="00C612CF"/>
    <w:rsid w:val="00C671AF"/>
    <w:rsid w:val="00C77D95"/>
    <w:rsid w:val="00C854B3"/>
    <w:rsid w:val="00C85A98"/>
    <w:rsid w:val="00C85EA7"/>
    <w:rsid w:val="00C938C7"/>
    <w:rsid w:val="00C95780"/>
    <w:rsid w:val="00C96825"/>
    <w:rsid w:val="00CB230E"/>
    <w:rsid w:val="00CC33CB"/>
    <w:rsid w:val="00CC4A4A"/>
    <w:rsid w:val="00CD1AD4"/>
    <w:rsid w:val="00CD6A44"/>
    <w:rsid w:val="00CF3EB7"/>
    <w:rsid w:val="00D0101A"/>
    <w:rsid w:val="00D01034"/>
    <w:rsid w:val="00D0381E"/>
    <w:rsid w:val="00D2045F"/>
    <w:rsid w:val="00D223D6"/>
    <w:rsid w:val="00D302A9"/>
    <w:rsid w:val="00D32F86"/>
    <w:rsid w:val="00D406A5"/>
    <w:rsid w:val="00D44F90"/>
    <w:rsid w:val="00D46D33"/>
    <w:rsid w:val="00D4797E"/>
    <w:rsid w:val="00D5142A"/>
    <w:rsid w:val="00D53E4F"/>
    <w:rsid w:val="00D54D1D"/>
    <w:rsid w:val="00D76DFD"/>
    <w:rsid w:val="00D87EAE"/>
    <w:rsid w:val="00D94B91"/>
    <w:rsid w:val="00D966BE"/>
    <w:rsid w:val="00D97FA3"/>
    <w:rsid w:val="00DA200B"/>
    <w:rsid w:val="00DA79C0"/>
    <w:rsid w:val="00DB4CB9"/>
    <w:rsid w:val="00DC1C92"/>
    <w:rsid w:val="00DD3969"/>
    <w:rsid w:val="00DD4BB3"/>
    <w:rsid w:val="00DD5F63"/>
    <w:rsid w:val="00DE285A"/>
    <w:rsid w:val="00DE499E"/>
    <w:rsid w:val="00DF68F7"/>
    <w:rsid w:val="00DF7248"/>
    <w:rsid w:val="00E00D62"/>
    <w:rsid w:val="00E02889"/>
    <w:rsid w:val="00E11BAE"/>
    <w:rsid w:val="00E27D03"/>
    <w:rsid w:val="00E37659"/>
    <w:rsid w:val="00E406BA"/>
    <w:rsid w:val="00E40C4E"/>
    <w:rsid w:val="00E45717"/>
    <w:rsid w:val="00E47157"/>
    <w:rsid w:val="00E50D45"/>
    <w:rsid w:val="00E64E20"/>
    <w:rsid w:val="00E66492"/>
    <w:rsid w:val="00E736CF"/>
    <w:rsid w:val="00E87D85"/>
    <w:rsid w:val="00E9055D"/>
    <w:rsid w:val="00EA19AA"/>
    <w:rsid w:val="00EA78CD"/>
    <w:rsid w:val="00EB288D"/>
    <w:rsid w:val="00EB3AEB"/>
    <w:rsid w:val="00EC050C"/>
    <w:rsid w:val="00EC1A70"/>
    <w:rsid w:val="00EC2258"/>
    <w:rsid w:val="00EC7BC6"/>
    <w:rsid w:val="00EE20CF"/>
    <w:rsid w:val="00EE75B1"/>
    <w:rsid w:val="00EF116E"/>
    <w:rsid w:val="00EF20C5"/>
    <w:rsid w:val="00EF33E8"/>
    <w:rsid w:val="00EF6041"/>
    <w:rsid w:val="00EF6D57"/>
    <w:rsid w:val="00F143BF"/>
    <w:rsid w:val="00F177E7"/>
    <w:rsid w:val="00F257DB"/>
    <w:rsid w:val="00F365E9"/>
    <w:rsid w:val="00F4773C"/>
    <w:rsid w:val="00F54DC1"/>
    <w:rsid w:val="00F6034D"/>
    <w:rsid w:val="00F64C6D"/>
    <w:rsid w:val="00F65F0B"/>
    <w:rsid w:val="00F70211"/>
    <w:rsid w:val="00F814FD"/>
    <w:rsid w:val="00F82C67"/>
    <w:rsid w:val="00F843BA"/>
    <w:rsid w:val="00F8499F"/>
    <w:rsid w:val="00F92328"/>
    <w:rsid w:val="00F92947"/>
    <w:rsid w:val="00FA3754"/>
    <w:rsid w:val="00FA407A"/>
    <w:rsid w:val="00FA52DD"/>
    <w:rsid w:val="00FA5610"/>
    <w:rsid w:val="00FB1228"/>
    <w:rsid w:val="00FB598A"/>
    <w:rsid w:val="00FB6B46"/>
    <w:rsid w:val="00FB74E6"/>
    <w:rsid w:val="00FC3D9A"/>
    <w:rsid w:val="00FC5F98"/>
    <w:rsid w:val="00FC696E"/>
    <w:rsid w:val="00FC7BAE"/>
    <w:rsid w:val="00FD358C"/>
    <w:rsid w:val="00FD72F8"/>
    <w:rsid w:val="00FE25D6"/>
    <w:rsid w:val="00FF30B6"/>
    <w:rsid w:val="00FF4FE6"/>
    <w:rsid w:val="00FF525C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0E9E4"/>
  <w15:chartTrackingRefBased/>
  <w15:docId w15:val="{4E11591A-2F01-4D8E-9401-DD71F2D4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2889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757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67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semiHidden/>
    <w:rsid w:val="002C34DB"/>
    <w:rPr>
      <w:sz w:val="16"/>
      <w:szCs w:val="16"/>
    </w:rPr>
  </w:style>
  <w:style w:type="paragraph" w:styleId="Kommentartext">
    <w:name w:val="annotation text"/>
    <w:basedOn w:val="Standard"/>
    <w:semiHidden/>
    <w:rsid w:val="002C34DB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C34DB"/>
    <w:rPr>
      <w:b/>
      <w:bCs/>
    </w:rPr>
  </w:style>
  <w:style w:type="paragraph" w:styleId="Sprechblasentext">
    <w:name w:val="Balloon Text"/>
    <w:basedOn w:val="Standard"/>
    <w:semiHidden/>
    <w:rsid w:val="002C34DB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C612C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612CF"/>
  </w:style>
  <w:style w:type="character" w:customStyle="1" w:styleId="berschrift1Zchn">
    <w:name w:val="Überschrift 1 Zchn"/>
    <w:basedOn w:val="Absatz-Standardschriftart"/>
    <w:link w:val="berschrift1"/>
    <w:rsid w:val="00757E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 w:eastAsia="de-DE"/>
    </w:rPr>
  </w:style>
  <w:style w:type="paragraph" w:styleId="Untertitel">
    <w:name w:val="Subtitle"/>
    <w:basedOn w:val="Standard"/>
    <w:next w:val="Standard"/>
    <w:link w:val="UntertitelZchn"/>
    <w:qFormat/>
    <w:rsid w:val="00757E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rsid w:val="00757EF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5D01C5"/>
    <w:rPr>
      <w:color w:val="808080"/>
    </w:rPr>
  </w:style>
  <w:style w:type="character" w:styleId="Hervorhebung">
    <w:name w:val="Emphasis"/>
    <w:basedOn w:val="Absatz-Standardschriftart"/>
    <w:qFormat/>
    <w:rsid w:val="00392A26"/>
    <w:rPr>
      <w:i/>
      <w:iCs/>
    </w:rPr>
  </w:style>
  <w:style w:type="paragraph" w:styleId="Beschriftung">
    <w:name w:val="caption"/>
    <w:basedOn w:val="Standard"/>
    <w:next w:val="Standard"/>
    <w:unhideWhenUsed/>
    <w:qFormat/>
    <w:rsid w:val="006B66E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62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6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2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0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2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9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1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90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302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24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 BRRI stability trials</vt:lpstr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BRRI stability trials</dc:title>
  <dc:subject/>
  <dc:creator>hppiepho</dc:creator>
  <cp:keywords/>
  <dc:description/>
  <cp:lastModifiedBy>shadasch</cp:lastModifiedBy>
  <cp:revision>224</cp:revision>
  <cp:lastPrinted>2018-02-01T14:58:00Z</cp:lastPrinted>
  <dcterms:created xsi:type="dcterms:W3CDTF">2018-02-12T15:21:00Z</dcterms:created>
  <dcterms:modified xsi:type="dcterms:W3CDTF">2019-01-07T13:26:00Z</dcterms:modified>
</cp:coreProperties>
</file>