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3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3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15.png" ContentType="image/png"/>
  <Override PartName="/word/media/image1.png" ContentType="image/png"/>
  <Override PartName="/word/media/image2.png" ContentType="image/png"/>
  <Override PartName="/word/media/image12.png" ContentType="image/png"/>
  <Override PartName="/word/media/image1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of</w:t>
      </w:r>
      <w:r>
        <w:t xml:space="preserve"> </w:t>
      </w:r>
      <w:r>
        <w:t xml:space="preserve">Your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19.</w:t>
      </w:r>
      <w:r>
        <w:t xml:space="preserve"> </w:t>
      </w:r>
      <w:r>
        <w:t xml:space="preserve">November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SourceCode"/>
      </w:pPr>
      <w:r>
        <w:rPr>
          <w:rStyle w:val="NormalTok"/>
        </w:rPr>
        <w:t xml:space="preserve">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dimnames=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Table 1: 25 random normal numbers illustrating the use of tab_nums.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-0.829</w:t>
            </w:r>
          </w:p>
        </w:tc>
        <w:tc>
          <w:p>
            <w:pPr>
              <w:pStyle w:val="Compact"/>
              <w:jc w:val="right"/>
            </w:pPr>
            <w:r>
              <w:t xml:space="preserve">-0.573</w:t>
            </w:r>
          </w:p>
        </w:tc>
        <w:tc>
          <w:p>
            <w:pPr>
              <w:pStyle w:val="Compact"/>
              <w:jc w:val="right"/>
            </w:pPr>
            <w:r>
              <w:t xml:space="preserve">1.527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-1.338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-0.134</w:t>
            </w:r>
          </w:p>
        </w:tc>
        <w:tc>
          <w:p>
            <w:pPr>
              <w:pStyle w:val="Compact"/>
              <w:jc w:val="right"/>
            </w:pPr>
            <w:r>
              <w:t xml:space="preserve">-0.095</w:t>
            </w:r>
          </w:p>
        </w:tc>
        <w:tc>
          <w:p>
            <w:pPr>
              <w:pStyle w:val="Compact"/>
              <w:jc w:val="right"/>
            </w:pPr>
            <w:r>
              <w:t xml:space="preserve">0.602</w:t>
            </w:r>
          </w:p>
        </w:tc>
        <w:tc>
          <w:p>
            <w:pPr>
              <w:pStyle w:val="Compact"/>
              <w:jc w:val="right"/>
            </w:pPr>
            <w:r>
              <w:t xml:space="preserve">-1.368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1.031</w:t>
            </w:r>
          </w:p>
        </w:tc>
        <w:tc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p>
            <w:pPr>
              <w:pStyle w:val="Compact"/>
              <w:jc w:val="right"/>
            </w:pPr>
            <w:r>
              <w:t xml:space="preserve">-1.350</w:t>
            </w:r>
          </w:p>
        </w:tc>
        <w:tc>
          <w:p>
            <w:pPr>
              <w:pStyle w:val="Compact"/>
              <w:jc w:val="right"/>
            </w:pPr>
            <w:r>
              <w:t xml:space="preserve">-0.105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1.191</w:t>
            </w:r>
          </w:p>
        </w:tc>
        <w:tc>
          <w:p>
            <w:pPr>
              <w:pStyle w:val="Compact"/>
              <w:jc w:val="right"/>
            </w:pPr>
            <w:r>
              <w:t xml:space="preserve">-1.234</w:t>
            </w:r>
          </w:p>
        </w:tc>
        <w:tc>
          <w:p>
            <w:pPr>
              <w:pStyle w:val="Compact"/>
              <w:jc w:val="right"/>
            </w:pPr>
            <w:r>
              <w:t xml:space="preserve">-0.832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p>
            <w:pPr>
              <w:pStyle w:val="Compact"/>
              <w:jc w:val="right"/>
            </w:pPr>
            <w:r>
              <w:t xml:space="preserve">-1.205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1.058</w:t>
            </w:r>
          </w:p>
        </w:tc>
        <w:tc>
          <w:p>
            <w:pPr>
              <w:pStyle w:val="Compact"/>
              <w:jc w:val="right"/>
            </w:pPr>
            <w:r>
              <w:t xml:space="preserve">1.366</w:t>
            </w:r>
          </w:p>
        </w:tc>
        <w:tc>
          <w:p>
            <w:pPr>
              <w:pStyle w:val="Compact"/>
              <w:jc w:val="right"/>
            </w:pPr>
            <w:r>
              <w:t xml:space="preserve">0.694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1.525</w:t>
            </w:r>
          </w:p>
        </w:tc>
      </w:tr>
    </w:tbl>
    <w:p>
      <w:pPr>
        <w:pStyle w:val="Heading6"/>
      </w:pPr>
      <w:bookmarkStart w:id="21" w:name="Xd8d52b0cce2a3ef2e3573ad4e5a5854bc2429fd"/>
      <w:r>
        <w:t xml:space="preserve">l I have defined the 6th level header with a small font and white ink</w:t>
      </w:r>
      <w:bookmarkEnd w:id="21"/>
    </w:p>
    <w:p>
      <w:pPr>
        <w:pStyle w:val="FirstParagraph"/>
      </w:pPr>
      <w:r>
        <w:t xml:space="preserve">And here is a bunch of informative text.</w:t>
      </w:r>
    </w:p>
    <w:p>
      <w:pPr>
        <w:pStyle w:val="Heading1"/>
      </w:pPr>
      <w:bookmarkStart w:id="22" w:name="methods"/>
      <w:r>
        <w:t xml:space="preserve">Methods</w:t>
      </w:r>
      <w:bookmarkEnd w:id="22"/>
    </w:p>
    <w:p>
      <w:pPr>
        <w:pStyle w:val="FirstParagraph"/>
      </w:pPr>
      <w:r>
        <w:drawing>
          <wp:inline>
            <wp:extent cx="4389120" cy="25410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541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1: A quick example using the faithful eruption data to illustrate the use of fig_nums.</w:t>
      </w:r>
    </w:p>
    <w:p>
      <w:pPr>
        <w:pStyle w:val="Heading5"/>
      </w:pPr>
      <w:bookmarkStart w:id="24" w:name="X61634945cc9478cc10a632f4762567517962fb3"/>
      <w:r>
        <w:t xml:space="preserve">p and the 5th level header as requiring a page break beforehand</w:t>
      </w:r>
      <w:bookmarkEnd w:id="24"/>
    </w:p>
    <w:p>
      <w:pPr>
        <w:pStyle w:val="FirstParagraph"/>
      </w:pPr>
      <w:r>
        <w:t xml:space="preserve">Yet nore text introducing the following equation.</w:t>
      </w:r>
    </w:p>
    <w:p>
      <w:pPr>
        <w:pStyle w:val="BodyText"/>
      </w:pPr>
      <w:r>
        <w:t xml:space="preserve">The concept of confidence intervals (often 90% or 95% CI) is classically defined in Snedecor and Cochran (1967, 1989), and very many others, as:</w:t>
      </w:r>
    </w:p>
    <w:p>
      <w:pPr>
        <w:pStyle w:val="BodyText"/>
      </w:pPr>
      <w:r>
        <w:t xml:space="preserve">Equ. 1: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±</m:t>
          </m:r>
          <m:sSub>
            <m:e>
              <m:r>
                <m:t>t</m:t>
              </m:r>
            </m:e>
            <m:sub>
              <m:r>
                <m:t>ν</m:t>
              </m:r>
            </m:sub>
          </m:sSub>
          <m:f>
            <m:fPr>
              <m:type m:val="bar"/>
            </m:fPr>
            <m:num>
              <m:r>
                <m:t>σ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acc>
          <m:accPr>
            <m:chr m:val="̂"/>
          </m:accPr>
          <m:e>
            <m:r>
              <m:t>x</m:t>
            </m:r>
          </m:e>
        </m:acc>
      </m:oMath>
      <w:r>
        <w:t xml:space="preserve"> </w:t>
      </w:r>
      <w:r>
        <w:t xml:space="preserve">is the mean of the sample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observations, and we refer to</w:t>
      </w:r>
      <w:r>
        <w:t xml:space="preserve"> </w:t>
      </w:r>
      <w:r>
        <w:rPr>
          <w:b/>
        </w:rPr>
        <w:t xml:space="preserve">Equ 1</w:t>
      </w:r>
      <w:r>
        <w:t xml:space="preserve">. Notice that I did not use a fullstop when refering to equation 1. Try running the macro with and without a fullstop to see why.</w:t>
      </w:r>
    </w:p>
    <w:p>
      <w:pPr>
        <w:pStyle w:val="BodyText"/>
      </w:pPr>
      <w:r>
        <w:t xml:space="preserve">Of course you will need to provide your own reference document and modify the styles within that to get the formatting you desire.</w:t>
      </w:r>
    </w:p>
    <w:sectPr w:rsidR="0037429B" w:rsidSect="00246AEF">
      <w:headerReference w:type="even" r:id="rId11"/>
      <w:headerReference w:type="default" r:id="rId9"/>
      <w:footerReference w:type="even" r:id="rId14"/>
      <w:footerReference w:type="default" r:id="rId13"/>
      <w:headerReference w:type="first" r:id="rId10"/>
      <w:footerReference w:type="first" r:id="rId12"/>
      <w:pgSz w:w="11906" w:h="16838" w:code="9"/>
      <w:pgMar w:top="1418" w:right="1701" w:bottom="1418" w:left="1701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89A" w:rsidRDefault="007209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96229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089A" w:rsidRDefault="007E7D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A089A" w:rsidRDefault="007209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89A" w:rsidRDefault="0072095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89A" w:rsidRDefault="007209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89A" w:rsidRDefault="007209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89A" w:rsidRDefault="00720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E76D17"/>
    <w:multiLevelType w:val="multilevel"/>
    <w:tmpl w:val="11DCA06A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5EF7793"/>
    <w:multiLevelType w:val="multilevel"/>
    <w:tmpl w:val="848C8A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96A7BD0"/>
    <w:multiLevelType w:val="multilevel"/>
    <w:tmpl w:val="300EF6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D0A4B8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60EEDF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B64C00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149049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CF84B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792AD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0CFEDE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E12AB26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58C6FC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15D034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10CA9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F4A1994"/>
    <w:multiLevelType w:val="multilevel"/>
    <w:tmpl w:val="13FE80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2E991EC"/>
    <w:multiLevelType w:val="multilevel"/>
    <w:tmpl w:val="51301A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4A6A798"/>
    <w:multiLevelType w:val="multilevel"/>
    <w:tmpl w:val="2D3A73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7E42B0C"/>
    <w:multiLevelType w:val="multilevel"/>
    <w:tmpl w:val="FA64881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D6B7639"/>
    <w:multiLevelType w:val="multilevel"/>
    <w:tmpl w:val="6F8257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E8D18A8"/>
    <w:multiLevelType w:val="multilevel"/>
    <w:tmpl w:val="1730DFB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5"/>
  </w:num>
  <w:num w:numId="6">
    <w:abstractNumId w:val="19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3"/>
  </w:num>
  <w:num w:numId="9">
    <w:abstractNumId w:val="11"/>
  </w:num>
  <w:num w:numId="10">
    <w:abstractNumId w:val="10"/>
  </w:num>
  <w:num w:numId="11">
    <w:abstractNumId w:val="9"/>
  </w:num>
  <w:num w:numId="12">
    <w:abstractNumId w:val="8"/>
  </w:num>
  <w:num w:numId="13">
    <w:abstractNumId w:val="12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2"/>
  </w:num>
  <w:num w:numId="19">
    <w:abstractNumId w:val="16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F1F51"/>
    <w:pPr>
      <w:tabs>
        <w:tab w:val="left" w:pos="567"/>
        <w:tab w:val="center" w:pos="4253"/>
        <w:tab w:val="right" w:pos="8505"/>
      </w:tabs>
      <w:spacing w:after="12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F1F51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3F1F51"/>
    <w:pPr>
      <w:keepNext/>
      <w:keepLines/>
      <w:spacing w:before="12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F1F51"/>
    <w:pPr>
      <w:keepNext/>
      <w:keepLines/>
      <w:spacing w:before="60" w:after="6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A74551"/>
    <w:pPr>
      <w:keepLines/>
      <w:pageBreakBefore/>
      <w:widowControl w:val="0"/>
      <w:spacing w:after="0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Normal"/>
    <w:uiPriority w:val="9"/>
    <w:unhideWhenUsed/>
    <w:qFormat/>
    <w:rsid w:val="00662B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F1F51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3F1F51"/>
    <w:pPr>
      <w:keepNext/>
      <w:keepLines/>
      <w:spacing w:before="480" w:after="240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basedOn w:val="Normal"/>
    <w:next w:val="Normal"/>
    <w:qFormat/>
    <w:rsid w:val="003F1F51"/>
    <w:pPr>
      <w:keepNext/>
      <w:keepLines/>
    </w:pPr>
  </w:style>
  <w:style w:type="paragraph" w:styleId="Date">
    <w:name w:val="Date"/>
    <w:basedOn w:val="Normal"/>
    <w:next w:val="Normal"/>
    <w:qFormat/>
    <w:rsid w:val="003F1F51"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5A6035"/>
    <w:rPr>
      <w:rFonts w:ascii="Consolas" w:hAnsi="Consolas"/>
      <w:sz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5A6035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sid w:val="00DD30E4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sid w:val="00DD30E4"/>
    <w:rPr>
      <w:rFonts w:ascii="Consolas" w:hAnsi="Consolas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sid w:val="005A6035"/>
    <w:rPr>
      <w:rFonts w:ascii="Consolas" w:hAnsi="Consolas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DD30E4"/>
    <w:rPr>
      <w:rFonts w:ascii="Consolas" w:hAnsi="Consolas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DD30E4"/>
    <w:rPr>
      <w:rFonts w:ascii="Consolas" w:hAnsi="Consolas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DD30E4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5A6035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sid w:val="00DD30E4"/>
    <w:rPr>
      <w:rFonts w:ascii="Consolas" w:hAnsi="Consolas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DD30E4"/>
    <w:rPr>
      <w:rFonts w:ascii="Consolas" w:hAnsi="Consolas"/>
      <w:sz w:val="20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A11731"/>
    <w:pPr>
      <w:tabs>
        <w:tab w:val="clear" w:pos="567"/>
        <w:tab w:val="clear" w:pos="4253"/>
        <w:tab w:val="clear" w:pos="8505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D720FC"/>
    <w:pPr>
      <w:tabs>
        <w:tab w:val="clear" w:pos="567"/>
        <w:tab w:val="clear" w:pos="4253"/>
      </w:tabs>
      <w:spacing w:after="0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D720FC"/>
    <w:pPr>
      <w:tabs>
        <w:tab w:val="clear" w:pos="567"/>
        <w:tab w:val="clear" w:pos="4253"/>
      </w:tabs>
      <w:spacing w:after="0"/>
      <w:ind w:left="482"/>
    </w:pPr>
  </w:style>
  <w:style w:type="paragraph" w:styleId="Header">
    <w:name w:val="header"/>
    <w:basedOn w:val="Normal"/>
    <w:link w:val="HeaderChar"/>
    <w:unhideWhenUsed/>
    <w:rsid w:val="00CA089A"/>
    <w:pPr>
      <w:tabs>
        <w:tab w:val="clear" w:pos="567"/>
        <w:tab w:val="clear" w:pos="4253"/>
        <w:tab w:val="clear" w:pos="8505"/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A089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A089A"/>
    <w:pPr>
      <w:tabs>
        <w:tab w:val="clear" w:pos="567"/>
        <w:tab w:val="clear" w:pos="4253"/>
        <w:tab w:val="clear" w:pos="8505"/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A089A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5A603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header" Target="header1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47</Pages>
  <Words>16947</Words>
  <Characters>96604</Characters>
  <Application>Microsoft Office Word</Application>
  <DocSecurity>0</DocSecurity>
  <Lines>805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Modelling and Quantitative Methods in Fisheries Using R</vt:lpstr>
    </vt:vector>
  </TitlesOfParts>
  <Company/>
  <LinksUpToDate>false</LinksUpToDate>
  <CharactersWithSpaces>113325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Your Document</dc:title>
  <dc:creator>Your Name</dc:creator>
  <cp:keywords/>
  <dcterms:created xsi:type="dcterms:W3CDTF">2019-11-18T19:31:07Z</dcterms:created>
  <dcterms:modified xsi:type="dcterms:W3CDTF">2019-11-18T19:31:07Z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19. November 2019</vt:lpwstr>
  </property>
  <property fmtid="{D5CDD505-2E9C-101B-9397-08002B2CF9AE}" pid="3" name="output">
    <vt:lpwstr/>
  </property>
</Properties>
</file>