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sz w:val="8"/>
          <w:szCs w:val="8"/>
        </w:rPr>
        <w:t xml:space="preserve"/>
      </w:r>
    </w:p>
    <w:p>
      <w:pPr>
        <w:spacing w:after="60"/>
        <w:jc w:val="center"/>
      </w:pPr>
      <w:r>
        <w:rPr>
          <w:rFonts w:ascii="Trebuchet MS" w:cs="Trebuchet MS" w:eastAsia="Trebuchet MS" w:hAnsi="Trebuchet MS"/>
          <w:b/>
          <w:bCs/>
          <w:color w:val="F050C8"/>
          <w:spacing w:val="40"/>
          <w:sz w:val="24"/>
          <w:szCs w:val="24"/>
        </w:rPr>
        <w:t xml:space="preserve">MODE D’EMPLOI PRATIQUE</w:t>
      </w:r>
    </w:p>
    <w:p>
      <w:pPr>
        <w:spacing w:after="120"/>
        <w:jc w:val="center"/>
      </w:pPr>
      <w:r>
        <w:rPr>
          <w:rFonts w:ascii="Trebuchet MS" w:cs="Trebuchet MS" w:eastAsia="Trebuchet MS" w:hAnsi="Trebuchet MS"/>
          <w:b/>
          <w:bCs/>
          <w:color w:val="3C6478"/>
          <w:sz w:val="52"/>
          <w:szCs w:val="52"/>
        </w:rPr>
        <w:t xml:space="preserve">Le bilan « Comprendre ta motivation »</w:t>
      </w:r>
    </w:p>
    <w:p>
      <w:pPr>
        <w:spacing w:after="300"/>
        <w:jc w:val="center"/>
      </w:pPr>
      <w:r>
        <w:rPr>
          <w:rFonts w:ascii="Calibri" w:cs="Calibri" w:eastAsia="Calibri" w:hAnsi="Calibri"/>
          <w:i/>
          <w:iCs/>
          <w:color w:val="7D7269"/>
          <w:sz w:val="26"/>
          <w:szCs w:val="26"/>
        </w:rPr>
        <w:t xml:space="preserve">de la passation à la planification, pas à pas</w:t>
      </w:r>
    </w:p>
    <w:tbl>
      <w:tblPr>
        <w:tblW w:type="dxa" w:w="6400"/>
        <w:jc w:val="center"/>
        <w:tblBorders>
          <w:top w:val="single" w:color="3C6478" w:sz="12"/>
          <w:left w:val="none"/>
          <w:bottom w:val="single" w:color="3C6478" w:sz="12"/>
          <w:right w:val="none"/>
          <w:insideH w:val="single" w:color="auto" w:sz="4"/>
          <w:insideV w:val="single" w:color="auto" w:sz="4"/>
        </w:tblBorders>
      </w:tblPr>
      <w:tblGrid>
        <w:gridCol w:w="6400"/>
      </w:tblGrid>
      <w:tr>
        <w:tc>
          <w:tcPr>
            <w:tcW w:type="dxa" w:w="6400"/>
            <w:tcMar>
              <w:top w:type="dxa" w:w="200"/>
              <w:left w:type="dxa" w:w="200"/>
              <w:bottom w:type="dxa" w:w="200"/>
              <w:right w:type="dxa" w:w="200"/>
            </w:tcMar>
          </w:tcPr>
          <w:p>
            <w:pPr>
              <w:spacing w:after="60"/>
              <w:jc w:val="center"/>
            </w:pPr>
            <w:r>
              <w:rPr>
                <w:rFonts w:ascii="Calibri" w:cs="Calibri" w:eastAsia="Calibri" w:hAnsi="Calibri"/>
                <w:color w:val="4A4540"/>
                <w:sz w:val="22"/>
                <w:szCs w:val="22"/>
              </w:rPr>
              <w:t xml:space="preserve">Guide d’utilisation personnel</w:t>
            </w:r>
          </w:p>
          <w:p>
            <w:pPr>
              <w:spacing w:after="60"/>
              <w:jc w:val="center"/>
            </w:pPr>
            <w:r>
              <w:rPr>
                <w:rFonts w:ascii="Calibri" w:cs="Calibri" w:eastAsia="Calibri" w:hAnsi="Calibri"/>
                <w:b/>
                <w:bCs/>
                <w:color w:val="3C6478"/>
                <w:sz w:val="22"/>
                <w:szCs w:val="22"/>
              </w:rPr>
              <w:t xml:space="preserve">Méthode en 3 temps  ·  Scripts de séance  ·  Cas concret commenté</w:t>
            </w:r>
          </w:p>
          <w:p>
            <w:pPr>
              <w:spacing w:after="0"/>
              <w:jc w:val="center"/>
            </w:pPr>
            <w:r>
              <w:rPr>
                <w:rFonts w:ascii="Calibri" w:cs="Calibri" w:eastAsia="Calibri" w:hAnsi="Calibri"/>
                <w:color w:val="4A4540"/>
                <w:sz w:val="22"/>
                <w:szCs w:val="22"/>
              </w:rPr>
              <w:t xml:space="preserve">Aide-mémoire détachable</w:t>
            </w:r>
          </w:p>
        </w:tc>
      </w:tr>
    </w:tbl>
    <w:p>
      <w:pPr>
        <w:spacing w:after="900" w:before="0"/>
      </w:pPr>
      <w:r>
        <w:rPr>
          <w:sz w:val="8"/>
          <w:szCs w:val="8"/>
        </w:rPr>
        <w:t xml:space="preserve"/>
      </w:r>
    </w:p>
    <w:p>
      <w:pPr>
        <w:spacing w:after="40"/>
        <w:jc w:val="center"/>
      </w:pPr>
      <w:r>
        <w:rPr>
          <w:rFonts w:ascii="Trebuchet MS" w:cs="Trebuchet MS" w:eastAsia="Trebuchet MS" w:hAnsi="Trebuchet MS"/>
          <w:b/>
          <w:bCs/>
          <w:color w:val="3C6478"/>
          <w:sz w:val="24"/>
          <w:szCs w:val="24"/>
        </w:rPr>
        <w:t xml:space="preserve">Nawel — Educa Typique</w:t>
      </w:r>
    </w:p>
    <w:p>
      <w:pPr>
        <w:spacing w:after="300"/>
        <w:jc w:val="center"/>
      </w:pPr>
      <w:r>
        <w:rPr>
          <w:rFonts w:ascii="Calibri" w:cs="Calibri" w:eastAsia="Calibri" w:hAnsi="Calibri"/>
          <w:i/>
          <w:iCs/>
          <w:color w:val="7D7269"/>
          <w:sz w:val="20"/>
          <w:szCs w:val="20"/>
        </w:rPr>
        <w:t xml:space="preserve">Document de travail interne</w:t>
      </w:r>
    </w:p>
    <w:p>
      <w:pPr>
        <w:spacing w:after="400" w:before="0"/>
      </w:pPr>
      <w:r>
        <w:rPr>
          <w:sz w:val="8"/>
          <w:szCs w:val="8"/>
        </w:rPr>
        <w:t xml:space="preserve"/>
      </w:r>
    </w:p>
    <w:tbl>
      <w:tblPr>
        <w:tblW w:type="dxa" w:w="9600"/>
        <w:tblBorders>
          <w:top w:val="single" w:color="3C6478" w:sz="2"/>
          <w:left w:val="single" w:color="3C6478" w:sz="18"/>
          <w:bottom w:val="single" w:color="3C6478" w:sz="2"/>
          <w:right w:val="single" w:color="3C6478" w:sz="2"/>
          <w:insideH w:val="single" w:color="auto" w:sz="4"/>
          <w:insideV w:val="single" w:color="auto" w:sz="4"/>
        </w:tblBorders>
      </w:tblPr>
      <w:tblGrid>
        <w:gridCol w:w="9600"/>
      </w:tblGrid>
      <w:tr>
        <w:tc>
          <w:tcPr>
            <w:tcW w:type="dxa" w:w="9600"/>
            <w:shd w:fill="F0E4D3" w:color="auto" w:val="clear"/>
            <w:tcMar>
              <w:top w:type="dxa" w:w="160"/>
              <w:left w:type="dxa" w:w="220"/>
              <w:bottom w:type="dxa" w:w="160"/>
              <w:right w:type="dxa" w:w="200"/>
            </w:tcMar>
          </w:tcPr>
          <w:p>
            <w:pPr>
              <w:spacing w:after="0" w:before="0" w:line="288"/>
            </w:pPr>
            <w:r>
              <w:rPr>
                <w:rFonts w:ascii="Calibri" w:cs="Calibri" w:eastAsia="Calibri" w:hAnsi="Calibri"/>
                <w:color w:val="4A4540"/>
                <w:sz w:val="21"/>
                <w:szCs w:val="21"/>
              </w:rPr>
              <w:t xml:space="preserve">Note importante — Ce guide est un support de méthode personnel. Il n’est pas le questionnaire « Comprendre ta motivation » et ne le remplace pas : il s’utilise à côté de l’exemplaire original acquis dans le cadre de la formation, dont les droits appartiennent à son autrice. Aucun contenu du questionnaire n’est reproduit ici ; seule la manière de s’en servir est décrite.</w:t>
            </w:r>
          </w:p>
        </w:tc>
      </w:tr>
    </w:tbl>
    <w:p>
      <w:r>
        <w:br w:type="page"/>
      </w:r>
    </w:p>
    <w:tbl>
      <w:tblPr>
        <w:tblW w:type="dxa" w:w="9600"/>
        <w:tblBorders>
          <w:top w:val="none"/>
          <w:left w:val="none"/>
          <w:bottom w:val="none"/>
          <w:right w:val="none"/>
          <w:insideH w:val="single" w:color="auto" w:sz="4"/>
          <w:insideV w:val="single" w:color="auto" w:sz="4"/>
        </w:tblBorders>
      </w:tblPr>
      <w:tblGrid>
        <w:gridCol w:w="9600"/>
      </w:tblGrid>
      <w:tr>
        <w:tc>
          <w:tcPr>
            <w:tcW w:type="dxa" w:w="9600"/>
            <w:shd w:fill="3C6478" w:color="auto" w:val="clear"/>
            <w:tcMar>
              <w:top w:type="dxa" w:w="140"/>
              <w:left w:type="dxa" w:w="200"/>
              <w:bottom w:type="dxa" w:w="140"/>
              <w:right w:type="dxa" w:w="200"/>
            </w:tcMar>
          </w:tcPr>
          <w:p>
            <w:pPr>
              <w:spacing w:after="0" w:before="0"/>
            </w:pPr>
            <w:r>
              <w:rPr>
                <w:rFonts w:ascii="Trebuchet MS" w:cs="Trebuchet MS" w:eastAsia="Trebuchet MS" w:hAnsi="Trebuchet MS"/>
                <w:b/>
                <w:bCs/>
                <w:color w:val="B4F0C8"/>
                <w:sz w:val="26"/>
                <w:szCs w:val="26"/>
              </w:rPr>
              <w:t xml:space="preserve">0  </w:t>
            </w:r>
            <w:r>
              <w:rPr>
                <w:rFonts w:ascii="Trebuchet MS" w:cs="Trebuchet MS" w:eastAsia="Trebuchet MS" w:hAnsi="Trebuchet MS"/>
                <w:b/>
                <w:bCs/>
                <w:color w:val="FFFFFF"/>
                <w:sz w:val="26"/>
                <w:szCs w:val="26"/>
              </w:rPr>
              <w:t xml:space="preserve">Avant de commencer</w:t>
            </w:r>
          </w:p>
        </w:tc>
      </w:tr>
    </w:tbl>
    <w:p>
      <w:pPr>
        <w:spacing w:after="180" w:before="0"/>
      </w:pPr>
      <w:r>
        <w:rPr>
          <w:sz w:val="8"/>
          <w:szCs w:val="8"/>
        </w:rPr>
        <w:t xml:space="preserve"/>
      </w:r>
    </w:p>
    <w:p>
      <w:pPr>
        <w:spacing w:after="120" w:before="0" w:line="288"/>
        <w:jc w:val="left"/>
      </w:pPr>
      <w:r>
        <w:rPr>
          <w:rFonts w:ascii="Calibri" w:cs="Calibri" w:eastAsia="Calibri" w:hAnsi="Calibri"/>
          <w:b/>
          <w:bCs/>
          <w:i w:val="false"/>
          <w:iCs w:val="false"/>
          <w:color w:val="4A4540"/>
          <w:sz w:val="22"/>
          <w:szCs w:val="22"/>
        </w:rPr>
        <w:t xml:space="preserve">Si tu n’arrives pas à utiliser cet outil, ce n’est pas un problème de compétence. </w:t>
      </w:r>
      <w:r>
        <w:rPr>
          <w:rFonts w:ascii="Calibri" w:cs="Calibri" w:eastAsia="Calibri" w:hAnsi="Calibri"/>
          <w:b w:val="false"/>
          <w:bCs w:val="false"/>
          <w:i w:val="false"/>
          <w:iCs w:val="false"/>
          <w:color w:val="4A4540"/>
          <w:sz w:val="22"/>
          <w:szCs w:val="22"/>
        </w:rPr>
        <w:t xml:space="preserve">C’est un problème de format : le « Comprendre ta motivation » te livre une grille très complète, mais pas le geste professionnel qui va avec. Une grille de 90 lignes sans mode d’emploi, ça paraît écrasant — alors qu’en réalité tu ne t’en sers jamais en entier d’un coup.</w:t>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Ce que cet outil est — et ce qu’il n’est pas</w:t>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4800"/>
        <w:gridCol w:w="4800"/>
      </w:tblGrid>
      <w:tr>
        <w:trPr>
          <w:tblHeader/>
        </w:trPr>
        <w:tc>
          <w:tcPr>
            <w:tcW w:type="dxa" w:w="48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C’est…</w:t>
            </w:r>
          </w:p>
        </w:tc>
        <w:tc>
          <w:tcPr>
            <w:tcW w:type="dxa" w:w="48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Ce n’est pas…</w:t>
            </w:r>
          </w:p>
        </w:tc>
      </w:tr>
      <w:tr>
        <w:trPr>
          <w:tblHeader w:val="false"/>
        </w:trPr>
        <w:tc>
          <w:tcPr>
            <w:tcW w:type="dxa" w:w="48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Une photographie du ressenti de la personne, à un instant T</w:t>
            </w:r>
          </w:p>
        </w:tc>
        <w:tc>
          <w:tcPr>
            <w:tcW w:type="dxa" w:w="48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Un test, un diagnostic, ni un bilan psychométrique</w:t>
            </w:r>
          </w:p>
        </w:tc>
      </w:tr>
      <w:tr>
        <w:trPr>
          <w:tblHeader w:val="false"/>
        </w:trPr>
        <w:tc>
          <w:tcPr>
            <w:tcW w:type="dxa" w:w="48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Un support de dialogue : le chiffre sert à ouvrir la parole</w:t>
            </w:r>
          </w:p>
        </w:tc>
        <w:tc>
          <w:tcPr>
            <w:tcW w:type="dxa" w:w="48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Un questionnaire à remplir vite pour obtenir un score</w:t>
            </w:r>
          </w:p>
        </w:tc>
      </w:tr>
      <w:tr>
        <w:trPr>
          <w:tblHeader w:val="false"/>
        </w:trPr>
        <w:tc>
          <w:tcPr>
            <w:tcW w:type="dxa" w:w="48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Un outil de comparaison dans le temps (T0, T1, T2…)</w:t>
            </w:r>
          </w:p>
        </w:tc>
        <w:tc>
          <w:tcPr>
            <w:tcW w:type="dxa" w:w="48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Une photo à prendre une seule fois et à ranger</w:t>
            </w:r>
          </w:p>
        </w:tc>
      </w:tr>
      <w:tr>
        <w:trPr>
          <w:tblHeader w:val="false"/>
        </w:trPr>
        <w:tc>
          <w:tcPr>
            <w:tcW w:type="dxa" w:w="48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Une carte pour choisir 2 ou 3 leviers</w:t>
            </w:r>
          </w:p>
        </w:tc>
        <w:tc>
          <w:tcPr>
            <w:tcW w:type="dxa" w:w="48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Une liste de 90 problèmes à résoudre</w:t>
            </w:r>
          </w:p>
        </w:tc>
      </w:tr>
    </w:tbl>
    <w:p>
      <w:pPr>
        <w:spacing w:after="200" w:before="0"/>
      </w:pPr>
      <w:r>
        <w:rPr>
          <w:sz w:val="8"/>
          <w:szCs w:val="8"/>
        </w:rPr>
        <w:t xml:space="preserve"/>
      </w:r>
    </w:p>
    <w:tbl>
      <w:tblPr>
        <w:tblW w:type="dxa" w:w="9600"/>
        <w:tblBorders>
          <w:top w:val="single" w:color="F050C8" w:sz="2"/>
          <w:left w:val="single" w:color="F050C8" w:sz="18"/>
          <w:bottom w:val="single" w:color="F050C8" w:sz="2"/>
          <w:right w:val="single" w:color="F050C8" w:sz="2"/>
          <w:insideH w:val="single" w:color="auto" w:sz="4"/>
          <w:insideV w:val="single" w:color="auto" w:sz="4"/>
        </w:tblBorders>
      </w:tblPr>
      <w:tblGrid>
        <w:gridCol w:w="9600"/>
      </w:tblGrid>
      <w:tr>
        <w:tc>
          <w:tcPr>
            <w:tcW w:type="dxa" w:w="9600"/>
            <w:shd w:fill="FAF7F2" w:color="auto" w:val="clear"/>
            <w:tcMar>
              <w:top w:type="dxa" w:w="160"/>
              <w:left w:type="dxa" w:w="220"/>
              <w:bottom w:type="dxa" w:w="160"/>
              <w:right w:type="dxa" w:w="200"/>
            </w:tcMar>
          </w:tcPr>
          <w:p>
            <w:pPr>
              <w:spacing w:after="80" w:before="0"/>
            </w:pPr>
            <w:r>
              <w:rPr>
                <w:rFonts w:ascii="Trebuchet MS" w:cs="Trebuchet MS" w:eastAsia="Trebuchet MS" w:hAnsi="Trebuchet MS"/>
                <w:b/>
                <w:bCs/>
                <w:color w:val="F050C8"/>
                <w:sz w:val="22"/>
                <w:szCs w:val="22"/>
              </w:rPr>
              <w:t xml:space="preserve">La phrase à retenir</w:t>
            </w:r>
          </w:p>
          <w:p>
            <w:pPr>
              <w:spacing w:after="80" w:before="0" w:line="288"/>
            </w:pPr>
            <w:r>
              <w:rPr>
                <w:rFonts w:ascii="Calibri" w:cs="Calibri" w:eastAsia="Calibri" w:hAnsi="Calibri"/>
                <w:color w:val="4A4540"/>
                <w:sz w:val="21"/>
                <w:szCs w:val="21"/>
              </w:rPr>
              <w:t xml:space="preserve">Le chiffre ouvre la porte. Le commentaire est la vraie donnée.</w:t>
            </w:r>
          </w:p>
          <w:p>
            <w:pPr>
              <w:spacing w:after="0" w:before="0" w:line="288"/>
            </w:pPr>
            <w:r>
              <w:rPr>
                <w:rFonts w:ascii="Calibri" w:cs="Calibri" w:eastAsia="Calibri" w:hAnsi="Calibri"/>
                <w:color w:val="4A4540"/>
                <w:sz w:val="21"/>
                <w:szCs w:val="21"/>
              </w:rPr>
              <w:t xml:space="preserve">Une ligne cotée 1 sans commentaire ne sert à rien. Une ligne cotée 1 avec la phrase exacte de l’enfant à côté vaut de l’or.</w:t>
            </w:r>
          </w:p>
        </w:tc>
      </w:tr>
    </w:tbl>
    <w:p>
      <w:pPr>
        <w:pBdr>
          <w:bottom w:val="single" w:color="3C6478" w:sz="6" w:space="4"/>
        </w:pBdr>
        <w:spacing w:after="120" w:before="260" w:line="288"/>
      </w:pPr>
      <w:r>
        <w:rPr>
          <w:rFonts w:ascii="Trebuchet MS" w:cs="Trebuchet MS" w:eastAsia="Trebuchet MS" w:hAnsi="Trebuchet MS"/>
          <w:b/>
          <w:bCs/>
          <w:color w:val="3C6478"/>
          <w:sz w:val="24"/>
          <w:szCs w:val="24"/>
        </w:rPr>
        <w:t xml:space="preserve">La méthode en 3 temps</w:t>
      </w:r>
    </w:p>
    <w:p>
      <w:pPr>
        <w:spacing w:after="160" w:before="0" w:line="288"/>
        <w:jc w:val="left"/>
      </w:pPr>
      <w:r>
        <w:rPr>
          <w:rFonts w:ascii="Calibri" w:cs="Calibri" w:eastAsia="Calibri" w:hAnsi="Calibri"/>
          <w:b w:val="false"/>
          <w:bCs w:val="false"/>
          <w:i w:val="false"/>
          <w:iCs w:val="false"/>
          <w:color w:val="4A4540"/>
          <w:sz w:val="22"/>
          <w:szCs w:val="22"/>
        </w:rPr>
        <w:t xml:space="preserve">Le « Comprendre ta motivation » est structuré en 3 phases. La difficulté la plus courante, c’est de vouloir les enchaîner dans la même heure. Elles ne se font pas au même moment, ni avec la même posture.</w:t>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1500"/>
        <w:gridCol w:w="2400"/>
        <w:gridCol w:w="1500"/>
        <w:gridCol w:w="4200"/>
      </w:tblGrid>
      <w:tr>
        <w:trPr>
          <w:tblHeader/>
        </w:trPr>
        <w:tc>
          <w:tcPr>
            <w:tcW w:type="dxa" w:w="15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Temps</w:t>
            </w:r>
          </w:p>
        </w:tc>
        <w:tc>
          <w:tcPr>
            <w:tcW w:type="dxa" w:w="24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Ce que tu fais</w:t>
            </w:r>
          </w:p>
        </w:tc>
        <w:tc>
          <w:tcPr>
            <w:tcW w:type="dxa" w:w="15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Quand</w:t>
            </w:r>
          </w:p>
        </w:tc>
        <w:tc>
          <w:tcPr>
            <w:tcW w:type="dxa" w:w="42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Ta posture</w:t>
            </w:r>
          </w:p>
        </w:tc>
      </w:tr>
      <w:tr>
        <w:trPr>
          <w:tblHeader w:val="false"/>
        </w:trPr>
        <w:tc>
          <w:tcPr>
            <w:tcW w:type="dxa" w:w="15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Phase 1
Questionnaire</w:t>
            </w:r>
          </w:p>
        </w:tc>
        <w:tc>
          <w:tcPr>
            <w:tcW w:type="dxa" w:w="2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État des lieux : la personne se cote, tu notes ses mots</w:t>
            </w:r>
          </w:p>
        </w:tc>
        <w:tc>
          <w:tcPr>
            <w:tcW w:type="dxa" w:w="15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Séance 1
30 à 40 min</w:t>
            </w:r>
          </w:p>
        </w:tc>
        <w:tc>
          <w:tcPr>
            <w:tcW w:type="dxa" w:w="42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Tu écoutes et tu notes. Tu n’analyses pas, tu ne rassures pas, tu ne corriges pas.</w:t>
            </w:r>
          </w:p>
        </w:tc>
      </w:tr>
      <w:tr>
        <w:trPr>
          <w:tblHeader w:val="false"/>
        </w:trPr>
        <w:tc>
          <w:tcPr>
            <w:tcW w:type="dxa" w:w="15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Phase 2
Bilan</w:t>
            </w:r>
          </w:p>
        </w:tc>
        <w:tc>
          <w:tcPr>
            <w:tcW w:type="dxa" w:w="2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Tu dépouilles seule, tu cherches les racines, tu formules des solutions</w:t>
            </w:r>
          </w:p>
        </w:tc>
        <w:tc>
          <w:tcPr>
            <w:tcW w:type="dxa" w:w="15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Entre les deux
45 min à 1 h, à froid</w:t>
            </w:r>
          </w:p>
        </w:tc>
        <w:tc>
          <w:tcPr>
            <w:tcW w:type="dxa" w:w="42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Tu es clinicienne. C’est le seul moment où tu interprètes.</w:t>
            </w:r>
          </w:p>
        </w:tc>
      </w:tr>
      <w:tr>
        <w:trPr>
          <w:tblHeader w:val="false"/>
        </w:trPr>
        <w:tc>
          <w:tcPr>
            <w:tcW w:type="dxa" w:w="15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Phase 3
Planification</w:t>
            </w:r>
          </w:p>
        </w:tc>
        <w:tc>
          <w:tcPr>
            <w:tcW w:type="dxa" w:w="2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Vous choisissez ensemble les objectifs, vous datez et vous signez</w:t>
            </w:r>
          </w:p>
        </w:tc>
        <w:tc>
          <w:tcPr>
            <w:tcW w:type="dxa" w:w="15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Séance 2
20 à 30 min</w:t>
            </w:r>
          </w:p>
        </w:tc>
        <w:tc>
          <w:tcPr>
            <w:tcW w:type="dxa" w:w="42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Tu es partenaire. Rien ne se décide sans son accord.</w:t>
            </w:r>
          </w:p>
        </w:tc>
      </w:tr>
    </w:tbl>
    <w:p>
      <w:pPr>
        <w:spacing w:after="200" w:before="0"/>
      </w:pPr>
      <w:r>
        <w:rPr>
          <w:sz w:val="8"/>
          <w:szCs w:val="8"/>
        </w:rPr>
        <w:t xml:space="preserve"/>
      </w:r>
    </w:p>
    <w:tbl>
      <w:tblPr>
        <w:tblW w:type="dxa" w:w="9600"/>
        <w:tblBorders>
          <w:top w:val="single" w:color="F050C8" w:sz="2"/>
          <w:left w:val="single" w:color="F050C8" w:sz="18"/>
          <w:bottom w:val="single" w:color="F050C8" w:sz="2"/>
          <w:right w:val="single" w:color="F050C8" w:sz="2"/>
          <w:insideH w:val="single" w:color="auto" w:sz="4"/>
          <w:insideV w:val="single" w:color="auto" w:sz="4"/>
        </w:tblBorders>
      </w:tblPr>
      <w:tblGrid>
        <w:gridCol w:w="9600"/>
      </w:tblGrid>
      <w:tr>
        <w:tc>
          <w:tcPr>
            <w:tcW w:type="dxa" w:w="9600"/>
            <w:shd w:fill="FAF7F2" w:color="auto" w:val="clear"/>
            <w:tcMar>
              <w:top w:type="dxa" w:w="160"/>
              <w:left w:type="dxa" w:w="220"/>
              <w:bottom w:type="dxa" w:w="160"/>
              <w:right w:type="dxa" w:w="200"/>
            </w:tcMar>
          </w:tcPr>
          <w:p>
            <w:pPr>
              <w:spacing w:after="80" w:before="0"/>
            </w:pPr>
            <w:r>
              <w:rPr>
                <w:rFonts w:ascii="Trebuchet MS" w:cs="Trebuchet MS" w:eastAsia="Trebuchet MS" w:hAnsi="Trebuchet MS"/>
                <w:b/>
                <w:bCs/>
                <w:color w:val="F050C8"/>
                <w:sz w:val="22"/>
                <w:szCs w:val="22"/>
              </w:rPr>
              <w:t xml:space="preserve">Erreur n°1 (et la plus fréquente)</w:t>
            </w:r>
          </w:p>
          <w:p>
            <w:pPr>
              <w:spacing w:after="80" w:before="0" w:line="288"/>
            </w:pPr>
            <w:r>
              <w:rPr>
                <w:rFonts w:ascii="Calibri" w:cs="Calibri" w:eastAsia="Calibri" w:hAnsi="Calibri"/>
                <w:color w:val="4A4540"/>
                <w:sz w:val="21"/>
                <w:szCs w:val="21"/>
              </w:rPr>
              <w:t xml:space="preserve">Faire la Phase 2 dans la foulée de la Phase 1, avec la personne en face. Le document le dit lui-même : les solutions émergent après quelques heures, voire quelques jours d’analyse.</w:t>
            </w:r>
          </w:p>
          <w:p>
            <w:pPr>
              <w:spacing w:after="0" w:before="0" w:line="288"/>
            </w:pPr>
            <w:r>
              <w:rPr>
                <w:rFonts w:ascii="Calibri" w:cs="Calibri" w:eastAsia="Calibri" w:hAnsi="Calibri"/>
                <w:color w:val="4A4540"/>
                <w:sz w:val="21"/>
                <w:szCs w:val="21"/>
              </w:rPr>
              <w:t xml:space="preserve">Laisse dormir. Ton cerveau fait le travail pendant ce temps-là.</w:t>
            </w:r>
          </w:p>
        </w:tc>
      </w:tr>
    </w:tbl>
    <w:p>
      <w:r>
        <w:br w:type="page"/>
      </w:r>
    </w:p>
    <w:tbl>
      <w:tblPr>
        <w:tblW w:type="dxa" w:w="9600"/>
        <w:tblBorders>
          <w:top w:val="none"/>
          <w:left w:val="none"/>
          <w:bottom w:val="none"/>
          <w:right w:val="none"/>
          <w:insideH w:val="single" w:color="auto" w:sz="4"/>
          <w:insideV w:val="single" w:color="auto" w:sz="4"/>
        </w:tblBorders>
      </w:tblPr>
      <w:tblGrid>
        <w:gridCol w:w="9600"/>
      </w:tblGrid>
      <w:tr>
        <w:tc>
          <w:tcPr>
            <w:tcW w:type="dxa" w:w="9600"/>
            <w:shd w:fill="3C6478" w:color="auto" w:val="clear"/>
            <w:tcMar>
              <w:top w:type="dxa" w:w="140"/>
              <w:left w:type="dxa" w:w="200"/>
              <w:bottom w:type="dxa" w:w="140"/>
              <w:right w:type="dxa" w:w="200"/>
            </w:tcMar>
          </w:tcPr>
          <w:p>
            <w:pPr>
              <w:spacing w:after="0" w:before="0"/>
            </w:pPr>
            <w:r>
              <w:rPr>
                <w:rFonts w:ascii="Trebuchet MS" w:cs="Trebuchet MS" w:eastAsia="Trebuchet MS" w:hAnsi="Trebuchet MS"/>
                <w:b/>
                <w:bCs/>
                <w:color w:val="B4F0C8"/>
                <w:sz w:val="26"/>
                <w:szCs w:val="26"/>
              </w:rPr>
              <w:t xml:space="preserve">T0  </w:t>
            </w:r>
            <w:r>
              <w:rPr>
                <w:rFonts w:ascii="Trebuchet MS" w:cs="Trebuchet MS" w:eastAsia="Trebuchet MS" w:hAnsi="Trebuchet MS"/>
                <w:b/>
                <w:bCs/>
                <w:color w:val="FFFFFF"/>
                <w:sz w:val="26"/>
                <w:szCs w:val="26"/>
              </w:rPr>
              <w:t xml:space="preserve">Préparer la séance (10 minutes)</w:t>
            </w:r>
          </w:p>
        </w:tc>
      </w:tr>
    </w:tbl>
    <w:p>
      <w:pPr>
        <w:spacing w:after="180" w:before="0"/>
      </w:pPr>
      <w:r>
        <w:rPr>
          <w:sz w:val="8"/>
          <w:szCs w:val="8"/>
        </w:rPr>
        <w:t xml:space="preserve"/>
      </w:r>
    </w:p>
    <w:p>
      <w:pPr>
        <w:spacing w:after="80" w:before="200" w:line="288"/>
      </w:pPr>
      <w:r>
        <w:rPr>
          <w:rFonts w:ascii="Trebuchet MS" w:cs="Trebuchet MS" w:eastAsia="Trebuchet MS" w:hAnsi="Trebuchet MS"/>
          <w:b/>
          <w:bCs/>
          <w:color w:val="3C6478"/>
          <w:sz w:val="22"/>
          <w:szCs w:val="22"/>
        </w:rPr>
        <w:t xml:space="preserve">Ta checklist matérielle</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Le questionnaire imprimé (pas sur écran — l’enfant doit pouvoir pointer du doigt).</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Deux stylos de couleurs différentes : un pour les cotes, un pour ses mots à lui.</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Trois surligneurs pour plus tard : rouge, orange, vert.</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Un minuteur visuel posé sur la table si la personne est jeune ou fatigable.</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Ton agenda ouvert : la date de la séance 2 se fixe à chaud, jamais « plus tard ».</w:t>
      </w:r>
    </w:p>
    <w:p>
      <w:pPr>
        <w:spacing w:after="80" w:before="200" w:line="288"/>
      </w:pPr>
      <w:r>
        <w:rPr>
          <w:rFonts w:ascii="Trebuchet MS" w:cs="Trebuchet MS" w:eastAsia="Trebuchet MS" w:hAnsi="Trebuchet MS"/>
          <w:b/>
          <w:bCs/>
          <w:color w:val="3C6478"/>
          <w:sz w:val="22"/>
          <w:szCs w:val="22"/>
        </w:rPr>
        <w:t xml:space="preserve">Ta checklist de cadre</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Accord parental obtenu pour un mineur, et accord de l’enfant lui-même.</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Le parent est-il dans la pièce ? Par défaut : non, ou hors du champ de vision de l’enfant. Un enfant qui cherche le regard de sa mère à chaque ligne ne se cote plus, il devine ce qu’on attend de lui.</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L’en-tête rempli avant : nom, âge, situation, date. Les cinq secondes gagnées ne valent rien, mais l’en-tête vide un an plus tard rend le bilan inexploitable.</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Note la date en gros. Tu compareras ce document à lui-même dans 3 mois, 6 mois, un an.</w:t>
      </w:r>
    </w:p>
    <w:p>
      <w:pPr>
        <w:spacing w:after="80" w:before="200" w:line="288"/>
      </w:pPr>
      <w:r>
        <w:rPr>
          <w:rFonts w:ascii="Trebuchet MS" w:cs="Trebuchet MS" w:eastAsia="Trebuchet MS" w:hAnsi="Trebuchet MS"/>
          <w:b/>
          <w:bCs/>
          <w:color w:val="3C6478"/>
          <w:sz w:val="22"/>
          <w:szCs w:val="22"/>
        </w:rPr>
        <w:t xml:space="preserve">Le choix de l’échelle</w:t>
      </w:r>
    </w:p>
    <w:p>
      <w:pPr>
        <w:spacing w:after="100" w:before="0" w:line="288"/>
        <w:jc w:val="left"/>
      </w:pPr>
      <w:r>
        <w:rPr>
          <w:rFonts w:ascii="Calibri" w:cs="Calibri" w:eastAsia="Calibri" w:hAnsi="Calibri"/>
          <w:b w:val="false"/>
          <w:bCs w:val="false"/>
          <w:i w:val="false"/>
          <w:iCs w:val="false"/>
          <w:color w:val="4A4540"/>
          <w:sz w:val="22"/>
          <w:szCs w:val="22"/>
        </w:rPr>
        <w:t xml:space="preserve">Le « Comprendre ta motivation » propose deux échelles équivalentes : les chiffres de 0 à 5, ou les smileys. Ce n’est pas décoratif, c’est un choix clinique.</w:t>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3000"/>
        <w:gridCol w:w="6600"/>
      </w:tblGrid>
      <w:tr>
        <w:trPr>
          <w:tblHeader/>
        </w:trPr>
        <w:tc>
          <w:tcPr>
            <w:tcW w:type="dxa" w:w="30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Choisis…</w:t>
            </w:r>
          </w:p>
        </w:tc>
        <w:tc>
          <w:tcPr>
            <w:tcW w:type="dxa" w:w="66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Quand…</w:t>
            </w:r>
          </w:p>
        </w:tc>
      </w:tr>
      <w:tr>
        <w:trPr>
          <w:tblHeader w:val="false"/>
        </w:trPr>
        <w:tc>
          <w:tcPr>
            <w:tcW w:type="dxa" w:w="30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Les smileys</w:t>
            </w:r>
          </w:p>
        </w:tc>
        <w:tc>
          <w:tcPr>
            <w:tcW w:type="dxa" w:w="6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Enfant de moins de 9 ans · profil non lecteur · anxieux de la performance · tendance à tout mettre à 5 pour bien faire</w:t>
            </w:r>
          </w:p>
        </w:tc>
      </w:tr>
      <w:tr>
        <w:trPr>
          <w:tblHeader w:val="false"/>
        </w:trPr>
        <w:tc>
          <w:tcPr>
            <w:tcW w:type="dxa" w:w="30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Les chiffres</w:t>
            </w:r>
          </w:p>
        </w:tc>
        <w:tc>
          <w:tcPr>
            <w:tcW w:type="dxa" w:w="6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Ado, adulte · profil qui aime la précision · personne qui reviendra plusieurs fois (les chiffres se comparent mieux)</w:t>
            </w:r>
          </w:p>
        </w:tc>
      </w:tr>
      <w:tr>
        <w:trPr>
          <w:tblHeader w:val="false"/>
        </w:trPr>
        <w:tc>
          <w:tcPr>
            <w:tcW w:type="dxa" w:w="30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Les deux</w:t>
            </w:r>
          </w:p>
        </w:tc>
        <w:tc>
          <w:tcPr>
            <w:tcW w:type="dxa" w:w="6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 cote au smiley, tu convertis en chiffre à côté. C’est la solution la plus confortable pour toi à la Phase 2.</w:t>
            </w:r>
          </w:p>
        </w:tc>
      </w:tr>
    </w:tbl>
    <w:p>
      <w:pPr>
        <w:spacing w:after="200" w:before="0"/>
      </w:pPr>
      <w:r>
        <w:rPr>
          <w:sz w:val="8"/>
          <w:szCs w:val="8"/>
        </w:rPr>
        <w:t xml:space="preserve"/>
      </w:r>
    </w:p>
    <w:tbl>
      <w:tblPr>
        <w:tblW w:type="dxa" w:w="9600"/>
        <w:tblBorders>
          <w:top w:val="single" w:color="F050C8" w:sz="2"/>
          <w:left w:val="single" w:color="F050C8" w:sz="18"/>
          <w:bottom w:val="single" w:color="F050C8" w:sz="2"/>
          <w:right w:val="single" w:color="F050C8" w:sz="2"/>
          <w:insideH w:val="single" w:color="auto" w:sz="4"/>
          <w:insideV w:val="single" w:color="auto" w:sz="4"/>
        </w:tblBorders>
      </w:tblPr>
      <w:tblGrid>
        <w:gridCol w:w="9600"/>
      </w:tblGrid>
      <w:tr>
        <w:tc>
          <w:tcPr>
            <w:tcW w:type="dxa" w:w="9600"/>
            <w:shd w:fill="FAF7F2" w:color="auto" w:val="clear"/>
            <w:tcMar>
              <w:top w:type="dxa" w:w="160"/>
              <w:left w:type="dxa" w:w="220"/>
              <w:bottom w:type="dxa" w:w="160"/>
              <w:right w:type="dxa" w:w="200"/>
            </w:tcMar>
          </w:tcPr>
          <w:p>
            <w:pPr>
              <w:spacing w:after="80" w:before="0"/>
            </w:pPr>
            <w:r>
              <w:rPr>
                <w:rFonts w:ascii="Trebuchet MS" w:cs="Trebuchet MS" w:eastAsia="Trebuchet MS" w:hAnsi="Trebuchet MS"/>
                <w:b/>
                <w:bCs/>
                <w:color w:val="F050C8"/>
                <w:sz w:val="22"/>
                <w:szCs w:val="22"/>
              </w:rPr>
              <w:t xml:space="preserve">Point de vigilance sur l’échelle</w:t>
            </w:r>
          </w:p>
          <w:p>
            <w:pPr>
              <w:spacing w:after="80" w:before="0" w:line="288"/>
            </w:pPr>
            <w:r>
              <w:rPr>
                <w:rFonts w:ascii="Calibri" w:cs="Calibri" w:eastAsia="Calibri" w:hAnsi="Calibri"/>
                <w:color w:val="4A4540"/>
                <w:sz w:val="21"/>
                <w:szCs w:val="21"/>
              </w:rPr>
              <w:t xml:space="preserve">L’échelle veut dire « je me sens mal / je me sens bien ». Elle fonctionne pour la quasi-totalité des lignes… sauf pour les lignes qui interrogent une émotion (éprouves-tu de la colère, de la tristesse, de la joie ?). Là, un 5 ne veut plus dire « ça va bien » : ça veut dire « j’en ressens beaucoup ».</w:t>
            </w:r>
          </w:p>
          <w:p>
            <w:pPr>
              <w:spacing w:after="80" w:before="0" w:line="288"/>
            </w:pPr>
            <w:r>
              <w:rPr>
                <w:rFonts w:ascii="Calibri" w:cs="Calibri" w:eastAsia="Calibri" w:hAnsi="Calibri"/>
                <w:color w:val="4A4540"/>
                <w:sz w:val="21"/>
                <w:szCs w:val="21"/>
              </w:rPr>
              <w:t xml:space="preserve">La solution simple : sur ces lignes-là, pose deux questions. « Tu en ressens souvent ? » (note F pour fréquence) puis « et quand ça arrive, tu te sens comment avec ? » (c’est ça que tu cotes de 0 à 5).</w:t>
            </w:r>
          </w:p>
          <w:p>
            <w:pPr>
              <w:spacing w:after="0" w:before="0" w:line="288"/>
            </w:pPr>
            <w:r>
              <w:rPr>
                <w:rFonts w:ascii="Calibri" w:cs="Calibri" w:eastAsia="Calibri" w:hAnsi="Calibri"/>
                <w:color w:val="4A4540"/>
                <w:sz w:val="21"/>
                <w:szCs w:val="21"/>
              </w:rPr>
              <w:t xml:space="preserve">Sans cette précaution, tu liras une colère à 5 comme une bonne nouvelle. Et tu passeras à côté de l’essentiel.</w:t>
            </w:r>
          </w:p>
        </w:tc>
      </w:tr>
    </w:tbl>
    <w:p>
      <w:r>
        <w:br w:type="page"/>
      </w:r>
    </w:p>
    <w:tbl>
      <w:tblPr>
        <w:tblW w:type="dxa" w:w="9600"/>
        <w:tblBorders>
          <w:top w:val="none"/>
          <w:left w:val="none"/>
          <w:bottom w:val="none"/>
          <w:right w:val="none"/>
          <w:insideH w:val="single" w:color="auto" w:sz="4"/>
          <w:insideV w:val="single" w:color="auto" w:sz="4"/>
        </w:tblBorders>
      </w:tblPr>
      <w:tblGrid>
        <w:gridCol w:w="9600"/>
      </w:tblGrid>
      <w:tr>
        <w:tc>
          <w:tcPr>
            <w:tcW w:type="dxa" w:w="9600"/>
            <w:shd w:fill="3C6478" w:color="auto" w:val="clear"/>
            <w:tcMar>
              <w:top w:type="dxa" w:w="140"/>
              <w:left w:type="dxa" w:w="200"/>
              <w:bottom w:type="dxa" w:w="140"/>
              <w:right w:type="dxa" w:w="200"/>
            </w:tcMar>
          </w:tcPr>
          <w:p>
            <w:pPr>
              <w:spacing w:after="0" w:before="0"/>
            </w:pPr>
            <w:r>
              <w:rPr>
                <w:rFonts w:ascii="Trebuchet MS" w:cs="Trebuchet MS" w:eastAsia="Trebuchet MS" w:hAnsi="Trebuchet MS"/>
                <w:b/>
                <w:bCs/>
                <w:color w:val="B4F0C8"/>
                <w:sz w:val="26"/>
                <w:szCs w:val="26"/>
              </w:rPr>
              <w:t xml:space="preserve">T1  </w:t>
            </w:r>
            <w:r>
              <w:rPr>
                <w:rFonts w:ascii="Trebuchet MS" w:cs="Trebuchet MS" w:eastAsia="Trebuchet MS" w:hAnsi="Trebuchet MS"/>
                <w:b/>
                <w:bCs/>
                <w:color w:val="FFFFFF"/>
                <w:sz w:val="26"/>
                <w:szCs w:val="26"/>
              </w:rPr>
              <w:t xml:space="preserve">La passation — Phase 1 (30 à 40 minutes)</w:t>
            </w:r>
          </w:p>
        </w:tc>
      </w:tr>
    </w:tbl>
    <w:p>
      <w:pPr>
        <w:spacing w:after="180" w:before="0"/>
      </w:pPr>
      <w:r>
        <w:rPr>
          <w:sz w:val="8"/>
          <w:szCs w:val="8"/>
        </w:rPr>
        <w:t xml:space="preserve"/>
      </w:r>
    </w:p>
    <w:p>
      <w:pPr>
        <w:spacing w:after="160" w:before="0" w:line="288"/>
        <w:jc w:val="left"/>
      </w:pPr>
      <w:r>
        <w:rPr>
          <w:rFonts w:ascii="Calibri" w:cs="Calibri" w:eastAsia="Calibri" w:hAnsi="Calibri"/>
          <w:b w:val="false"/>
          <w:bCs w:val="false"/>
          <w:i w:val="false"/>
          <w:iCs w:val="false"/>
          <w:color w:val="4A4540"/>
          <w:sz w:val="22"/>
          <w:szCs w:val="22"/>
        </w:rPr>
        <w:t xml:space="preserve">Le document te fournit déjà un texte d’accueil à lire. Lis-le vraiment, même s’il te paraît long : il pose le non-jugement, le droit de ne pas répondre, et la durée. Ces trois choses évitent 80 % des blocages.</w:t>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Les 4 règles de la passation</w:t>
      </w:r>
    </w:p>
    <w:p>
      <w:pPr>
        <w:spacing w:after="80" w:before="200" w:line="288"/>
      </w:pPr>
      <w:r>
        <w:rPr>
          <w:rFonts w:ascii="Trebuchet MS" w:cs="Trebuchet MS" w:eastAsia="Trebuchet MS" w:hAnsi="Trebuchet MS"/>
          <w:b/>
          <w:bCs/>
          <w:color w:val="3C6478"/>
          <w:sz w:val="22"/>
          <w:szCs w:val="22"/>
        </w:rPr>
        <w:t xml:space="preserve">Règle 1 — Tu ne cotes jamais à sa place</w:t>
      </w:r>
    </w:p>
    <w:p>
      <w:pPr>
        <w:spacing w:after="120" w:before="0" w:line="288"/>
        <w:jc w:val="left"/>
      </w:pPr>
      <w:r>
        <w:rPr>
          <w:rFonts w:ascii="Calibri" w:cs="Calibri" w:eastAsia="Calibri" w:hAnsi="Calibri"/>
          <w:b w:val="false"/>
          <w:bCs w:val="false"/>
          <w:i w:val="false"/>
          <w:iCs w:val="false"/>
          <w:color w:val="4A4540"/>
          <w:sz w:val="22"/>
          <w:szCs w:val="22"/>
        </w:rPr>
        <w:t xml:space="preserve">Même si tu es certaine qu’il se trompe. Même si la mère fait non de la tête derrière. Le « Comprendre ta motivation » mesure un ressenti, pas une réalité objective. Un enfant qui se cote 5 en lecture alors qu’il est en grande difficulté vient de te donner une information capitale : il n’a pas conscience de l’écart. C’est ça, la donnée.</w:t>
      </w:r>
    </w:p>
    <w:p>
      <w:pPr>
        <w:spacing w:after="80" w:before="200" w:line="288"/>
      </w:pPr>
      <w:r>
        <w:rPr>
          <w:rFonts w:ascii="Trebuchet MS" w:cs="Trebuchet MS" w:eastAsia="Trebuchet MS" w:hAnsi="Trebuchet MS"/>
          <w:b/>
          <w:bCs/>
          <w:color w:val="3C6478"/>
          <w:sz w:val="22"/>
          <w:szCs w:val="22"/>
        </w:rPr>
        <w:t xml:space="preserve">Règle 2 — Tu notes ses mots, pas ton résumé</w:t>
      </w:r>
    </w:p>
    <w:p>
      <w:pPr>
        <w:spacing w:after="120" w:before="0" w:line="288"/>
        <w:jc w:val="left"/>
      </w:pPr>
      <w:r>
        <w:rPr>
          <w:rFonts w:ascii="Calibri" w:cs="Calibri" w:eastAsia="Calibri" w:hAnsi="Calibri"/>
          <w:b w:val="false"/>
          <w:bCs w:val="false"/>
          <w:i w:val="false"/>
          <w:iCs w:val="false"/>
          <w:color w:val="4A4540"/>
          <w:sz w:val="22"/>
          <w:szCs w:val="22"/>
        </w:rPr>
        <w:t xml:space="preserve">Dans la colonne commentaires, écris entre guillemets ce qu’il dit, tel qu’il le dit. « Ça sert à rien de commencer j’y arriverai pas » vaut mille fois mieux que ta reformulation « manque de confiance ». Dans trois mois, sa phrase exacte te dira si quelque chose a bougé. Ton résumé, non.</w:t>
      </w:r>
    </w:p>
    <w:p>
      <w:pPr>
        <w:spacing w:after="80" w:before="200" w:line="288"/>
      </w:pPr>
      <w:r>
        <w:rPr>
          <w:rFonts w:ascii="Trebuchet MS" w:cs="Trebuchet MS" w:eastAsia="Trebuchet MS" w:hAnsi="Trebuchet MS"/>
          <w:b/>
          <w:bCs/>
          <w:color w:val="3C6478"/>
          <w:sz w:val="22"/>
          <w:szCs w:val="22"/>
        </w:rPr>
        <w:t xml:space="preserve">Règle 3 — Tu ne rebondis pas, tu ne rassures pas, tu ne conseilles pas</w:t>
      </w:r>
    </w:p>
    <w:p>
      <w:pPr>
        <w:spacing w:after="120" w:before="0" w:line="288"/>
        <w:jc w:val="left"/>
      </w:pPr>
      <w:r>
        <w:rPr>
          <w:rFonts w:ascii="Calibri" w:cs="Calibri" w:eastAsia="Calibri" w:hAnsi="Calibri"/>
          <w:b w:val="false"/>
          <w:bCs w:val="false"/>
          <w:i w:val="false"/>
          <w:iCs w:val="false"/>
          <w:color w:val="4A4540"/>
          <w:sz w:val="22"/>
          <w:szCs w:val="22"/>
        </w:rPr>
        <w:t xml:space="preserve">C’est le plus difficile. Dès qu’il dit quelque chose de touchant, l’envie d’intervenir arrive. Si tu interviens, tu contamines toutes les lignes suivantes : il comprend qu’il y a des bonnes et des mauvaises réponses. Tu accueilles avec un « d’accord, merci » neutre, tu notes, tu passes à la ligne suivante. Les solutions viendront à la Phase 3, et elles viendront de vous deux.</w:t>
      </w:r>
    </w:p>
    <w:p>
      <w:pPr>
        <w:spacing w:after="80" w:before="200" w:line="288"/>
      </w:pPr>
      <w:r>
        <w:rPr>
          <w:rFonts w:ascii="Trebuchet MS" w:cs="Trebuchet MS" w:eastAsia="Trebuchet MS" w:hAnsi="Trebuchet MS"/>
          <w:b/>
          <w:bCs/>
          <w:color w:val="3C6478"/>
          <w:sz w:val="22"/>
          <w:szCs w:val="22"/>
        </w:rPr>
        <w:t xml:space="preserve">Règle 4 — Tu n’es pas obligée de tout faire</w:t>
      </w:r>
    </w:p>
    <w:p>
      <w:pPr>
        <w:spacing w:after="120" w:before="0" w:line="288"/>
        <w:jc w:val="left"/>
      </w:pPr>
      <w:r>
        <w:rPr>
          <w:rFonts w:ascii="Calibri" w:cs="Calibri" w:eastAsia="Calibri" w:hAnsi="Calibri"/>
          <w:b w:val="false"/>
          <w:bCs w:val="false"/>
          <w:i w:val="false"/>
          <w:iCs w:val="false"/>
          <w:color w:val="4A4540"/>
          <w:sz w:val="22"/>
          <w:szCs w:val="22"/>
        </w:rPr>
        <w:t xml:space="preserve">C’est la règle qui débloque tout. La grille couvre six grands domaines. Tu choisis lesquels sont pertinents ce jour-là pour cette personne-là.</w:t>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3400"/>
        <w:gridCol w:w="6200"/>
      </w:tblGrid>
      <w:tr>
        <w:trPr>
          <w:tblHeader/>
        </w:trPr>
        <w:tc>
          <w:tcPr>
            <w:tcW w:type="dxa" w:w="34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Situation</w:t>
            </w:r>
          </w:p>
        </w:tc>
        <w:tc>
          <w:tcPr>
            <w:tcW w:type="dxa" w:w="62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Ce que tu passes</w:t>
            </w:r>
          </w:p>
        </w:tc>
      </w:tr>
      <w:tr>
        <w:trPr>
          <w:tblHeader w:val="false"/>
        </w:trPr>
        <w:tc>
          <w:tcPr>
            <w:tcW w:type="dxa" w:w="3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Enfant de 6-8 ans</w:t>
            </w:r>
          </w:p>
        </w:tc>
        <w:tc>
          <w:tcPr>
            <w:tcW w:type="dxa" w:w="62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Le bloc intérieur en version très simplifiée (saute les notions abstraites type légitimité, normes sociales, perfection), le corps, la communication, le quotidien. Les matières seulement si l’école est le motif.</w:t>
            </w:r>
          </w:p>
        </w:tc>
      </w:tr>
      <w:tr>
        <w:trPr>
          <w:tblHeader w:val="false"/>
        </w:trPr>
        <w:tc>
          <w:tcPr>
            <w:tcW w:type="dxa" w:w="3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Enfant 9-12 ans</w:t>
            </w:r>
          </w:p>
        </w:tc>
        <w:tc>
          <w:tcPr>
            <w:tcW w:type="dxa" w:w="62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Tout, mais en deux séances de 20 minutes.</w:t>
            </w:r>
          </w:p>
        </w:tc>
      </w:tr>
      <w:tr>
        <w:trPr>
          <w:tblHeader w:val="false"/>
        </w:trPr>
        <w:tc>
          <w:tcPr>
            <w:tcW w:type="dxa" w:w="3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Ado</w:t>
            </w:r>
          </w:p>
        </w:tc>
        <w:tc>
          <w:tcPr>
            <w:tcW w:type="dxa" w:w="62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Tout, en une fois. Les blocs abstraits sont souvent les plus riches à cet âge.</w:t>
            </w:r>
          </w:p>
        </w:tc>
      </w:tr>
      <w:tr>
        <w:trPr>
          <w:tblHeader w:val="false"/>
        </w:trPr>
        <w:tc>
          <w:tcPr>
            <w:tcW w:type="dxa" w:w="3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Adulte</w:t>
            </w:r>
          </w:p>
        </w:tc>
        <w:tc>
          <w:tcPr>
            <w:tcW w:type="dxa" w:w="62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Tout sauf les matières scolaires, sauf reprise d’études ou parentalité.</w:t>
            </w:r>
          </w:p>
        </w:tc>
      </w:tr>
      <w:tr>
        <w:trPr>
          <w:tblHeader w:val="false"/>
        </w:trPr>
        <w:tc>
          <w:tcPr>
            <w:tcW w:type="dxa" w:w="3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Motif ciblé (ex : refus des devoirs)</w:t>
            </w:r>
          </w:p>
        </w:tc>
        <w:tc>
          <w:tcPr>
            <w:tcW w:type="dxa" w:w="62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Bloc intérieur + corps + matières. Le reste à la séance suivante.</w:t>
            </w:r>
          </w:p>
        </w:tc>
      </w:tr>
    </w:tbl>
    <w:p>
      <w:pPr>
        <w:spacing w:after="220" w:before="0"/>
      </w:pPr>
      <w:r>
        <w:rPr>
          <w:sz w:val="8"/>
          <w:szCs w:val="8"/>
        </w:rPr>
        <w:t xml:space="preserve"/>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Tes phrases de secours</w:t>
      </w:r>
    </w:p>
    <w:p>
      <w:pPr>
        <w:spacing w:after="140" w:before="0" w:line="288"/>
        <w:jc w:val="left"/>
      </w:pPr>
      <w:r>
        <w:rPr>
          <w:rFonts w:ascii="Calibri" w:cs="Calibri" w:eastAsia="Calibri" w:hAnsi="Calibri"/>
          <w:b w:val="false"/>
          <w:bCs w:val="false"/>
          <w:i w:val="false"/>
          <w:iCs w:val="false"/>
          <w:color w:val="4A4540"/>
          <w:sz w:val="22"/>
          <w:szCs w:val="22"/>
        </w:rPr>
        <w:t xml:space="preserve">À avoir sous les yeux pendant la séance. Ce sont les cinq situations qui reviennent à chaque fois.</w:t>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3400"/>
        <w:gridCol w:w="6200"/>
      </w:tblGrid>
      <w:tr>
        <w:trPr>
          <w:tblHeader/>
        </w:trPr>
        <w:tc>
          <w:tcPr>
            <w:tcW w:type="dxa" w:w="34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Ce qui se passe</w:t>
            </w:r>
          </w:p>
        </w:tc>
        <w:tc>
          <w:tcPr>
            <w:tcW w:type="dxa" w:w="62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Ce que tu dis</w:t>
            </w:r>
          </w:p>
        </w:tc>
      </w:tr>
      <w:tr>
        <w:trPr>
          <w:tblHeader w:val="false"/>
        </w:trPr>
        <w:tc>
          <w:tcPr>
            <w:tcW w:type="dxa" w:w="3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 Je sais pas »</w:t>
            </w:r>
          </w:p>
        </w:tc>
        <w:tc>
          <w:tcPr>
            <w:tcW w:type="dxa" w:w="62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 Si tu devais deviner, ce serait plutôt du côté du smiley fatigué ou du côté du smiley à lunettes ? »</w:t>
            </w:r>
          </w:p>
        </w:tc>
      </w:tr>
      <w:tr>
        <w:trPr>
          <w:tblHeader w:val="false"/>
        </w:trPr>
        <w:tc>
          <w:tcPr>
            <w:tcW w:type="dxa" w:w="3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 ne comprend pas la question</w:t>
            </w:r>
          </w:p>
        </w:tc>
        <w:tc>
          <w:tcPr>
            <w:tcW w:type="dxa" w:w="62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Tu la transformes en scène concrète : « quand la maîtresse dit sortez le cahier de maths, tu te sens comment dans ton ventre ? »</w:t>
            </w:r>
          </w:p>
        </w:tc>
      </w:tr>
      <w:tr>
        <w:trPr>
          <w:tblHeader w:val="false"/>
        </w:trPr>
        <w:tc>
          <w:tcPr>
            <w:tcW w:type="dxa" w:w="3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 met 5 partout</w:t>
            </w:r>
          </w:p>
        </w:tc>
        <w:tc>
          <w:tcPr>
            <w:tcW w:type="dxa" w:w="62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 Et le jour où c’était le moins bien, ça donnait quoi ? » Puis tu notes les deux cotes.</w:t>
            </w:r>
          </w:p>
        </w:tc>
      </w:tr>
      <w:tr>
        <w:trPr>
          <w:tblHeader w:val="false"/>
        </w:trPr>
        <w:tc>
          <w:tcPr>
            <w:tcW w:type="dxa" w:w="3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 se ferme, il baisse la tête</w:t>
            </w:r>
          </w:p>
        </w:tc>
        <w:tc>
          <w:tcPr>
            <w:tcW w:type="dxa" w:w="62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 Tu peux passer. On y reviendra si tu veux, ou jamais. » Tu mets une croix dans la marge et tu avances.</w:t>
            </w:r>
          </w:p>
        </w:tc>
      </w:tr>
      <w:tr>
        <w:trPr>
          <w:tblHeader w:val="false"/>
        </w:trPr>
        <w:tc>
          <w:tcPr>
            <w:tcW w:type="dxa" w:w="3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 fatigue, il gigote, il répond n’importe quoi</w:t>
            </w:r>
          </w:p>
        </w:tc>
        <w:tc>
          <w:tcPr>
            <w:tcW w:type="dxa" w:w="62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Tu t’arrêtes. « On garde la suite pour la prochaine fois. » Une passation bâclée ne vaut rien.</w:t>
            </w:r>
          </w:p>
        </w:tc>
      </w:tr>
    </w:tbl>
    <w:p>
      <w:pPr>
        <w:spacing w:after="200" w:before="0"/>
      </w:pPr>
      <w:r>
        <w:rPr>
          <w:sz w:val="8"/>
          <w:szCs w:val="8"/>
        </w:rPr>
        <w:t xml:space="preserve"/>
      </w:r>
    </w:p>
    <w:p>
      <w:pPr>
        <w:spacing w:after="80" w:before="200" w:line="288"/>
      </w:pPr>
      <w:r>
        <w:rPr>
          <w:rFonts w:ascii="Trebuchet MS" w:cs="Trebuchet MS" w:eastAsia="Trebuchet MS" w:hAnsi="Trebuchet MS"/>
          <w:b/>
          <w:bCs/>
          <w:color w:val="3C6478"/>
          <w:sz w:val="22"/>
          <w:szCs w:val="22"/>
        </w:rPr>
        <w:t xml:space="preserve">La clôture</w:t>
      </w:r>
    </w:p>
    <w:p>
      <w:pPr>
        <w:spacing w:after="100" w:before="0" w:line="288"/>
        <w:jc w:val="left"/>
      </w:pPr>
      <w:r>
        <w:rPr>
          <w:rFonts w:ascii="Calibri" w:cs="Calibri" w:eastAsia="Calibri" w:hAnsi="Calibri"/>
          <w:b w:val="false"/>
          <w:bCs w:val="false"/>
          <w:i w:val="false"/>
          <w:iCs w:val="false"/>
          <w:color w:val="4A4540"/>
          <w:sz w:val="22"/>
          <w:szCs w:val="22"/>
        </w:rPr>
        <w:t xml:space="preserve">Termine par la question du ressenti à chaud prévue à la fin du document, et propose-lui le tien. C’est un moment court mais il change tout : il transforme un interrogatoire en échange. Note sa réponse, elle est souvent plus parlante que trente lignes de grille.</w:t>
      </w:r>
    </w:p>
    <w:p>
      <w:pPr>
        <w:spacing w:after="100" w:before="0" w:line="288"/>
        <w:jc w:val="left"/>
      </w:pPr>
      <w:r>
        <w:rPr>
          <w:rFonts w:ascii="Calibri" w:cs="Calibri" w:eastAsia="Calibri" w:hAnsi="Calibri"/>
          <w:b w:val="false"/>
          <w:bCs w:val="false"/>
          <w:i w:val="false"/>
          <w:iCs w:val="false"/>
          <w:color w:val="4A4540"/>
          <w:sz w:val="22"/>
          <w:szCs w:val="22"/>
        </w:rPr>
        <w:t xml:space="preserve">Puis : « Je vais prendre quelques jours pour bien regarder tout ça. On se revoit le [date] et on décidera ensemble par quoi on commence. » Et tu notes la date devant lui.</w:t>
      </w:r>
    </w:p>
    <w:p>
      <w:r>
        <w:br w:type="page"/>
      </w:r>
    </w:p>
    <w:tbl>
      <w:tblPr>
        <w:tblW w:type="dxa" w:w="9600"/>
        <w:tblBorders>
          <w:top w:val="none"/>
          <w:left w:val="none"/>
          <w:bottom w:val="none"/>
          <w:right w:val="none"/>
          <w:insideH w:val="single" w:color="auto" w:sz="4"/>
          <w:insideV w:val="single" w:color="auto" w:sz="4"/>
        </w:tblBorders>
      </w:tblPr>
      <w:tblGrid>
        <w:gridCol w:w="9600"/>
      </w:tblGrid>
      <w:tr>
        <w:tc>
          <w:tcPr>
            <w:tcW w:type="dxa" w:w="9600"/>
            <w:shd w:fill="3C6478" w:color="auto" w:val="clear"/>
            <w:tcMar>
              <w:top w:type="dxa" w:w="140"/>
              <w:left w:type="dxa" w:w="200"/>
              <w:bottom w:type="dxa" w:w="140"/>
              <w:right w:type="dxa" w:w="200"/>
            </w:tcMar>
          </w:tcPr>
          <w:p>
            <w:pPr>
              <w:spacing w:after="0" w:before="0"/>
            </w:pPr>
            <w:r>
              <w:rPr>
                <w:rFonts w:ascii="Trebuchet MS" w:cs="Trebuchet MS" w:eastAsia="Trebuchet MS" w:hAnsi="Trebuchet MS"/>
                <w:b/>
                <w:bCs/>
                <w:color w:val="B4F0C8"/>
                <w:sz w:val="26"/>
                <w:szCs w:val="26"/>
              </w:rPr>
              <w:t xml:space="preserve">T2  </w:t>
            </w:r>
            <w:r>
              <w:rPr>
                <w:rFonts w:ascii="Trebuchet MS" w:cs="Trebuchet MS" w:eastAsia="Trebuchet MS" w:hAnsi="Trebuchet MS"/>
                <w:b/>
                <w:bCs/>
                <w:color w:val="FFFFFF"/>
                <w:sz w:val="26"/>
                <w:szCs w:val="26"/>
              </w:rPr>
              <w:t xml:space="preserve">Le dépouillement — Phase 2 (45 min à 1 h, seule)</w:t>
            </w:r>
          </w:p>
        </w:tc>
      </w:tr>
    </w:tbl>
    <w:p>
      <w:pPr>
        <w:spacing w:after="180" w:before="0"/>
      </w:pPr>
      <w:r>
        <w:rPr>
          <w:sz w:val="8"/>
          <w:szCs w:val="8"/>
        </w:rPr>
        <w:t xml:space="preserve"/>
      </w:r>
    </w:p>
    <w:p>
      <w:pPr>
        <w:spacing w:after="180" w:before="0" w:line="288"/>
        <w:jc w:val="left"/>
      </w:pPr>
      <w:r>
        <w:rPr>
          <w:rFonts w:ascii="Calibri" w:cs="Calibri" w:eastAsia="Calibri" w:hAnsi="Calibri"/>
          <w:b w:val="false"/>
          <w:bCs w:val="false"/>
          <w:i w:val="false"/>
          <w:iCs w:val="false"/>
          <w:color w:val="4A4540"/>
          <w:sz w:val="22"/>
          <w:szCs w:val="22"/>
        </w:rPr>
        <w:t xml:space="preserve">C’est l’étape qui n’est pas expliquée dans l’outil, et c’est exactement là que tu bloques. Voici la procédure en cinq étapes. Fais-les dans l’ordre.</w:t>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Étape A — Colorier (10 min, sans réfléchir)</w:t>
      </w:r>
    </w:p>
    <w:p>
      <w:pPr>
        <w:spacing w:after="100" w:before="0" w:line="288"/>
        <w:jc w:val="left"/>
      </w:pPr>
      <w:r>
        <w:rPr>
          <w:rFonts w:ascii="Calibri" w:cs="Calibri" w:eastAsia="Calibri" w:hAnsi="Calibri"/>
          <w:b w:val="false"/>
          <w:bCs w:val="false"/>
          <w:i w:val="false"/>
          <w:iCs w:val="false"/>
          <w:color w:val="4A4540"/>
          <w:sz w:val="22"/>
          <w:szCs w:val="22"/>
        </w:rPr>
        <w:t xml:space="preserve">Tu prends tes trois surligneurs et tu passes sur toutes les lignes cotées, mécaniquement :</w:t>
      </w:r>
    </w:p>
    <w:p>
      <w:pPr>
        <w:pStyle w:val="ListParagraph"/>
        <w:numPr>
          <w:ilvl w:val="0"/>
          <w:numId w:val="2"/>
        </w:numPr>
        <w:spacing w:after="80" w:before="0" w:line="288"/>
      </w:pPr>
      <w:r>
        <w:rPr>
          <w:rFonts w:ascii="Calibri" w:cs="Calibri" w:eastAsia="Calibri" w:hAnsi="Calibri"/>
          <w:b/>
          <w:bCs/>
          <w:i w:val="false"/>
          <w:iCs w:val="false"/>
          <w:color w:val="4A4540"/>
          <w:sz w:val="22"/>
          <w:szCs w:val="22"/>
        </w:rPr>
        <w:t xml:space="preserve">0, 1, 2 </w:t>
      </w:r>
      <w:r>
        <w:rPr>
          <w:rFonts w:ascii="Calibri" w:cs="Calibri" w:eastAsia="Calibri" w:hAnsi="Calibri"/>
          <w:b w:val="false"/>
          <w:bCs w:val="false"/>
          <w:i w:val="false"/>
          <w:iCs w:val="false"/>
          <w:color w:val="4A4540"/>
          <w:sz w:val="22"/>
          <w:szCs w:val="22"/>
        </w:rPr>
        <w:t xml:space="preserve">→ rouge. Zone de souffrance ou de blocage.</w:t>
      </w:r>
    </w:p>
    <w:p>
      <w:pPr>
        <w:pStyle w:val="ListParagraph"/>
        <w:numPr>
          <w:ilvl w:val="0"/>
          <w:numId w:val="2"/>
        </w:numPr>
        <w:spacing w:after="80" w:before="0" w:line="288"/>
      </w:pPr>
      <w:r>
        <w:rPr>
          <w:rFonts w:ascii="Calibri" w:cs="Calibri" w:eastAsia="Calibri" w:hAnsi="Calibri"/>
          <w:b/>
          <w:bCs/>
          <w:i w:val="false"/>
          <w:iCs w:val="false"/>
          <w:color w:val="4A4540"/>
          <w:sz w:val="22"/>
          <w:szCs w:val="22"/>
        </w:rPr>
        <w:t xml:space="preserve">3 </w:t>
      </w:r>
      <w:r>
        <w:rPr>
          <w:rFonts w:ascii="Calibri" w:cs="Calibri" w:eastAsia="Calibri" w:hAnsi="Calibri"/>
          <w:b w:val="false"/>
          <w:bCs w:val="false"/>
          <w:i w:val="false"/>
          <w:iCs w:val="false"/>
          <w:color w:val="4A4540"/>
          <w:sz w:val="22"/>
          <w:szCs w:val="22"/>
        </w:rPr>
        <w:t xml:space="preserve">→ orange. Zone fragile, à surveiller.</w:t>
      </w:r>
    </w:p>
    <w:p>
      <w:pPr>
        <w:pStyle w:val="ListParagraph"/>
        <w:numPr>
          <w:ilvl w:val="0"/>
          <w:numId w:val="2"/>
        </w:numPr>
        <w:spacing w:after="80" w:before="0" w:line="288"/>
      </w:pPr>
      <w:r>
        <w:rPr>
          <w:rFonts w:ascii="Calibri" w:cs="Calibri" w:eastAsia="Calibri" w:hAnsi="Calibri"/>
          <w:b/>
          <w:bCs/>
          <w:i w:val="false"/>
          <w:iCs w:val="false"/>
          <w:color w:val="4A4540"/>
          <w:sz w:val="22"/>
          <w:szCs w:val="22"/>
        </w:rPr>
        <w:t xml:space="preserve">4, 5 </w:t>
      </w:r>
      <w:r>
        <w:rPr>
          <w:rFonts w:ascii="Calibri" w:cs="Calibri" w:eastAsia="Calibri" w:hAnsi="Calibri"/>
          <w:b w:val="false"/>
          <w:bCs w:val="false"/>
          <w:i w:val="false"/>
          <w:iCs w:val="false"/>
          <w:color w:val="4A4540"/>
          <w:sz w:val="22"/>
          <w:szCs w:val="22"/>
        </w:rPr>
        <w:t xml:space="preserve">→ vert. Zone d’appui. Ce sont tes ressources, pas des lignes à ignorer.</w:t>
      </w:r>
    </w:p>
    <w:p>
      <w:pPr>
        <w:spacing w:after="120" w:before="0" w:line="288"/>
        <w:jc w:val="left"/>
      </w:pPr>
      <w:r>
        <w:rPr>
          <w:rFonts w:ascii="Calibri" w:cs="Calibri" w:eastAsia="Calibri" w:hAnsi="Calibri"/>
          <w:b w:val="false"/>
          <w:bCs w:val="false"/>
          <w:i w:val="false"/>
          <w:iCs w:val="false"/>
          <w:color w:val="4A4540"/>
          <w:sz w:val="22"/>
          <w:szCs w:val="22"/>
        </w:rPr>
        <w:t xml:space="preserve">Ne cherche rien à ce stade. Tu colories, c’est tout. À la fin, la page te parle toute seule : les grappes de rouge sautent aux yeux.</w:t>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Étape B — Regrouper (10 min)</w:t>
      </w:r>
    </w:p>
    <w:p>
      <w:pPr>
        <w:spacing w:after="100" w:before="0" w:line="288"/>
        <w:jc w:val="left"/>
      </w:pPr>
      <w:r>
        <w:rPr>
          <w:rFonts w:ascii="Calibri" w:cs="Calibri" w:eastAsia="Calibri" w:hAnsi="Calibri"/>
          <w:b w:val="false"/>
          <w:bCs w:val="false"/>
          <w:i w:val="false"/>
          <w:iCs w:val="false"/>
          <w:color w:val="4A4540"/>
          <w:sz w:val="22"/>
          <w:szCs w:val="22"/>
        </w:rPr>
        <w:t xml:space="preserve">Sur une feuille à part, tu recopies uniquement les lignes rouges, classées par domaine. Tu obtiens quelque chose comme : 6 rouges dans le fonctionnement intérieur, 1 dans le corps, 2 dans la communication, 9 dans les matières.</w:t>
      </w:r>
    </w:p>
    <w:p>
      <w:pPr>
        <w:spacing w:after="120" w:before="0" w:line="288"/>
        <w:jc w:val="left"/>
      </w:pPr>
      <w:r>
        <w:rPr>
          <w:rFonts w:ascii="Calibri" w:cs="Calibri" w:eastAsia="Calibri" w:hAnsi="Calibri"/>
          <w:b w:val="false"/>
          <w:bCs w:val="false"/>
          <w:i w:val="false"/>
          <w:iCs w:val="false"/>
          <w:color w:val="4A4540"/>
          <w:sz w:val="22"/>
          <w:szCs w:val="22"/>
        </w:rPr>
        <w:t xml:space="preserve">Déjà, cette simple liste te dit où est le cœur du sujet. Et elle tient sur une demi-page, au lieu des dix pages qui t’écrasaient.</w:t>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Étape C — Chercher la racine (20 min, la vraie étape clinique)</w:t>
      </w:r>
    </w:p>
    <w:tbl>
      <w:tblPr>
        <w:tblW w:type="dxa" w:w="9600"/>
        <w:tblBorders>
          <w:top w:val="single" w:color="F050C8" w:sz="2"/>
          <w:left w:val="single" w:color="F050C8" w:sz="18"/>
          <w:bottom w:val="single" w:color="F050C8" w:sz="2"/>
          <w:right w:val="single" w:color="F050C8" w:sz="2"/>
          <w:insideH w:val="single" w:color="auto" w:sz="4"/>
          <w:insideV w:val="single" w:color="auto" w:sz="4"/>
        </w:tblBorders>
      </w:tblPr>
      <w:tblGrid>
        <w:gridCol w:w="9600"/>
      </w:tblGrid>
      <w:tr>
        <w:tc>
          <w:tcPr>
            <w:tcW w:type="dxa" w:w="9600"/>
            <w:shd w:fill="FAF7F2" w:color="auto" w:val="clear"/>
            <w:tcMar>
              <w:top w:type="dxa" w:w="160"/>
              <w:left w:type="dxa" w:w="220"/>
              <w:bottom w:type="dxa" w:w="160"/>
              <w:right w:type="dxa" w:w="200"/>
            </w:tcMar>
          </w:tcPr>
          <w:p>
            <w:pPr>
              <w:spacing w:after="80" w:before="0"/>
            </w:pPr>
            <w:r>
              <w:rPr>
                <w:rFonts w:ascii="Trebuchet MS" w:cs="Trebuchet MS" w:eastAsia="Trebuchet MS" w:hAnsi="Trebuchet MS"/>
                <w:b/>
                <w:bCs/>
                <w:color w:val="F050C8"/>
                <w:sz w:val="22"/>
                <w:szCs w:val="22"/>
              </w:rPr>
              <w:t xml:space="preserve">Le principe</w:t>
            </w:r>
          </w:p>
          <w:p>
            <w:pPr>
              <w:spacing w:after="80" w:before="0" w:line="288"/>
            </w:pPr>
            <w:r>
              <w:rPr>
                <w:rFonts w:ascii="Calibri" w:cs="Calibri" w:eastAsia="Calibri" w:hAnsi="Calibri"/>
                <w:color w:val="4A4540"/>
                <w:sz w:val="21"/>
                <w:szCs w:val="21"/>
              </w:rPr>
              <w:t xml:space="preserve">Une seule cause peut produire cinq ou six croix rouges. Ton travail n’est pas de traiter les cinq rouges : c’est de trouver la cause unique qui se cache derrière.</w:t>
            </w:r>
          </w:p>
          <w:p>
            <w:pPr>
              <w:spacing w:after="0" w:before="0" w:line="288"/>
            </w:pPr>
            <w:r>
              <w:rPr>
                <w:rFonts w:ascii="Calibri" w:cs="Calibri" w:eastAsia="Calibri" w:hAnsi="Calibri"/>
                <w:color w:val="4A4540"/>
                <w:sz w:val="21"/>
                <w:szCs w:val="21"/>
              </w:rPr>
              <w:t xml:space="preserve">Tant que tu raisonnes ligne par ligne, tu te noies. Dès que tu raisonnes par grappe, tout devient simple.</w:t>
            </w:r>
          </w:p>
        </w:tc>
      </w:tr>
    </w:tbl>
    <w:p>
      <w:pPr>
        <w:spacing w:after="160" w:before="0"/>
      </w:pPr>
      <w:r>
        <w:rPr>
          <w:sz w:val="8"/>
          <w:szCs w:val="8"/>
        </w:rPr>
        <w:t xml:space="preserve"/>
      </w:r>
    </w:p>
    <w:p>
      <w:pPr>
        <w:spacing w:after="100" w:before="0" w:line="288"/>
        <w:jc w:val="left"/>
      </w:pPr>
      <w:r>
        <w:rPr>
          <w:rFonts w:ascii="Calibri" w:cs="Calibri" w:eastAsia="Calibri" w:hAnsi="Calibri"/>
          <w:b w:val="false"/>
          <w:bCs w:val="false"/>
          <w:i w:val="false"/>
          <w:iCs w:val="false"/>
          <w:color w:val="4A4540"/>
          <w:sz w:val="22"/>
          <w:szCs w:val="22"/>
        </w:rPr>
        <w:t xml:space="preserve">Pour chaque grappe de rouges, pose-toi ces trois questions dans l’ordre :</w:t>
      </w:r>
    </w:p>
    <w:p>
      <w:pPr>
        <w:pStyle w:val="ListParagraph"/>
        <w:numPr>
          <w:ilvl w:val="0"/>
          <w:numId w:val="3"/>
        </w:numPr>
        <w:spacing w:after="80" w:before="0" w:line="288"/>
      </w:pPr>
      <w:r>
        <w:rPr>
          <w:rFonts w:ascii="Calibri" w:cs="Calibri" w:eastAsia="Calibri" w:hAnsi="Calibri"/>
          <w:color w:val="4A4540"/>
          <w:sz w:val="22"/>
          <w:szCs w:val="22"/>
        </w:rPr>
        <w:t xml:space="preserve">Qu’est-ce que ces lignes ont en commun ? (une compétence ? un moment de la journée ? un canal — l’écrit, l’oral, le corps ? une personne ?)</w:t>
      </w:r>
    </w:p>
    <w:p>
      <w:pPr>
        <w:pStyle w:val="ListParagraph"/>
        <w:numPr>
          <w:ilvl w:val="0"/>
          <w:numId w:val="3"/>
        </w:numPr>
        <w:spacing w:after="80" w:before="0" w:line="288"/>
      </w:pPr>
      <w:r>
        <w:rPr>
          <w:rFonts w:ascii="Calibri" w:cs="Calibri" w:eastAsia="Calibri" w:hAnsi="Calibri"/>
          <w:color w:val="4A4540"/>
          <w:sz w:val="22"/>
          <w:szCs w:val="22"/>
        </w:rPr>
        <w:t xml:space="preserve">Y a-t-il un vert juste à côté qui contredit le rouge ? Les contradictions sont les indices les plus précieux. Fort à l’oral et effondré à l’écrit sur les mêmes notions : ce n’est pas la notion le problème, c’est le canal.</w:t>
      </w:r>
    </w:p>
    <w:p>
      <w:pPr>
        <w:pStyle w:val="ListParagraph"/>
        <w:numPr>
          <w:ilvl w:val="0"/>
          <w:numId w:val="3"/>
        </w:numPr>
        <w:spacing w:after="80" w:before="0" w:line="288"/>
      </w:pPr>
      <w:r>
        <w:rPr>
          <w:rFonts w:ascii="Calibri" w:cs="Calibri" w:eastAsia="Calibri" w:hAnsi="Calibri"/>
          <w:color w:val="4A4540"/>
          <w:sz w:val="22"/>
          <w:szCs w:val="22"/>
        </w:rPr>
        <w:t xml:space="preserve">Est-ce que quelque chose de physiologique alimente tout ça ? Sommeil, vue, audition, douleurs, alimentation. Si oui, cela passe devant tout le reste et relève d’un avis médical, pas d’un levier pédagogique.</w:t>
      </w:r>
    </w:p>
    <w:p>
      <w:pPr>
        <w:spacing w:after="160" w:before="0"/>
      </w:pPr>
      <w:r>
        <w:rPr>
          <w:sz w:val="8"/>
          <w:szCs w:val="8"/>
        </w:rPr>
        <w:t xml:space="preserve"/>
      </w:r>
    </w:p>
    <w:p>
      <w:pPr>
        <w:spacing w:after="120" w:before="0" w:line="288"/>
        <w:jc w:val="left"/>
      </w:pPr>
      <w:r>
        <w:rPr>
          <w:rFonts w:ascii="Calibri" w:cs="Calibri" w:eastAsia="Calibri" w:hAnsi="Calibri"/>
          <w:b w:val="false"/>
          <w:bCs w:val="false"/>
          <w:i w:val="false"/>
          <w:iCs w:val="false"/>
          <w:color w:val="4A4540"/>
          <w:sz w:val="22"/>
          <w:szCs w:val="22"/>
        </w:rPr>
        <w:t xml:space="preserve">Écris tes hypothèses au crayon, avec le mot « peut-être ». Trois hypothèses maximum. Une hypothèse n’est pas une conclusion : elle se vérifiera à la séance suivante.</w:t>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Étape D — Choisir 3 leviers, pas un de plus</w:t>
      </w:r>
    </w:p>
    <w:p>
      <w:pPr>
        <w:spacing w:after="100" w:before="0" w:line="288"/>
        <w:jc w:val="left"/>
      </w:pPr>
      <w:r>
        <w:rPr>
          <w:rFonts w:ascii="Calibri" w:cs="Calibri" w:eastAsia="Calibri" w:hAnsi="Calibri"/>
          <w:b w:val="false"/>
          <w:bCs w:val="false"/>
          <w:i w:val="false"/>
          <w:iCs w:val="false"/>
          <w:color w:val="4A4540"/>
          <w:sz w:val="22"/>
          <w:szCs w:val="22"/>
        </w:rPr>
        <w:t xml:space="preserve">C’est une règle absolue. Une famille ne peut pas tenir plus de trois changements simultanés, et une famille épuisée n’en tient qu’un seul. Mieux vaut un levier tenu qu’un plan magnifique abandonné au bout de dix jours.</w:t>
      </w:r>
    </w:p>
    <w:p>
      <w:pPr>
        <w:spacing w:after="80" w:before="0" w:line="288"/>
        <w:jc w:val="left"/>
      </w:pPr>
      <w:r>
        <w:rPr>
          <w:rFonts w:ascii="Calibri" w:cs="Calibri" w:eastAsia="Calibri" w:hAnsi="Calibri"/>
          <w:b w:val="false"/>
          <w:bCs w:val="false"/>
          <w:i w:val="false"/>
          <w:iCs w:val="false"/>
          <w:color w:val="4A4540"/>
          <w:sz w:val="22"/>
          <w:szCs w:val="22"/>
        </w:rPr>
        <w:t xml:space="preserve">Tes trois critères de choix :</w:t>
      </w:r>
    </w:p>
    <w:p>
      <w:pPr>
        <w:pStyle w:val="ListParagraph"/>
        <w:numPr>
          <w:ilvl w:val="0"/>
          <w:numId w:val="2"/>
        </w:numPr>
        <w:spacing w:after="80" w:before="0" w:line="288"/>
      </w:pPr>
      <w:r>
        <w:rPr>
          <w:rFonts w:ascii="Calibri" w:cs="Calibri" w:eastAsia="Calibri" w:hAnsi="Calibri"/>
          <w:b/>
          <w:bCs/>
          <w:i w:val="false"/>
          <w:iCs w:val="false"/>
          <w:color w:val="4A4540"/>
          <w:sz w:val="22"/>
          <w:szCs w:val="22"/>
        </w:rPr>
        <w:t xml:space="preserve">Le plus en amont. </w:t>
      </w:r>
      <w:r>
        <w:rPr>
          <w:rFonts w:ascii="Calibri" w:cs="Calibri" w:eastAsia="Calibri" w:hAnsi="Calibri"/>
          <w:b w:val="false"/>
          <w:bCs w:val="false"/>
          <w:i w:val="false"/>
          <w:iCs w:val="false"/>
          <w:color w:val="4A4540"/>
          <w:sz w:val="22"/>
          <w:szCs w:val="22"/>
        </w:rPr>
        <w:t xml:space="preserve">Celui qui, s’il bouge, fait bouger plusieurs rouges d’un coup.</w:t>
      </w:r>
    </w:p>
    <w:p>
      <w:pPr>
        <w:pStyle w:val="ListParagraph"/>
        <w:numPr>
          <w:ilvl w:val="0"/>
          <w:numId w:val="2"/>
        </w:numPr>
        <w:spacing w:after="80" w:before="0" w:line="288"/>
      </w:pPr>
      <w:r>
        <w:rPr>
          <w:rFonts w:ascii="Calibri" w:cs="Calibri" w:eastAsia="Calibri" w:hAnsi="Calibri"/>
          <w:b/>
          <w:bCs/>
          <w:i w:val="false"/>
          <w:iCs w:val="false"/>
          <w:color w:val="4A4540"/>
          <w:sz w:val="22"/>
          <w:szCs w:val="22"/>
        </w:rPr>
        <w:t xml:space="preserve">Le plus rapide à voir. </w:t>
      </w:r>
      <w:r>
        <w:rPr>
          <w:rFonts w:ascii="Calibri" w:cs="Calibri" w:eastAsia="Calibri" w:hAnsi="Calibri"/>
          <w:b w:val="false"/>
          <w:bCs w:val="false"/>
          <w:i w:val="false"/>
          <w:iCs w:val="false"/>
          <w:color w:val="4A4540"/>
          <w:sz w:val="22"/>
          <w:szCs w:val="22"/>
        </w:rPr>
        <w:t xml:space="preserve">Il faut une première victoire visible en moins de deux semaines, sinon personne ne tient.</w:t>
      </w:r>
    </w:p>
    <w:p>
      <w:pPr>
        <w:pStyle w:val="ListParagraph"/>
        <w:numPr>
          <w:ilvl w:val="0"/>
          <w:numId w:val="2"/>
        </w:numPr>
        <w:spacing w:after="80" w:before="0" w:line="288"/>
      </w:pPr>
      <w:r>
        <w:rPr>
          <w:rFonts w:ascii="Calibri" w:cs="Calibri" w:eastAsia="Calibri" w:hAnsi="Calibri"/>
          <w:b/>
          <w:bCs/>
          <w:i w:val="false"/>
          <w:iCs w:val="false"/>
          <w:color w:val="4A4540"/>
          <w:sz w:val="22"/>
          <w:szCs w:val="22"/>
        </w:rPr>
        <w:t xml:space="preserve">Le moins coûteux pour la famille. </w:t>
      </w:r>
      <w:r>
        <w:rPr>
          <w:rFonts w:ascii="Calibri" w:cs="Calibri" w:eastAsia="Calibri" w:hAnsi="Calibri"/>
          <w:b w:val="false"/>
          <w:bCs w:val="false"/>
          <w:i w:val="false"/>
          <w:iCs w:val="false"/>
          <w:color w:val="4A4540"/>
          <w:sz w:val="22"/>
          <w:szCs w:val="22"/>
        </w:rPr>
        <w:t xml:space="preserve">En temps, en argent, en énergie parentale.</w:t>
      </w:r>
    </w:p>
    <w:p>
      <w:pPr>
        <w:spacing w:after="160" w:before="0"/>
      </w:pPr>
      <w:r>
        <w:rPr>
          <w:sz w:val="8"/>
          <w:szCs w:val="8"/>
        </w:rPr>
        <w:t xml:space="preserve"/>
      </w:r>
    </w:p>
    <w:tbl>
      <w:tblPr>
        <w:tblW w:type="dxa" w:w="9600"/>
        <w:tblBorders>
          <w:top w:val="single" w:color="B4F0C8" w:sz="2"/>
          <w:left w:val="single" w:color="B4F0C8" w:sz="18"/>
          <w:bottom w:val="single" w:color="B4F0C8" w:sz="2"/>
          <w:right w:val="single" w:color="B4F0C8" w:sz="2"/>
          <w:insideH w:val="single" w:color="auto" w:sz="4"/>
          <w:insideV w:val="single" w:color="auto" w:sz="4"/>
        </w:tblBorders>
      </w:tblPr>
      <w:tblGrid>
        <w:gridCol w:w="9600"/>
      </w:tblGrid>
      <w:tr>
        <w:tc>
          <w:tcPr>
            <w:tcW w:type="dxa" w:w="9600"/>
            <w:shd w:fill="FAF7F2" w:color="auto" w:val="clear"/>
            <w:tcMar>
              <w:top w:type="dxa" w:w="160"/>
              <w:left w:type="dxa" w:w="220"/>
              <w:bottom w:type="dxa" w:w="160"/>
              <w:right w:type="dxa" w:w="200"/>
            </w:tcMar>
          </w:tcPr>
          <w:p>
            <w:pPr>
              <w:spacing w:after="80" w:before="0"/>
            </w:pPr>
            <w:r>
              <w:rPr>
                <w:rFonts w:ascii="Trebuchet MS" w:cs="Trebuchet MS" w:eastAsia="Trebuchet MS" w:hAnsi="Trebuchet MS"/>
                <w:b/>
                <w:bCs/>
                <w:color w:val="3C6478"/>
                <w:sz w:val="22"/>
                <w:szCs w:val="22"/>
              </w:rPr>
              <w:t xml:space="preserve">La règle des appuis</w:t>
            </w:r>
          </w:p>
          <w:p>
            <w:pPr>
              <w:spacing w:after="80" w:before="0" w:line="288"/>
            </w:pPr>
            <w:r>
              <w:rPr>
                <w:rFonts w:ascii="Calibri" w:cs="Calibri" w:eastAsia="Calibri" w:hAnsi="Calibri"/>
                <w:color w:val="4A4540"/>
                <w:sz w:val="21"/>
                <w:szCs w:val="21"/>
              </w:rPr>
              <w:t xml:space="preserve">Chaque levier doit s’appuyer sur au moins un vert du bilan.</w:t>
            </w:r>
          </w:p>
          <w:p>
            <w:pPr>
              <w:spacing w:after="0" w:before="0" w:line="288"/>
            </w:pPr>
            <w:r>
              <w:rPr>
                <w:rFonts w:ascii="Calibri" w:cs="Calibri" w:eastAsia="Calibri" w:hAnsi="Calibri"/>
                <w:color w:val="4A4540"/>
                <w:sz w:val="21"/>
                <w:szCs w:val="21"/>
              </w:rPr>
              <w:t xml:space="preserve">Un enfant coté 5 en dessin et 0 en écriture ? Alors les supports passeront par le dessin. On ne répare pas un rouge en tapant dessus : on le contourne par un vert.</w:t>
            </w:r>
          </w:p>
        </w:tc>
      </w:tr>
    </w:tbl>
    <w:p>
      <w:pPr>
        <w:pBdr>
          <w:bottom w:val="single" w:color="3C6478" w:sz="6" w:space="4"/>
        </w:pBdr>
        <w:spacing w:after="120" w:before="260" w:line="288"/>
      </w:pPr>
      <w:r>
        <w:rPr>
          <w:rFonts w:ascii="Trebuchet MS" w:cs="Trebuchet MS" w:eastAsia="Trebuchet MS" w:hAnsi="Trebuchet MS"/>
          <w:b/>
          <w:bCs/>
          <w:color w:val="3C6478"/>
          <w:sz w:val="24"/>
          <w:szCs w:val="24"/>
        </w:rPr>
        <w:t xml:space="preserve">Étape E — Rédiger les solutions</w:t>
      </w:r>
    </w:p>
    <w:p>
      <w:pPr>
        <w:spacing w:after="100" w:before="0" w:line="288"/>
        <w:jc w:val="left"/>
      </w:pPr>
      <w:r>
        <w:rPr>
          <w:rFonts w:ascii="Calibri" w:cs="Calibri" w:eastAsia="Calibri" w:hAnsi="Calibri"/>
          <w:b w:val="false"/>
          <w:bCs w:val="false"/>
          <w:i w:val="false"/>
          <w:iCs w:val="false"/>
          <w:color w:val="4A4540"/>
          <w:sz w:val="22"/>
          <w:szCs w:val="22"/>
        </w:rPr>
        <w:t xml:space="preserve">La colonne « solutions » de la Phase 2 se remplit avec des actions, pas des intentions. Un test simple : si tu ne peux pas filmer l’action, ce n’est pas une action.</w:t>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4800"/>
        <w:gridCol w:w="4800"/>
      </w:tblGrid>
      <w:tr>
        <w:trPr>
          <w:tblHeader/>
        </w:trPr>
        <w:tc>
          <w:tcPr>
            <w:tcW w:type="dxa" w:w="48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À éviter</w:t>
            </w:r>
          </w:p>
        </w:tc>
        <w:tc>
          <w:tcPr>
            <w:tcW w:type="dxa" w:w="48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À écrire</w:t>
            </w:r>
          </w:p>
        </w:tc>
      </w:tr>
      <w:tr>
        <w:trPr>
          <w:tblHeader w:val="false"/>
        </w:trPr>
        <w:tc>
          <w:tcPr>
            <w:tcW w:type="dxa" w:w="48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 Travailler la confiance en soi »</w:t>
            </w:r>
          </w:p>
        </w:tc>
        <w:tc>
          <w:tcPr>
            <w:tcW w:type="dxa" w:w="48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 Chaque soir, il dessine une case de son carnet de réussites. Maman la regarde 30 secondes, sans commenter. »</w:t>
            </w:r>
          </w:p>
        </w:tc>
      </w:tr>
      <w:tr>
        <w:trPr>
          <w:tblHeader w:val="false"/>
        </w:trPr>
        <w:tc>
          <w:tcPr>
            <w:tcW w:type="dxa" w:w="48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 Améliorer la concentration »</w:t>
            </w:r>
          </w:p>
        </w:tc>
        <w:tc>
          <w:tcPr>
            <w:tcW w:type="dxa" w:w="48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 Devoirs par blocs de 12 minutes, minuteur visuel sur la table, pause debout entre chaque bloc. »</w:t>
            </w:r>
          </w:p>
        </w:tc>
      </w:tr>
      <w:tr>
        <w:trPr>
          <w:tblHeader w:val="false"/>
        </w:trPr>
        <w:tc>
          <w:tcPr>
            <w:tcW w:type="dxa" w:w="48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 Mieux gérer les émotions »</w:t>
            </w:r>
          </w:p>
        </w:tc>
        <w:tc>
          <w:tcPr>
            <w:tcW w:type="dxa" w:w="48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 Trois fois par semaine au goûter, il montre sur la boîte à émotions ce qu’il a ressenti à la récré. »</w:t>
            </w:r>
          </w:p>
        </w:tc>
      </w:tr>
    </w:tbl>
    <w:p>
      <w:pPr>
        <w:spacing w:after="160" w:before="0"/>
      </w:pPr>
      <w:r>
        <w:rPr>
          <w:sz w:val="8"/>
          <w:szCs w:val="8"/>
        </w:rPr>
        <w:t xml:space="preserve"/>
      </w:r>
    </w:p>
    <w:p>
      <w:pPr>
        <w:spacing w:after="120" w:before="0" w:line="288"/>
        <w:jc w:val="left"/>
      </w:pPr>
      <w:r>
        <w:rPr>
          <w:rFonts w:ascii="Calibri" w:cs="Calibri" w:eastAsia="Calibri" w:hAnsi="Calibri"/>
          <w:b w:val="false"/>
          <w:bCs w:val="false"/>
          <w:i w:val="false"/>
          <w:iCs w:val="false"/>
          <w:color w:val="4A4540"/>
          <w:sz w:val="22"/>
          <w:szCs w:val="22"/>
        </w:rPr>
        <w:t xml:space="preserve">Pour chaque solution, note quatre choses : quoi · qui le fait · quand précisément · à quoi on verra que ça marche. C’est cette dernière colonne qui rendra ton bilan de suivi lisible.</w:t>
      </w:r>
    </w:p>
    <w:p>
      <w:r>
        <w:br w:type="page"/>
      </w:r>
    </w:p>
    <w:tbl>
      <w:tblPr>
        <w:tblW w:type="dxa" w:w="9600"/>
        <w:tblBorders>
          <w:top w:val="none"/>
          <w:left w:val="none"/>
          <w:bottom w:val="none"/>
          <w:right w:val="none"/>
          <w:insideH w:val="single" w:color="auto" w:sz="4"/>
          <w:insideV w:val="single" w:color="auto" w:sz="4"/>
        </w:tblBorders>
      </w:tblPr>
      <w:tblGrid>
        <w:gridCol w:w="9600"/>
      </w:tblGrid>
      <w:tr>
        <w:tc>
          <w:tcPr>
            <w:tcW w:type="dxa" w:w="9600"/>
            <w:shd w:fill="3C6478" w:color="auto" w:val="clear"/>
            <w:tcMar>
              <w:top w:type="dxa" w:w="140"/>
              <w:left w:type="dxa" w:w="200"/>
              <w:bottom w:type="dxa" w:w="140"/>
              <w:right w:type="dxa" w:w="200"/>
            </w:tcMar>
          </w:tcPr>
          <w:p>
            <w:pPr>
              <w:spacing w:after="0" w:before="0"/>
            </w:pPr>
            <w:r>
              <w:rPr>
                <w:rFonts w:ascii="Trebuchet MS" w:cs="Trebuchet MS" w:eastAsia="Trebuchet MS" w:hAnsi="Trebuchet MS"/>
                <w:b/>
                <w:bCs/>
                <w:color w:val="B4F0C8"/>
                <w:sz w:val="26"/>
                <w:szCs w:val="26"/>
              </w:rPr>
              <w:t xml:space="preserve">T3  </w:t>
            </w:r>
            <w:r>
              <w:rPr>
                <w:rFonts w:ascii="Trebuchet MS" w:cs="Trebuchet MS" w:eastAsia="Trebuchet MS" w:hAnsi="Trebuchet MS"/>
                <w:b/>
                <w:bCs/>
                <w:color w:val="FFFFFF"/>
                <w:sz w:val="26"/>
                <w:szCs w:val="26"/>
              </w:rPr>
              <w:t xml:space="preserve">La planification — Phase 3 (20 à 30 minutes, ensemble)</w:t>
            </w:r>
          </w:p>
        </w:tc>
      </w:tr>
    </w:tbl>
    <w:p>
      <w:pPr>
        <w:spacing w:after="180" w:before="0"/>
      </w:pPr>
      <w:r>
        <w:rPr>
          <w:sz w:val="8"/>
          <w:szCs w:val="8"/>
        </w:rPr>
        <w:t xml:space="preserve"/>
      </w:r>
    </w:p>
    <w:p>
      <w:pPr>
        <w:spacing w:after="160" w:before="0" w:line="288"/>
        <w:jc w:val="left"/>
      </w:pPr>
      <w:r>
        <w:rPr>
          <w:rFonts w:ascii="Calibri" w:cs="Calibri" w:eastAsia="Calibri" w:hAnsi="Calibri"/>
          <w:b w:val="false"/>
          <w:bCs w:val="false"/>
          <w:i w:val="false"/>
          <w:iCs w:val="false"/>
          <w:color w:val="4A4540"/>
          <w:sz w:val="22"/>
          <w:szCs w:val="22"/>
        </w:rPr>
        <w:t xml:space="preserve">Tu arrives avec tes trois leviers préparés. Tu n’arrives pas avec un plan à imposer : tu arrives avec des propositions à négocier. Un objectif que la personne n’a pas choisi ne sera pas tenu.</w:t>
      </w:r>
    </w:p>
    <w:p>
      <w:pPr>
        <w:spacing w:after="80" w:before="200" w:line="288"/>
      </w:pPr>
      <w:r>
        <w:rPr>
          <w:rFonts w:ascii="Trebuchet MS" w:cs="Trebuchet MS" w:eastAsia="Trebuchet MS" w:hAnsi="Trebuchet MS"/>
          <w:b/>
          <w:bCs/>
          <w:color w:val="3C6478"/>
          <w:sz w:val="22"/>
          <w:szCs w:val="22"/>
        </w:rPr>
        <w:t xml:space="preserve">Le déroulé</w:t>
      </w:r>
    </w:p>
    <w:p>
      <w:pPr>
        <w:pStyle w:val="ListParagraph"/>
        <w:numPr>
          <w:ilvl w:val="0"/>
          <w:numId w:val="3"/>
        </w:numPr>
        <w:spacing w:after="80" w:before="0" w:line="288"/>
      </w:pPr>
      <w:r>
        <w:rPr>
          <w:rFonts w:ascii="Calibri" w:cs="Calibri" w:eastAsia="Calibri" w:hAnsi="Calibri"/>
          <w:color w:val="4A4540"/>
          <w:sz w:val="22"/>
          <w:szCs w:val="22"/>
        </w:rPr>
        <w:t xml:space="preserve">Tu restitues d’abord les verts. Toujours. « Voilà ce sur quoi on va s’appuyer. » Cinq minutes minimum.</w:t>
      </w:r>
    </w:p>
    <w:p>
      <w:pPr>
        <w:pStyle w:val="ListParagraph"/>
        <w:numPr>
          <w:ilvl w:val="0"/>
          <w:numId w:val="3"/>
        </w:numPr>
        <w:spacing w:after="80" w:before="0" w:line="288"/>
      </w:pPr>
      <w:r>
        <w:rPr>
          <w:rFonts w:ascii="Calibri" w:cs="Calibri" w:eastAsia="Calibri" w:hAnsi="Calibri"/>
          <w:color w:val="4A4540"/>
          <w:sz w:val="22"/>
          <w:szCs w:val="22"/>
        </w:rPr>
        <w:t xml:space="preserve">Tu nommes une ou deux hypothèses, prudemment : « j’ai l’impression que… est-ce que ça te parle ? » S’il dit non, tu écoutes : il a souvent raison.</w:t>
      </w:r>
    </w:p>
    <w:p>
      <w:pPr>
        <w:pStyle w:val="ListParagraph"/>
        <w:numPr>
          <w:ilvl w:val="0"/>
          <w:numId w:val="3"/>
        </w:numPr>
        <w:spacing w:after="80" w:before="0" w:line="288"/>
      </w:pPr>
      <w:r>
        <w:rPr>
          <w:rFonts w:ascii="Calibri" w:cs="Calibri" w:eastAsia="Calibri" w:hAnsi="Calibri"/>
          <w:color w:val="4A4540"/>
          <w:sz w:val="22"/>
          <w:szCs w:val="22"/>
        </w:rPr>
        <w:t xml:space="preserve">Vous choisissez ensemble l’objectif le plus urgent. Un seul.</w:t>
      </w:r>
    </w:p>
    <w:p>
      <w:pPr>
        <w:pStyle w:val="ListParagraph"/>
        <w:numPr>
          <w:ilvl w:val="0"/>
          <w:numId w:val="3"/>
        </w:numPr>
        <w:spacing w:after="80" w:before="0" w:line="288"/>
      </w:pPr>
      <w:r>
        <w:rPr>
          <w:rFonts w:ascii="Calibri" w:cs="Calibri" w:eastAsia="Calibri" w:hAnsi="Calibri"/>
          <w:color w:val="4A4540"/>
          <w:sz w:val="22"/>
          <w:szCs w:val="22"/>
        </w:rPr>
        <w:t xml:space="preserve">Vous déclinez sur les échéances proposées par l’outil : 1 semaine, 2 semaines, 1 mois, 3 mois, 1 an. Un objectif par échéance, pas plus.</w:t>
      </w:r>
    </w:p>
    <w:p>
      <w:pPr>
        <w:pStyle w:val="ListParagraph"/>
        <w:numPr>
          <w:ilvl w:val="0"/>
          <w:numId w:val="3"/>
        </w:numPr>
        <w:spacing w:after="80" w:before="0" w:line="288"/>
      </w:pPr>
      <w:r>
        <w:rPr>
          <w:rFonts w:ascii="Calibri" w:cs="Calibri" w:eastAsia="Calibri" w:hAnsi="Calibri"/>
          <w:color w:val="4A4540"/>
          <w:sz w:val="22"/>
          <w:szCs w:val="22"/>
        </w:rPr>
        <w:t xml:space="preserve">Vous fixez la date du prochain point, dans l’agenda, avec un rappel programmé tout de suite.</w:t>
      </w:r>
    </w:p>
    <w:p>
      <w:pPr>
        <w:pStyle w:val="ListParagraph"/>
        <w:numPr>
          <w:ilvl w:val="0"/>
          <w:numId w:val="3"/>
        </w:numPr>
        <w:spacing w:after="80" w:before="0" w:line="288"/>
      </w:pPr>
      <w:r>
        <w:rPr>
          <w:rFonts w:ascii="Calibri" w:cs="Calibri" w:eastAsia="Calibri" w:hAnsi="Calibri"/>
          <w:color w:val="4A4540"/>
          <w:sz w:val="22"/>
          <w:szCs w:val="22"/>
        </w:rPr>
        <w:t xml:space="preserve">Vous datez et signez tous les deux. Puis tu archives.</w:t>
      </w:r>
    </w:p>
    <w:p>
      <w:pPr>
        <w:spacing w:after="200" w:before="0"/>
      </w:pPr>
      <w:r>
        <w:rPr>
          <w:sz w:val="8"/>
          <w:szCs w:val="8"/>
        </w:rPr>
        <w:t xml:space="preserve"/>
      </w:r>
    </w:p>
    <w:tbl>
      <w:tblPr>
        <w:tblW w:type="dxa" w:w="9600"/>
        <w:tblBorders>
          <w:top w:val="single" w:color="3C6478" w:sz="2"/>
          <w:left w:val="single" w:color="3C6478" w:sz="18"/>
          <w:bottom w:val="single" w:color="3C6478" w:sz="2"/>
          <w:right w:val="single" w:color="3C6478" w:sz="2"/>
          <w:insideH w:val="single" w:color="auto" w:sz="4"/>
          <w:insideV w:val="single" w:color="auto" w:sz="4"/>
        </w:tblBorders>
      </w:tblPr>
      <w:tblGrid>
        <w:gridCol w:w="9600"/>
      </w:tblGrid>
      <w:tr>
        <w:tc>
          <w:tcPr>
            <w:tcW w:type="dxa" w:w="9600"/>
            <w:shd w:fill="FAF7F2" w:color="auto" w:val="clear"/>
            <w:tcMar>
              <w:top w:type="dxa" w:w="160"/>
              <w:left w:type="dxa" w:w="220"/>
              <w:bottom w:type="dxa" w:w="160"/>
              <w:right w:type="dxa" w:w="200"/>
            </w:tcMar>
          </w:tcPr>
          <w:p>
            <w:pPr>
              <w:spacing w:after="80" w:before="0"/>
            </w:pPr>
            <w:r>
              <w:rPr>
                <w:rFonts w:ascii="Trebuchet MS" w:cs="Trebuchet MS" w:eastAsia="Trebuchet MS" w:hAnsi="Trebuchet MS"/>
                <w:b/>
                <w:bCs/>
                <w:color w:val="3C6478"/>
                <w:sz w:val="22"/>
                <w:szCs w:val="22"/>
              </w:rPr>
              <w:t xml:space="preserve">Pourquoi la signature n’est pas un détail</w:t>
            </w:r>
          </w:p>
          <w:p>
            <w:pPr>
              <w:spacing w:after="80" w:before="0" w:line="288"/>
            </w:pPr>
            <w:r>
              <w:rPr>
                <w:rFonts w:ascii="Calibri" w:cs="Calibri" w:eastAsia="Calibri" w:hAnsi="Calibri"/>
                <w:color w:val="4A4540"/>
                <w:sz w:val="21"/>
                <w:szCs w:val="21"/>
              </w:rPr>
              <w:t xml:space="preserve">Elle transforme un conseil en engagement mutuel. Elle dit à l’enfant : je m’engage aussi, pas seulement toi.</w:t>
            </w:r>
          </w:p>
          <w:p>
            <w:pPr>
              <w:spacing w:after="0" w:before="0" w:line="288"/>
            </w:pPr>
            <w:r>
              <w:rPr>
                <w:rFonts w:ascii="Calibri" w:cs="Calibri" w:eastAsia="Calibri" w:hAnsi="Calibri"/>
                <w:color w:val="4A4540"/>
                <w:sz w:val="21"/>
                <w:szCs w:val="21"/>
              </w:rPr>
              <w:t xml:space="preserve">Et concrètement, elle t’offre une pièce datée. Si tu dois plus tard appuyer une demande d’aménagement ou une orientation vers un professionnel, une série de bilans datés et signés vaut infiniment plus qu’un ressenti.</w:t>
            </w:r>
          </w:p>
        </w:tc>
      </w:tr>
    </w:tbl>
    <w:p>
      <w:pPr>
        <w:spacing w:after="200" w:before="0"/>
      </w:pPr>
      <w:r>
        <w:rPr>
          <w:sz w:val="8"/>
          <w:szCs w:val="8"/>
        </w:rPr>
        <w:t xml:space="preserve"/>
      </w:r>
    </w:p>
    <w:p>
      <w:pPr>
        <w:spacing w:after="80" w:before="200" w:line="288"/>
      </w:pPr>
      <w:r>
        <w:rPr>
          <w:rFonts w:ascii="Trebuchet MS" w:cs="Trebuchet MS" w:eastAsia="Trebuchet MS" w:hAnsi="Trebuchet MS"/>
          <w:b/>
          <w:bCs/>
          <w:color w:val="3C6478"/>
          <w:sz w:val="22"/>
          <w:szCs w:val="22"/>
        </w:rPr>
        <w:t xml:space="preserve">Le rythme des re-passations</w:t>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3200"/>
        <w:gridCol w:w="6400"/>
      </w:tblGrid>
      <w:tr>
        <w:trPr>
          <w:tblHeader/>
        </w:trPr>
        <w:tc>
          <w:tcPr>
            <w:tcW w:type="dxa" w:w="32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Profil</w:t>
            </w:r>
          </w:p>
        </w:tc>
        <w:tc>
          <w:tcPr>
            <w:tcW w:type="dxa" w:w="64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Fréquence conseillée</w:t>
            </w:r>
          </w:p>
        </w:tc>
      </w:tr>
      <w:tr>
        <w:trPr>
          <w:tblHeader w:val="false"/>
        </w:trPr>
        <w:tc>
          <w:tcPr>
            <w:tcW w:type="dxa" w:w="32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Enfant en difficulté aiguë</w:t>
            </w:r>
          </w:p>
        </w:tc>
        <w:tc>
          <w:tcPr>
            <w:tcW w:type="dxa" w:w="6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Point intermédiaire à 4 semaines (oral, sans re-coter), bilan complet à 3 mois</w:t>
            </w:r>
          </w:p>
        </w:tc>
      </w:tr>
      <w:tr>
        <w:trPr>
          <w:tblHeader w:val="false"/>
        </w:trPr>
        <w:tc>
          <w:tcPr>
            <w:tcW w:type="dxa" w:w="32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Suivi de fond</w:t>
            </w:r>
          </w:p>
        </w:tc>
        <w:tc>
          <w:tcPr>
            <w:tcW w:type="dxa" w:w="6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Bilan complet chaque trimestre</w:t>
            </w:r>
          </w:p>
        </w:tc>
      </w:tr>
      <w:tr>
        <w:trPr>
          <w:tblHeader w:val="false"/>
        </w:trPr>
        <w:tc>
          <w:tcPr>
            <w:tcW w:type="dxa" w:w="32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Adulte</w:t>
            </w:r>
          </w:p>
        </w:tc>
        <w:tc>
          <w:tcPr>
            <w:tcW w:type="dxa" w:w="6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Deux fois par an suffit</w:t>
            </w:r>
          </w:p>
        </w:tc>
      </w:tr>
      <w:tr>
        <w:trPr>
          <w:tblHeader w:val="false"/>
        </w:trPr>
        <w:tc>
          <w:tcPr>
            <w:tcW w:type="dxa" w:w="32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Toujours</w:t>
            </w:r>
          </w:p>
        </w:tc>
        <w:tc>
          <w:tcPr>
            <w:tcW w:type="dxa" w:w="6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Même moment de l’année scolaire si possible : un bilan de juin et un bilan de novembre ne sont pas comparables</w:t>
            </w:r>
          </w:p>
        </w:tc>
      </w:tr>
    </w:tbl>
    <w:p>
      <w:r>
        <w:br w:type="page"/>
      </w:r>
    </w:p>
    <w:tbl>
      <w:tblPr>
        <w:tblW w:type="dxa" w:w="9600"/>
        <w:tblBorders>
          <w:top w:val="none"/>
          <w:left w:val="none"/>
          <w:bottom w:val="none"/>
          <w:right w:val="none"/>
          <w:insideH w:val="single" w:color="auto" w:sz="4"/>
          <w:insideV w:val="single" w:color="auto" w:sz="4"/>
        </w:tblBorders>
      </w:tblPr>
      <w:tblGrid>
        <w:gridCol w:w="9600"/>
      </w:tblGrid>
      <w:tr>
        <w:tc>
          <w:tcPr>
            <w:tcW w:type="dxa" w:w="9600"/>
            <w:shd w:fill="3C6478" w:color="auto" w:val="clear"/>
            <w:tcMar>
              <w:top w:type="dxa" w:w="140"/>
              <w:left w:type="dxa" w:w="200"/>
              <w:bottom w:type="dxa" w:w="140"/>
              <w:right w:type="dxa" w:w="200"/>
            </w:tcMar>
          </w:tcPr>
          <w:p>
            <w:pPr>
              <w:spacing w:after="0" w:before="0"/>
            </w:pPr>
            <w:r>
              <w:rPr>
                <w:rFonts w:ascii="Trebuchet MS" w:cs="Trebuchet MS" w:eastAsia="Trebuchet MS" w:hAnsi="Trebuchet MS"/>
                <w:b/>
                <w:bCs/>
                <w:color w:val="B4F0C8"/>
                <w:sz w:val="26"/>
                <w:szCs w:val="26"/>
              </w:rPr>
              <w:t xml:space="preserve">CAS  </w:t>
            </w:r>
            <w:r>
              <w:rPr>
                <w:rFonts w:ascii="Trebuchet MS" w:cs="Trebuchet MS" w:eastAsia="Trebuchet MS" w:hAnsi="Trebuchet MS"/>
                <w:b/>
                <w:bCs/>
                <w:color w:val="FFFFFF"/>
                <w:sz w:val="26"/>
                <w:szCs w:val="26"/>
              </w:rPr>
              <w:t xml:space="preserve">Cas concret commenté — Ilyan, 9 ans</w:t>
            </w:r>
          </w:p>
        </w:tc>
      </w:tr>
    </w:tbl>
    <w:p>
      <w:pPr>
        <w:spacing w:after="180" w:before="0"/>
      </w:pPr>
      <w:r>
        <w:rPr>
          <w:sz w:val="8"/>
          <w:szCs w:val="8"/>
        </w:rPr>
        <w:t xml:space="preserve"/>
      </w:r>
    </w:p>
    <w:p>
      <w:pPr>
        <w:spacing w:after="180" w:before="0" w:line="288"/>
        <w:jc w:val="left"/>
      </w:pPr>
      <w:r>
        <w:rPr>
          <w:rFonts w:ascii="Calibri" w:cs="Calibri" w:eastAsia="Calibri" w:hAnsi="Calibri"/>
          <w:b w:val="false"/>
          <w:bCs w:val="false"/>
          <w:i/>
          <w:iCs/>
          <w:color w:val="7D7269"/>
          <w:sz w:val="22"/>
          <w:szCs w:val="22"/>
        </w:rPr>
        <w:t xml:space="preserve">Cas composite, construit pour l’exemple. Il te montre le chemin complet, de la grille brute à la décision.</w:t>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La demande</w:t>
      </w:r>
    </w:p>
    <w:p>
      <w:pPr>
        <w:spacing w:after="160" w:before="0" w:line="288"/>
        <w:jc w:val="left"/>
      </w:pPr>
      <w:r>
        <w:rPr>
          <w:rFonts w:ascii="Calibri" w:cs="Calibri" w:eastAsia="Calibri" w:hAnsi="Calibri"/>
          <w:b w:val="false"/>
          <w:bCs w:val="false"/>
          <w:i w:val="false"/>
          <w:iCs w:val="false"/>
          <w:color w:val="4A4540"/>
          <w:sz w:val="22"/>
          <w:szCs w:val="22"/>
        </w:rPr>
        <w:t xml:space="preserve">Ilyan, 9 ans, CM1. Sa mère consulte pour « refus total des devoirs, crises tous les soirs, il dit qu’il est nul ». Un TDAH à prédominance inattentive a été repéré l’an dernier. Passation en deux fois : 20 minutes le mercredi, 20 minutes le samedi.</w:t>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Ce que donne l’étape A (coloriage)</w:t>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2400"/>
        <w:gridCol w:w="3600"/>
        <w:gridCol w:w="3600"/>
      </w:tblGrid>
      <w:tr>
        <w:trPr>
          <w:tblHeader/>
        </w:trPr>
        <w:tc>
          <w:tcPr>
            <w:tcW w:type="dxa" w:w="24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Domaine</w:t>
            </w:r>
          </w:p>
        </w:tc>
        <w:tc>
          <w:tcPr>
            <w:tcW w:type="dxa" w:w="36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Rouges (0-2)</w:t>
            </w:r>
          </w:p>
        </w:tc>
        <w:tc>
          <w:tcPr>
            <w:tcW w:type="dxa" w:w="36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Verts (4-5)</w:t>
            </w:r>
          </w:p>
        </w:tc>
      </w:tr>
      <w:tr>
        <w:trPr>
          <w:tblHeader w:val="false"/>
        </w:trPr>
        <w:tc>
          <w:tcPr>
            <w:tcW w:type="dxa" w:w="2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Fonctionnement intérieur</w:t>
            </w:r>
          </w:p>
        </w:tc>
        <w:tc>
          <w:tcPr>
            <w:tcW w:type="dxa" w:w="3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Concentration 0 · Objectifs 1 · Discours interne 1 · Routines 1 · Plaisir 1 · Progrès 1 · Planning 1 · Passage à l’action 1</w:t>
            </w:r>
          </w:p>
        </w:tc>
        <w:tc>
          <w:tcPr>
            <w:tcW w:type="dxa" w:w="3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Imagination 5 · Autonomie 4 · Ce qui lui tient à cœur 4</w:t>
            </w:r>
          </w:p>
        </w:tc>
      </w:tr>
      <w:tr>
        <w:trPr>
          <w:tblHeader w:val="false"/>
        </w:trPr>
        <w:tc>
          <w:tcPr>
            <w:tcW w:type="dxa" w:w="2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Corps</w:t>
            </w:r>
          </w:p>
        </w:tc>
        <w:tc>
          <w:tcPr>
            <w:tcW w:type="dxa" w:w="3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Sommeil 1 · Maux de tête 2</w:t>
            </w:r>
          </w:p>
        </w:tc>
        <w:tc>
          <w:tcPr>
            <w:tcW w:type="dxa" w:w="3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Vue 5 · Audition 5 · Respiration 4</w:t>
            </w:r>
          </w:p>
        </w:tc>
      </w:tr>
      <w:tr>
        <w:trPr>
          <w:tblHeader w:val="false"/>
        </w:trPr>
        <w:tc>
          <w:tcPr>
            <w:tcW w:type="dxa" w:w="2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Communication</w:t>
            </w:r>
          </w:p>
        </w:tc>
        <w:tc>
          <w:tcPr>
            <w:tcW w:type="dxa" w:w="3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Dire ses sentiments 1 · Adultes inconnus 1</w:t>
            </w:r>
          </w:p>
        </w:tc>
        <w:tc>
          <w:tcPr>
            <w:tcW w:type="dxa" w:w="3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Parents 4 · Joie 4 · (Colère : très fréquente)</w:t>
            </w:r>
          </w:p>
        </w:tc>
      </w:tr>
      <w:tr>
        <w:trPr>
          <w:tblHeader w:val="false"/>
        </w:trPr>
        <w:tc>
          <w:tcPr>
            <w:tcW w:type="dxa" w:w="2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Quotidien</w:t>
            </w:r>
          </w:p>
        </w:tc>
        <w:tc>
          <w:tcPr>
            <w:tcW w:type="dxa" w:w="3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Indépendance 2</w:t>
            </w:r>
          </w:p>
        </w:tc>
        <w:tc>
          <w:tcPr>
            <w:tcW w:type="dxa" w:w="3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w:t>
            </w:r>
          </w:p>
        </w:tc>
      </w:tr>
      <w:tr>
        <w:trPr>
          <w:tblHeader w:val="false"/>
        </w:trPr>
        <w:tc>
          <w:tcPr>
            <w:tcW w:type="dxa" w:w="2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Matières</w:t>
            </w:r>
          </w:p>
        </w:tc>
        <w:tc>
          <w:tcPr>
            <w:tcW w:type="dxa" w:w="3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Écriture 0 · Le temps qui passe 0 · Lecture de l’heure 1 · Orthographe 1 · Grammaire 1 · Conjugaison 1 · Problèmes sur cahier 1 · Coordination 2</w:t>
            </w:r>
          </w:p>
        </w:tc>
        <w:tc>
          <w:tcPr>
            <w:tcW w:type="dxa" w:w="3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Culture générale 5 · Savoir compter 4 · Expression orale 4 · Sport 4</w:t>
            </w:r>
          </w:p>
        </w:tc>
      </w:tr>
      <w:tr>
        <w:trPr>
          <w:tblHeader w:val="false"/>
        </w:trPr>
        <w:tc>
          <w:tcPr>
            <w:tcW w:type="dxa" w:w="2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Créativité</w:t>
            </w:r>
          </w:p>
        </w:tc>
        <w:tc>
          <w:tcPr>
            <w:tcW w:type="dxa" w:w="3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w:t>
            </w:r>
          </w:p>
        </w:tc>
        <w:tc>
          <w:tcPr>
            <w:tcW w:type="dxa" w:w="3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Dessin 5</w:t>
            </w:r>
          </w:p>
        </w:tc>
      </w:tr>
    </w:tbl>
    <w:p>
      <w:pPr>
        <w:spacing w:after="200" w:before="0"/>
      </w:pPr>
      <w:r>
        <w:rPr>
          <w:sz w:val="8"/>
          <w:szCs w:val="8"/>
        </w:rPr>
        <w:t xml:space="preserve"/>
      </w:r>
    </w:p>
    <w:p>
      <w:pPr>
        <w:spacing w:after="160" w:before="0" w:line="288"/>
        <w:jc w:val="left"/>
      </w:pPr>
      <w:r>
        <w:rPr>
          <w:rFonts w:ascii="Calibri" w:cs="Calibri" w:eastAsia="Calibri" w:hAnsi="Calibri"/>
          <w:b w:val="false"/>
          <w:bCs w:val="false"/>
          <w:i/>
          <w:iCs/>
          <w:color w:val="4A4540"/>
          <w:sz w:val="22"/>
          <w:szCs w:val="22"/>
        </w:rPr>
        <w:t xml:space="preserve">À ce stade : 21 lignes rouges. C’est exactement le moment où on se dit « je ne sais pas par où commencer ». On passe à l’étape C.</w:t>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Ce que donne l’étape C (recherche des racines)</w:t>
      </w:r>
    </w:p>
    <w:p>
      <w:pPr>
        <w:spacing w:after="80" w:before="200" w:line="288"/>
      </w:pPr>
      <w:r>
        <w:rPr>
          <w:rFonts w:ascii="Trebuchet MS" w:cs="Trebuchet MS" w:eastAsia="Trebuchet MS" w:hAnsi="Trebuchet MS"/>
          <w:b/>
          <w:bCs/>
          <w:color w:val="3C6478"/>
          <w:sz w:val="22"/>
          <w:szCs w:val="22"/>
        </w:rPr>
        <w:t xml:space="preserve">Hypothèse 1 — Le temps n’existe pas pour lui</w:t>
      </w:r>
    </w:p>
    <w:p>
      <w:pPr>
        <w:spacing w:after="120" w:before="0" w:line="288"/>
        <w:jc w:val="left"/>
      </w:pPr>
      <w:r>
        <w:rPr>
          <w:rFonts w:ascii="Calibri" w:cs="Calibri" w:eastAsia="Calibri" w:hAnsi="Calibri"/>
          <w:b w:val="false"/>
          <w:bCs w:val="false"/>
          <w:i w:val="false"/>
          <w:iCs w:val="false"/>
          <w:color w:val="4A4540"/>
          <w:sz w:val="22"/>
          <w:szCs w:val="22"/>
        </w:rPr>
        <w:t xml:space="preserve">Regroupe : le temps qui passe 0, lecture de l’heure 1, routines 1, planning 1, passage à l’action 1, concentration 0. Six rouges, une seule cause probable : il ne perçoit pas la durée. Il ne « traîne » pas, il n’a aucun instrument interne pour mesurer ce qu’il fait. Une dysperception temporelle est extrêmement fréquente dans son profil.</w:t>
      </w:r>
    </w:p>
    <w:p>
      <w:pPr>
        <w:spacing w:after="80" w:before="200" w:line="288"/>
      </w:pPr>
      <w:r>
        <w:rPr>
          <w:rFonts w:ascii="Trebuchet MS" w:cs="Trebuchet MS" w:eastAsia="Trebuchet MS" w:hAnsi="Trebuchet MS"/>
          <w:b/>
          <w:bCs/>
          <w:color w:val="3C6478"/>
          <w:sz w:val="22"/>
          <w:szCs w:val="22"/>
        </w:rPr>
        <w:t xml:space="preserve">Hypothèse 2 — Le problème est le canal écrit, pas les notions</w:t>
      </w:r>
    </w:p>
    <w:p>
      <w:pPr>
        <w:spacing w:after="120" w:before="0" w:line="288"/>
        <w:jc w:val="left"/>
      </w:pPr>
      <w:r>
        <w:rPr>
          <w:rFonts w:ascii="Calibri" w:cs="Calibri" w:eastAsia="Calibri" w:hAnsi="Calibri"/>
          <w:b w:val="false"/>
          <w:bCs w:val="false"/>
          <w:i w:val="false"/>
          <w:iCs w:val="false"/>
          <w:color w:val="4A4540"/>
          <w:sz w:val="22"/>
          <w:szCs w:val="22"/>
        </w:rPr>
        <w:t xml:space="preserve">Le contraste est spectaculaire : culture générale 5, expression orale 4, savoir compter 4, résolution de problèmes du quotidien correcte. Et en face : écriture 0, orthographe / grammaire / conjugaison 1, problèmes sur cahier 1, coordination 2. Il sait. Il ne peut pas le poser sur le papier. Le geste graphique lui coûte tellement qu’il n’a plus rien de disponible pour penser en même temps.</w:t>
      </w:r>
    </w:p>
    <w:p>
      <w:pPr>
        <w:spacing w:after="80" w:before="200" w:line="288"/>
      </w:pPr>
      <w:r>
        <w:rPr>
          <w:rFonts w:ascii="Trebuchet MS" w:cs="Trebuchet MS" w:eastAsia="Trebuchet MS" w:hAnsi="Trebuchet MS"/>
          <w:b/>
          <w:bCs/>
          <w:color w:val="3C6478"/>
          <w:sz w:val="22"/>
          <w:szCs w:val="22"/>
        </w:rPr>
        <w:t xml:space="preserve">Hypothèse 3 — Il ne se voit pas avancer</w:t>
      </w:r>
    </w:p>
    <w:p>
      <w:pPr>
        <w:spacing w:after="120" w:before="0" w:line="288"/>
        <w:jc w:val="left"/>
      </w:pPr>
      <w:r>
        <w:rPr>
          <w:rFonts w:ascii="Calibri" w:cs="Calibri" w:eastAsia="Calibri" w:hAnsi="Calibri"/>
          <w:b w:val="false"/>
          <w:bCs w:val="false"/>
          <w:i w:val="false"/>
          <w:iCs w:val="false"/>
          <w:color w:val="4A4540"/>
          <w:sz w:val="22"/>
          <w:szCs w:val="22"/>
        </w:rPr>
        <w:t xml:space="preserve">Discours interne 1, plaisir 1, progrès 1, mais autonomie 4 et « ce qui lui tient à cœur » 4. Ce n’est pas un enfant sans élan. C’est un enfant sans retour visible sur ses efforts. Il fournit, et rien ne le lui montre.</w:t>
      </w:r>
    </w:p>
    <w:p>
      <w:pPr>
        <w:spacing w:after="80" w:before="200" w:line="288"/>
      </w:pPr>
      <w:r>
        <w:rPr>
          <w:rFonts w:ascii="Trebuchet MS" w:cs="Trebuchet MS" w:eastAsia="Trebuchet MS" w:hAnsi="Trebuchet MS"/>
          <w:b/>
          <w:bCs/>
          <w:color w:val="3C6478"/>
          <w:sz w:val="22"/>
          <w:szCs w:val="22"/>
        </w:rPr>
        <w:t xml:space="preserve">Le détail qui aurait pu passer inaperçu</w:t>
      </w:r>
    </w:p>
    <w:p>
      <w:pPr>
        <w:spacing w:after="120" w:before="0" w:line="288"/>
        <w:jc w:val="left"/>
      </w:pPr>
      <w:r>
        <w:rPr>
          <w:rFonts w:ascii="Calibri" w:cs="Calibri" w:eastAsia="Calibri" w:hAnsi="Calibri"/>
          <w:b w:val="false"/>
          <w:bCs w:val="false"/>
          <w:i w:val="false"/>
          <w:iCs w:val="false"/>
          <w:color w:val="4A4540"/>
          <w:sz w:val="22"/>
          <w:szCs w:val="22"/>
        </w:rPr>
        <w:t xml:space="preserve">Colère très fréquente + dire ses sentiments coté 1. La colère n’est pas le problème : c’est son seul canal disponible. Il n’a pas les mots, donc il a le cri. Ce n’est pas un sujet de comportement, c’est un sujet de vocabulaire émotionnel.</w:t>
      </w:r>
    </w:p>
    <w:p>
      <w:pPr>
        <w:spacing w:after="80" w:before="200" w:line="288"/>
      </w:pPr>
      <w:r>
        <w:rPr>
          <w:rFonts w:ascii="Trebuchet MS" w:cs="Trebuchet MS" w:eastAsia="Trebuchet MS" w:hAnsi="Trebuchet MS"/>
          <w:b/>
          <w:bCs/>
          <w:color w:val="3C6478"/>
          <w:sz w:val="22"/>
          <w:szCs w:val="22"/>
        </w:rPr>
        <w:t xml:space="preserve">Ce qui passe devant tout</w:t>
      </w:r>
    </w:p>
    <w:p>
      <w:pPr>
        <w:spacing w:after="140" w:before="0" w:line="288"/>
        <w:jc w:val="left"/>
      </w:pPr>
      <w:r>
        <w:rPr>
          <w:rFonts w:ascii="Calibri" w:cs="Calibri" w:eastAsia="Calibri" w:hAnsi="Calibri"/>
          <w:b w:val="false"/>
          <w:bCs w:val="false"/>
          <w:i w:val="false"/>
          <w:iCs w:val="false"/>
          <w:color w:val="4A4540"/>
          <w:sz w:val="22"/>
          <w:szCs w:val="22"/>
        </w:rPr>
        <w:t xml:space="preserve">Sommeil 1 + maux de tête 2. Aucun levier pédagogique ne tiendra sur un enfant qui dort mal. Cela part en avis médical, en parallèle, et ne compte pas comme un des trois leviers.</w:t>
      </w:r>
    </w:p>
    <w:p>
      <w:r>
        <w:br w:type="page"/>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Ce que donne l’étape D (les 3 leviers)</w:t>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700"/>
        <w:gridCol w:w="3100"/>
        <w:gridCol w:w="2900"/>
        <w:gridCol w:w="2900"/>
      </w:tblGrid>
      <w:tr>
        <w:trPr>
          <w:tblHeader/>
        </w:trPr>
        <w:tc>
          <w:tcPr>
            <w:tcW w:type="dxa" w:w="7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w:t>
            </w:r>
          </w:p>
        </w:tc>
        <w:tc>
          <w:tcPr>
            <w:tcW w:type="dxa" w:w="31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Levier</w:t>
            </w:r>
          </w:p>
        </w:tc>
        <w:tc>
          <w:tcPr>
            <w:tcW w:type="dxa" w:w="29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Cible</w:t>
            </w:r>
          </w:p>
        </w:tc>
        <w:tc>
          <w:tcPr>
            <w:tcW w:type="dxa" w:w="29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Appui vert utilisé</w:t>
            </w:r>
          </w:p>
        </w:tc>
      </w:tr>
      <w:tr>
        <w:trPr>
          <w:tblHeader w:val="false"/>
        </w:trPr>
        <w:tc>
          <w:tcPr>
            <w:tcW w:type="dxa" w:w="7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1</w:t>
            </w:r>
          </w:p>
        </w:tc>
        <w:tc>
          <w:tcPr>
            <w:tcW w:type="dxa" w:w="31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Rendre le temps visible</w:t>
            </w:r>
          </w:p>
        </w:tc>
        <w:tc>
          <w:tcPr>
            <w:tcW w:type="dxa" w:w="29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Hypothèse 1 — 6 rouges d’un coup</w:t>
            </w:r>
          </w:p>
        </w:tc>
        <w:tc>
          <w:tcPr>
            <w:tcW w:type="dxa" w:w="29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Imagination 5, Dessin 5 : c’est lui qui fabrique ses supports</w:t>
            </w:r>
          </w:p>
        </w:tc>
      </w:tr>
      <w:tr>
        <w:trPr>
          <w:tblHeader w:val="false"/>
        </w:trPr>
        <w:tc>
          <w:tcPr>
            <w:tcW w:type="dxa" w:w="7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2</w:t>
            </w:r>
          </w:p>
        </w:tc>
        <w:tc>
          <w:tcPr>
            <w:tcW w:type="dxa" w:w="31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Décharger le canal écrit</w:t>
            </w:r>
          </w:p>
        </w:tc>
        <w:tc>
          <w:tcPr>
            <w:tcW w:type="dxa" w:w="29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Hypothèse 2 — 5 rouges</w:t>
            </w:r>
          </w:p>
        </w:tc>
        <w:tc>
          <w:tcPr>
            <w:tcW w:type="dxa" w:w="29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Expression orale 4 : il dicte, l’adulte écrit</w:t>
            </w:r>
          </w:p>
        </w:tc>
      </w:tr>
      <w:tr>
        <w:trPr>
          <w:tblHeader w:val="false"/>
        </w:trPr>
        <w:tc>
          <w:tcPr>
            <w:tcW w:type="dxa" w:w="7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3</w:t>
            </w:r>
          </w:p>
        </w:tc>
        <w:tc>
          <w:tcPr>
            <w:tcW w:type="dxa" w:w="31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Rendre le progrès visible</w:t>
            </w:r>
          </w:p>
        </w:tc>
        <w:tc>
          <w:tcPr>
            <w:tcW w:type="dxa" w:w="29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Hypothèse 3 — 4 rouges</w:t>
            </w:r>
          </w:p>
        </w:tc>
        <w:tc>
          <w:tcPr>
            <w:tcW w:type="dxa" w:w="29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Dessin 5 : carnet de réussites dessiné, pas écrit</w:t>
            </w:r>
          </w:p>
        </w:tc>
      </w:tr>
    </w:tbl>
    <w:p>
      <w:pPr>
        <w:spacing w:after="160" w:before="0"/>
      </w:pPr>
      <w:r>
        <w:rPr>
          <w:sz w:val="8"/>
          <w:szCs w:val="8"/>
        </w:rPr>
        <w:t xml:space="preserve"/>
      </w:r>
    </w:p>
    <w:p>
      <w:pPr>
        <w:spacing w:after="180" w:before="0" w:line="288"/>
        <w:jc w:val="left"/>
      </w:pPr>
      <w:r>
        <w:rPr>
          <w:rFonts w:ascii="Calibri" w:cs="Calibri" w:eastAsia="Calibri" w:hAnsi="Calibri"/>
          <w:b w:val="false"/>
          <w:bCs w:val="false"/>
          <w:i/>
          <w:iCs/>
          <w:color w:val="4A4540"/>
          <w:sz w:val="22"/>
          <w:szCs w:val="22"/>
        </w:rPr>
        <w:t xml:space="preserve">Trois leviers couvrent 15 des 21 rouges. Les 6 restants ne sont pas oubliés : ils sont mis en attente, avec une date. C’est ça, prioriser.</w:t>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Ce que donne la Phase 3 (le plan signé)</w:t>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1700"/>
        <w:gridCol w:w="3300"/>
        <w:gridCol w:w="1600"/>
        <w:gridCol w:w="3000"/>
      </w:tblGrid>
      <w:tr>
        <w:trPr>
          <w:tblHeader/>
        </w:trPr>
        <w:tc>
          <w:tcPr>
            <w:tcW w:type="dxa" w:w="17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Échéance</w:t>
            </w:r>
          </w:p>
        </w:tc>
        <w:tc>
          <w:tcPr>
            <w:tcW w:type="dxa" w:w="33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Objectif</w:t>
            </w:r>
          </w:p>
        </w:tc>
        <w:tc>
          <w:tcPr>
            <w:tcW w:type="dxa" w:w="16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Qui</w:t>
            </w:r>
          </w:p>
        </w:tc>
        <w:tc>
          <w:tcPr>
            <w:tcW w:type="dxa" w:w="30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On verra que ça marche si…</w:t>
            </w:r>
          </w:p>
        </w:tc>
      </w:tr>
      <w:tr>
        <w:trPr>
          <w:tblHeader w:val="false"/>
        </w:trPr>
        <w:tc>
          <w:tcPr>
            <w:tcW w:type="dxa" w:w="17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Urgent — semaine 1</w:t>
            </w:r>
          </w:p>
        </w:tc>
        <w:tc>
          <w:tcPr>
            <w:tcW w:type="dxa" w:w="33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Écrans coupés 45 min avant le coucher. Un seul changement, rien d’autre.</w:t>
            </w:r>
          </w:p>
        </w:tc>
        <w:tc>
          <w:tcPr>
            <w:tcW w:type="dxa" w:w="1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Maman</w:t>
            </w:r>
          </w:p>
        </w:tc>
        <w:tc>
          <w:tcPr>
            <w:tcW w:type="dxa" w:w="30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5 nuits sur 7 endormi avant 21 h</w:t>
            </w:r>
          </w:p>
        </w:tc>
      </w:tr>
      <w:tr>
        <w:trPr>
          <w:tblHeader w:val="false"/>
        </w:trPr>
        <w:tc>
          <w:tcPr>
            <w:tcW w:type="dxa" w:w="17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2 semaines</w:t>
            </w:r>
          </w:p>
        </w:tc>
        <w:tc>
          <w:tcPr>
            <w:tcW w:type="dxa" w:w="33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Devoirs en blocs de 12 min, minuteur visuel posé sur la table, pause debout entre les blocs</w:t>
            </w:r>
          </w:p>
        </w:tc>
        <w:tc>
          <w:tcPr>
            <w:tcW w:type="dxa" w:w="1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Ilyan + maman</w:t>
            </w:r>
          </w:p>
        </w:tc>
        <w:tc>
          <w:tcPr>
            <w:tcW w:type="dxa" w:w="30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 démarre sans crise 3 soirs sur 5</w:t>
            </w:r>
          </w:p>
        </w:tc>
      </w:tr>
      <w:tr>
        <w:trPr>
          <w:tblHeader w:val="false"/>
        </w:trPr>
        <w:tc>
          <w:tcPr>
            <w:tcW w:type="dxa" w:w="17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1 mois</w:t>
            </w:r>
          </w:p>
        </w:tc>
        <w:tc>
          <w:tcPr>
            <w:tcW w:type="dxa" w:w="33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Deux fois par semaine, il dicte et maman écrit à sa place. Quantité d’écrit réduite de moitié en accord avec l’enseignante.</w:t>
            </w:r>
          </w:p>
        </w:tc>
        <w:tc>
          <w:tcPr>
            <w:tcW w:type="dxa" w:w="1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Maman + enseignante</w:t>
            </w:r>
          </w:p>
        </w:tc>
        <w:tc>
          <w:tcPr>
            <w:tcW w:type="dxa" w:w="30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 termine ses devoirs écrits sans pleurer</w:t>
            </w:r>
          </w:p>
        </w:tc>
      </w:tr>
      <w:tr>
        <w:trPr>
          <w:tblHeader w:val="false"/>
        </w:trPr>
        <w:tc>
          <w:tcPr>
            <w:tcW w:type="dxa" w:w="17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1 mois</w:t>
            </w:r>
          </w:p>
        </w:tc>
        <w:tc>
          <w:tcPr>
            <w:tcW w:type="dxa" w:w="33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Carnet de réussites : une case dessinée chaque soir. Maman regarde 30 secondes, sans commenter.</w:t>
            </w:r>
          </w:p>
        </w:tc>
        <w:tc>
          <w:tcPr>
            <w:tcW w:type="dxa" w:w="1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Ilyan</w:t>
            </w:r>
          </w:p>
        </w:tc>
        <w:tc>
          <w:tcPr>
            <w:tcW w:type="dxa" w:w="30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20 cases remplies sur 30</w:t>
            </w:r>
          </w:p>
        </w:tc>
      </w:tr>
      <w:tr>
        <w:trPr>
          <w:tblHeader w:val="false"/>
        </w:trPr>
        <w:tc>
          <w:tcPr>
            <w:tcW w:type="dxa" w:w="17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3 mois</w:t>
            </w:r>
          </w:p>
        </w:tc>
        <w:tc>
          <w:tcPr>
            <w:tcW w:type="dxa" w:w="33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Fabriquer une horloge à aiguilles avec lui, puis la lire ensemble une fois par jour</w:t>
            </w:r>
          </w:p>
        </w:tc>
        <w:tc>
          <w:tcPr>
            <w:tcW w:type="dxa" w:w="1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Ilyan + Nawel</w:t>
            </w:r>
          </w:p>
        </w:tc>
        <w:tc>
          <w:tcPr>
            <w:tcW w:type="dxa" w:w="30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Il lit l’heure à 5 minutes près</w:t>
            </w:r>
          </w:p>
        </w:tc>
      </w:tr>
      <w:tr>
        <w:trPr>
          <w:tblHeader w:val="false"/>
        </w:trPr>
        <w:tc>
          <w:tcPr>
            <w:tcW w:type="dxa" w:w="17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En parallèle</w:t>
            </w:r>
          </w:p>
        </w:tc>
        <w:tc>
          <w:tcPr>
            <w:tcW w:type="dxa" w:w="33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Consultation médecin : sommeil et maux de tête</w:t>
            </w:r>
          </w:p>
        </w:tc>
        <w:tc>
          <w:tcPr>
            <w:tcW w:type="dxa" w:w="1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Maman</w:t>
            </w:r>
          </w:p>
        </w:tc>
        <w:tc>
          <w:tcPr>
            <w:tcW w:type="dxa" w:w="30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RDV pris avant le 15</w:t>
            </w:r>
          </w:p>
        </w:tc>
      </w:tr>
      <w:tr>
        <w:trPr>
          <w:tblHeader w:val="false"/>
        </w:trPr>
        <w:tc>
          <w:tcPr>
            <w:tcW w:type="dxa" w:w="17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Prochain point</w:t>
            </w:r>
          </w:p>
        </w:tc>
        <w:tc>
          <w:tcPr>
            <w:tcW w:type="dxa" w:w="33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Date fixée le jour même, rappel programmé dans le téléphone</w:t>
            </w:r>
          </w:p>
        </w:tc>
        <w:tc>
          <w:tcPr>
            <w:tcW w:type="dxa" w:w="1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Les deux</w:t>
            </w:r>
          </w:p>
        </w:tc>
        <w:tc>
          <w:tcPr>
            <w:tcW w:type="dxa" w:w="30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w:t>
            </w:r>
          </w:p>
        </w:tc>
      </w:tr>
    </w:tbl>
    <w:p>
      <w:pPr>
        <w:spacing w:after="200" w:before="0"/>
      </w:pPr>
      <w:r>
        <w:rPr>
          <w:sz w:val="8"/>
          <w:szCs w:val="8"/>
        </w:rPr>
        <w:t xml:space="preserve"/>
      </w:r>
    </w:p>
    <w:p>
      <w:pPr>
        <w:pBdr>
          <w:bottom w:val="single" w:color="3C6478" w:sz="6" w:space="4"/>
        </w:pBdr>
        <w:spacing w:after="120" w:before="260" w:line="288"/>
      </w:pPr>
      <w:r>
        <w:rPr>
          <w:rFonts w:ascii="Trebuchet MS" w:cs="Trebuchet MS" w:eastAsia="Trebuchet MS" w:hAnsi="Trebuchet MS"/>
          <w:b/>
          <w:bCs/>
          <w:color w:val="3C6478"/>
          <w:sz w:val="24"/>
          <w:szCs w:val="24"/>
        </w:rPr>
        <w:t xml:space="preserve">Six semaines plus tard</w:t>
      </w:r>
    </w:p>
    <w:p>
      <w:pPr>
        <w:spacing w:after="100" w:before="0" w:line="288"/>
        <w:jc w:val="left"/>
      </w:pPr>
      <w:r>
        <w:rPr>
          <w:rFonts w:ascii="Calibri" w:cs="Calibri" w:eastAsia="Calibri" w:hAnsi="Calibri"/>
          <w:b w:val="false"/>
          <w:bCs w:val="false"/>
          <w:i w:val="false"/>
          <w:iCs w:val="false"/>
          <w:color w:val="4A4540"/>
          <w:sz w:val="22"/>
          <w:szCs w:val="22"/>
        </w:rPr>
        <w:t xml:space="preserve">Re-cotation partielle, uniquement sur les lignes travaillées :</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Routines : 1 → 3. Concentration : 0 → 2. Progrès : 1 → 3. Discours interne : 1 → 3. Sommeil : 1 → 3.</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Écriture : 0 → 0. Coordination : 2 → 2. Aucun mouvement, malgré l’allègement.</w:t>
      </w:r>
    </w:p>
    <w:p>
      <w:pPr>
        <w:spacing w:after="160" w:before="0"/>
      </w:pPr>
      <w:r>
        <w:rPr>
          <w:sz w:val="8"/>
          <w:szCs w:val="8"/>
        </w:rPr>
        <w:t xml:space="preserve"/>
      </w:r>
    </w:p>
    <w:tbl>
      <w:tblPr>
        <w:tblW w:type="dxa" w:w="9600"/>
        <w:tblBorders>
          <w:top w:val="single" w:color="B4F0C8" w:sz="2"/>
          <w:left w:val="single" w:color="B4F0C8" w:sz="18"/>
          <w:bottom w:val="single" w:color="B4F0C8" w:sz="2"/>
          <w:right w:val="single" w:color="B4F0C8" w:sz="2"/>
          <w:insideH w:val="single" w:color="auto" w:sz="4"/>
          <w:insideV w:val="single" w:color="auto" w:sz="4"/>
        </w:tblBorders>
      </w:tblPr>
      <w:tblGrid>
        <w:gridCol w:w="9600"/>
      </w:tblGrid>
      <w:tr>
        <w:tc>
          <w:tcPr>
            <w:tcW w:type="dxa" w:w="9600"/>
            <w:shd w:fill="FAF7F2" w:color="auto" w:val="clear"/>
            <w:tcMar>
              <w:top w:type="dxa" w:w="160"/>
              <w:left w:type="dxa" w:w="220"/>
              <w:bottom w:type="dxa" w:w="160"/>
              <w:right w:type="dxa" w:w="200"/>
            </w:tcMar>
          </w:tcPr>
          <w:p>
            <w:pPr>
              <w:spacing w:after="80" w:before="0"/>
            </w:pPr>
            <w:r>
              <w:rPr>
                <w:rFonts w:ascii="Trebuchet MS" w:cs="Trebuchet MS" w:eastAsia="Trebuchet MS" w:hAnsi="Trebuchet MS"/>
                <w:b/>
                <w:bCs/>
                <w:color w:val="3C6478"/>
                <w:sz w:val="22"/>
                <w:szCs w:val="22"/>
              </w:rPr>
              <w:t xml:space="preserve">La décision que le bilan permet de prendre</w:t>
            </w:r>
          </w:p>
          <w:p>
            <w:pPr>
              <w:spacing w:after="80" w:before="0" w:line="288"/>
            </w:pPr>
            <w:r>
              <w:rPr>
                <w:rFonts w:ascii="Calibri" w:cs="Calibri" w:eastAsia="Calibri" w:hAnsi="Calibri"/>
                <w:color w:val="4A4540"/>
                <w:sz w:val="21"/>
                <w:szCs w:val="21"/>
              </w:rPr>
              <w:t xml:space="preserve">Tout ce qui relève de l’organisation et de l’estime a bougé. Le geste graphique, non, alors qu’on a levé la pression autour. Ce n’est donc pas un problème de motivation.</w:t>
            </w:r>
          </w:p>
          <w:p>
            <w:pPr>
              <w:spacing w:after="80" w:before="0" w:line="288"/>
            </w:pPr>
            <w:r>
              <w:rPr>
                <w:rFonts w:ascii="Calibri" w:cs="Calibri" w:eastAsia="Calibri" w:hAnsi="Calibri"/>
                <w:color w:val="4A4540"/>
                <w:sz w:val="21"/>
                <w:szCs w:val="21"/>
              </w:rPr>
              <w:t xml:space="preserve">C’est à ce moment-là, et pas avant, que l’orientation vers un bilan en ergothérapie prend tout son sens — avec deux bilans datés et signés pour l’appuyer.</w:t>
            </w:r>
          </w:p>
          <w:p>
            <w:pPr>
              <w:spacing w:after="0" w:before="0" w:line="288"/>
            </w:pPr>
            <w:r>
              <w:rPr>
                <w:rFonts w:ascii="Calibri" w:cs="Calibri" w:eastAsia="Calibri" w:hAnsi="Calibri"/>
                <w:color w:val="4A4540"/>
                <w:sz w:val="21"/>
                <w:szCs w:val="21"/>
              </w:rPr>
              <w:t xml:space="preserve">C’est exactement la fonction de cet outil : il ne soigne rien, il te dit où regarder et il documente ce que tu avances.</w:t>
            </w:r>
          </w:p>
        </w:tc>
      </w:tr>
    </w:tbl>
    <w:p>
      <w:r>
        <w:br w:type="page"/>
      </w:r>
    </w:p>
    <w:tbl>
      <w:tblPr>
        <w:tblW w:type="dxa" w:w="9600"/>
        <w:tblBorders>
          <w:top w:val="none"/>
          <w:left w:val="none"/>
          <w:bottom w:val="none"/>
          <w:right w:val="none"/>
          <w:insideH w:val="single" w:color="auto" w:sz="4"/>
          <w:insideV w:val="single" w:color="auto" w:sz="4"/>
        </w:tblBorders>
      </w:tblPr>
      <w:tblGrid>
        <w:gridCol w:w="9600"/>
      </w:tblGrid>
      <w:tr>
        <w:tc>
          <w:tcPr>
            <w:tcW w:type="dxa" w:w="9600"/>
            <w:shd w:fill="3C6478" w:color="auto" w:val="clear"/>
            <w:tcMar>
              <w:top w:type="dxa" w:w="140"/>
              <w:left w:type="dxa" w:w="200"/>
              <w:bottom w:type="dxa" w:w="140"/>
              <w:right w:type="dxa" w:w="200"/>
            </w:tcMar>
          </w:tcPr>
          <w:p>
            <w:pPr>
              <w:spacing w:after="0" w:before="0"/>
            </w:pPr>
            <w:r>
              <w:rPr>
                <w:rFonts w:ascii="Trebuchet MS" w:cs="Trebuchet MS" w:eastAsia="Trebuchet MS" w:hAnsi="Trebuchet MS"/>
                <w:b/>
                <w:bCs/>
                <w:color w:val="B4F0C8"/>
                <w:sz w:val="26"/>
                <w:szCs w:val="26"/>
              </w:rPr>
              <w:t xml:space="preserve">⚠  </w:t>
            </w:r>
            <w:r>
              <w:rPr>
                <w:rFonts w:ascii="Trebuchet MS" w:cs="Trebuchet MS" w:eastAsia="Trebuchet MS" w:hAnsi="Trebuchet MS"/>
                <w:b/>
                <w:bCs/>
                <w:color w:val="FFFFFF"/>
                <w:sz w:val="26"/>
                <w:szCs w:val="26"/>
              </w:rPr>
              <w:t xml:space="preserve">Les 8 pièges à connaître</w:t>
            </w:r>
          </w:p>
        </w:tc>
      </w:tr>
    </w:tbl>
    <w:p>
      <w:pPr>
        <w:spacing w:after="180" w:before="0"/>
      </w:pPr>
      <w:r>
        <w:rPr>
          <w:sz w:val="8"/>
          <w:szCs w:val="8"/>
        </w:rPr>
        <w:t xml:space="preserve"/>
      </w:r>
    </w:p>
    <w:tbl>
      <w:tblPr>
        <w:tblW w:type="dxa" w:w="9600"/>
        <w:tblBorders>
          <w:top w:val="single" w:color="C9D6DD" w:sz="2"/>
          <w:left w:val="single" w:color="C9D6DD" w:sz="2"/>
          <w:bottom w:val="single" w:color="C9D6DD" w:sz="2"/>
          <w:right w:val="single" w:color="C9D6DD" w:sz="2"/>
          <w:insideH w:val="single" w:color="C9D6DD" w:sz="2"/>
          <w:insideV w:val="single" w:color="C9D6DD" w:sz="2"/>
        </w:tblBorders>
      </w:tblPr>
      <w:tblGrid>
        <w:gridCol w:w="600"/>
        <w:gridCol w:w="3400"/>
        <w:gridCol w:w="5600"/>
      </w:tblGrid>
      <w:tr>
        <w:trPr>
          <w:tblHeader/>
        </w:trPr>
        <w:tc>
          <w:tcPr>
            <w:tcW w:type="dxa" w:w="6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w:t>
            </w:r>
          </w:p>
        </w:tc>
        <w:tc>
          <w:tcPr>
            <w:tcW w:type="dxa" w:w="34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Le piège</w:t>
            </w:r>
          </w:p>
        </w:tc>
        <w:tc>
          <w:tcPr>
            <w:tcW w:type="dxa" w:w="5600"/>
            <w:shd w:fill="3C6478" w:color="auto" w:val="clear"/>
            <w:tcMar>
              <w:top w:type="dxa" w:w="90"/>
              <w:left w:type="dxa" w:w="130"/>
              <w:bottom w:type="dxa" w:w="90"/>
              <w:right w:type="dxa" w:w="130"/>
            </w:tcMar>
          </w:tcPr>
          <w:p>
            <w:pPr>
              <w:spacing w:after="0" w:before="0" w:line="264"/>
              <w:jc w:val="left"/>
            </w:pPr>
            <w:r>
              <w:rPr>
                <w:rFonts w:ascii="Calibri" w:cs="Calibri" w:eastAsia="Calibri" w:hAnsi="Calibri"/>
                <w:b/>
                <w:bCs/>
                <w:i w:val="false"/>
                <w:iCs w:val="false"/>
                <w:color w:val="FFFFFF"/>
                <w:sz w:val="20"/>
                <w:szCs w:val="20"/>
              </w:rPr>
              <w:t xml:space="preserve">Le remède</w:t>
            </w:r>
          </w:p>
        </w:tc>
      </w:tr>
      <w:tr>
        <w:trPr>
          <w:tblHeader w:val="false"/>
        </w:trPr>
        <w:tc>
          <w:tcPr>
            <w:tcW w:type="dxa" w:w="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1</w:t>
            </w:r>
          </w:p>
        </w:tc>
        <w:tc>
          <w:tcPr>
            <w:tcW w:type="dxa" w:w="3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Vouloir tout coter en une fois</w:t>
            </w:r>
          </w:p>
        </w:tc>
        <w:tc>
          <w:tcPr>
            <w:tcW w:type="dxa" w:w="5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Deux séances courtes valent mieux qu’une longue. Une grille remplie en fatigue est une grille fausse.</w:t>
            </w:r>
          </w:p>
        </w:tc>
      </w:tr>
      <w:tr>
        <w:trPr>
          <w:tblHeader w:val="false"/>
        </w:trPr>
        <w:tc>
          <w:tcPr>
            <w:tcW w:type="dxa" w:w="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2</w:t>
            </w:r>
          </w:p>
        </w:tc>
        <w:tc>
          <w:tcPr>
            <w:tcW w:type="dxa" w:w="3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Enchaîner Phase 1 et Phase 2</w:t>
            </w:r>
          </w:p>
        </w:tc>
        <w:tc>
          <w:tcPr>
            <w:tcW w:type="dxa" w:w="5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Les solutions ont besoin de décanter. Le document le précise : quelques heures, quelques jours.</w:t>
            </w:r>
          </w:p>
        </w:tc>
      </w:tr>
      <w:tr>
        <w:trPr>
          <w:tblHeader w:val="false"/>
        </w:trPr>
        <w:tc>
          <w:tcPr>
            <w:tcW w:type="dxa" w:w="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3</w:t>
            </w:r>
          </w:p>
        </w:tc>
        <w:tc>
          <w:tcPr>
            <w:tcW w:type="dxa" w:w="3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Coter à sa place</w:t>
            </w:r>
          </w:p>
        </w:tc>
        <w:tc>
          <w:tcPr>
            <w:tcW w:type="dxa" w:w="5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Le décalage entre son ressenti et la réalité est une information, pas une erreur à corriger.</w:t>
            </w:r>
          </w:p>
        </w:tc>
      </w:tr>
      <w:tr>
        <w:trPr>
          <w:tblHeader w:val="false"/>
        </w:trPr>
        <w:tc>
          <w:tcPr>
            <w:tcW w:type="dxa" w:w="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4</w:t>
            </w:r>
          </w:p>
        </w:tc>
        <w:tc>
          <w:tcPr>
            <w:tcW w:type="dxa" w:w="3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Lire les chiffres sans les commentaires</w:t>
            </w:r>
          </w:p>
        </w:tc>
        <w:tc>
          <w:tcPr>
            <w:tcW w:type="dxa" w:w="5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Le chiffre te dit qu’il y a quelque chose. Le commentaire te dit quoi.</w:t>
            </w:r>
          </w:p>
        </w:tc>
      </w:tr>
      <w:tr>
        <w:trPr>
          <w:tblHeader w:val="false"/>
        </w:trPr>
        <w:tc>
          <w:tcPr>
            <w:tcW w:type="dxa" w:w="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5</w:t>
            </w:r>
          </w:p>
        </w:tc>
        <w:tc>
          <w:tcPr>
            <w:tcW w:type="dxa" w:w="3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Traiter les rouges et ignorer les verts</w:t>
            </w:r>
          </w:p>
        </w:tc>
        <w:tc>
          <w:tcPr>
            <w:tcW w:type="dxa" w:w="5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Sans appui vert, un levier ne tient pas. Les verts sont la moitié du bilan.</w:t>
            </w:r>
          </w:p>
        </w:tc>
      </w:tr>
      <w:tr>
        <w:trPr>
          <w:tblHeader w:val="false"/>
        </w:trPr>
        <w:tc>
          <w:tcPr>
            <w:tcW w:type="dxa" w:w="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6</w:t>
            </w:r>
          </w:p>
        </w:tc>
        <w:tc>
          <w:tcPr>
            <w:tcW w:type="dxa" w:w="3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Choisir plus de trois leviers</w:t>
            </w:r>
          </w:p>
        </w:tc>
        <w:tc>
          <w:tcPr>
            <w:tcW w:type="dxa" w:w="5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Cinq leviers, c’est zéro levier trois semaines plus tard.</w:t>
            </w:r>
          </w:p>
        </w:tc>
      </w:tr>
      <w:tr>
        <w:trPr>
          <w:tblHeader w:val="false"/>
        </w:trPr>
        <w:tc>
          <w:tcPr>
            <w:tcW w:type="dxa" w:w="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7</w:t>
            </w:r>
          </w:p>
        </w:tc>
        <w:tc>
          <w:tcPr>
            <w:tcW w:type="dxa" w:w="34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Confondre score bas et problème</w:t>
            </w:r>
          </w:p>
        </w:tc>
        <w:tc>
          <w:tcPr>
            <w:tcW w:type="dxa" w:w="5600"/>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Parfois il cote bas simplement parce qu’il n’a jamais rencontré la notion. Vérifie avant d’interpréter.</w:t>
            </w:r>
          </w:p>
        </w:tc>
      </w:tr>
      <w:tr>
        <w:trPr>
          <w:tblHeader w:val="false"/>
        </w:trPr>
        <w:tc>
          <w:tcPr>
            <w:tcW w:type="dxa" w:w="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8</w:t>
            </w:r>
          </w:p>
        </w:tc>
        <w:tc>
          <w:tcPr>
            <w:tcW w:type="dxa" w:w="34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Ne pas fixer la date de suivi immédiatement</w:t>
            </w:r>
          </w:p>
        </w:tc>
        <w:tc>
          <w:tcPr>
            <w:tcW w:type="dxa" w:w="5600"/>
            <w:shd w:fill="FAF7F2" w:color="auto" w:val="clear"/>
            <w:tcMar>
              <w:top w:type="dxa" w:w="90"/>
              <w:left w:type="dxa" w:w="130"/>
              <w:bottom w:type="dxa" w:w="90"/>
              <w:right w:type="dxa" w:w="130"/>
            </w:tcMar>
          </w:tcPr>
          <w:p>
            <w:pPr>
              <w:spacing w:after="0" w:before="0" w:line="264"/>
              <w:jc w:val="left"/>
            </w:pPr>
            <w:r>
              <w:rPr>
                <w:rFonts w:ascii="Calibri" w:cs="Calibri" w:eastAsia="Calibri" w:hAnsi="Calibri"/>
                <w:b w:val="false"/>
                <w:bCs w:val="false"/>
                <w:i w:val="false"/>
                <w:iCs w:val="false"/>
                <w:color w:val="4A4540"/>
                <w:sz w:val="20"/>
                <w:szCs w:val="20"/>
              </w:rPr>
              <w:t xml:space="preserve">Sans date posée le jour même, le bilan devient une belle photo sans suite. Or toute sa valeur est dans la comparaison.</w:t>
            </w:r>
          </w:p>
        </w:tc>
      </w:tr>
    </w:tbl>
    <w:p>
      <w:r>
        <w:br w:type="page"/>
      </w:r>
    </w:p>
    <w:tbl>
      <w:tblPr>
        <w:tblW w:type="dxa" w:w="9600"/>
        <w:tblBorders>
          <w:top w:val="none"/>
          <w:left w:val="none"/>
          <w:bottom w:val="none"/>
          <w:right w:val="none"/>
          <w:insideH w:val="single" w:color="auto" w:sz="4"/>
          <w:insideV w:val="single" w:color="auto" w:sz="4"/>
        </w:tblBorders>
      </w:tblPr>
      <w:tblGrid>
        <w:gridCol w:w="9600"/>
      </w:tblGrid>
      <w:tr>
        <w:tc>
          <w:tcPr>
            <w:tcW w:type="dxa" w:w="9600"/>
            <w:shd w:fill="3C6478" w:color="auto" w:val="clear"/>
            <w:tcMar>
              <w:top w:type="dxa" w:w="140"/>
              <w:left w:type="dxa" w:w="200"/>
              <w:bottom w:type="dxa" w:w="140"/>
              <w:right w:type="dxa" w:w="200"/>
            </w:tcMar>
          </w:tcPr>
          <w:p>
            <w:pPr>
              <w:spacing w:after="0" w:before="0"/>
            </w:pPr>
            <w:r>
              <w:rPr>
                <w:rFonts w:ascii="Trebuchet MS" w:cs="Trebuchet MS" w:eastAsia="Trebuchet MS" w:hAnsi="Trebuchet MS"/>
                <w:b/>
                <w:bCs/>
                <w:color w:val="B4F0C8"/>
                <w:sz w:val="26"/>
                <w:szCs w:val="26"/>
              </w:rPr>
              <w:t xml:space="preserve">MÉMO  </w:t>
            </w:r>
            <w:r>
              <w:rPr>
                <w:rFonts w:ascii="Trebuchet MS" w:cs="Trebuchet MS" w:eastAsia="Trebuchet MS" w:hAnsi="Trebuchet MS"/>
                <w:b/>
                <w:bCs/>
                <w:color w:val="FFFFFF"/>
                <w:sz w:val="26"/>
                <w:szCs w:val="26"/>
              </w:rPr>
              <w:t xml:space="preserve">Aide-mémoire à garder sous les yeux</w:t>
            </w:r>
          </w:p>
        </w:tc>
      </w:tr>
    </w:tbl>
    <w:p>
      <w:pPr>
        <w:spacing w:after="200" w:before="0"/>
      </w:pPr>
      <w:r>
        <w:rPr>
          <w:sz w:val="8"/>
          <w:szCs w:val="8"/>
        </w:rPr>
        <w:t xml:space="preserve"/>
      </w:r>
    </w:p>
    <w:p>
      <w:pPr>
        <w:spacing w:after="80" w:before="200" w:line="288"/>
      </w:pPr>
      <w:r>
        <w:rPr>
          <w:rFonts w:ascii="Trebuchet MS" w:cs="Trebuchet MS" w:eastAsia="Trebuchet MS" w:hAnsi="Trebuchet MS"/>
          <w:b/>
          <w:bCs/>
          <w:color w:val="3C6478"/>
          <w:sz w:val="22"/>
          <w:szCs w:val="22"/>
        </w:rPr>
        <w:t xml:space="preserve">SÉANCE 1 — 30 à 40 min</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En-tête rempli, date en gros, accord parental.</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Je lis le texte d’accueil en entier.</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Je choisis l’échelle : smileys ou chiffres.</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Je ne cote pas à sa place. Je note ses mots entre guillemets.</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Je ne rassure pas, je ne conseille pas, je ne rebondis pas.</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Sur les lignes d’émotion : fréquence d’un côté, ressenti de l’autre.</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Je m’arrête dès qu’il fatigue.</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Ressenti à chaud + date de la séance 2 notée devant lui.</w:t>
      </w:r>
    </w:p>
    <w:p>
      <w:pPr>
        <w:spacing w:after="200" w:before="0"/>
      </w:pPr>
      <w:r>
        <w:rPr>
          <w:sz w:val="8"/>
          <w:szCs w:val="8"/>
        </w:rPr>
        <w:t xml:space="preserve"/>
      </w:r>
    </w:p>
    <w:p>
      <w:pPr>
        <w:spacing w:after="80" w:before="200" w:line="288"/>
      </w:pPr>
      <w:r>
        <w:rPr>
          <w:rFonts w:ascii="Trebuchet MS" w:cs="Trebuchet MS" w:eastAsia="Trebuchet MS" w:hAnsi="Trebuchet MS"/>
          <w:b/>
          <w:bCs/>
          <w:color w:val="3C6478"/>
          <w:sz w:val="22"/>
          <w:szCs w:val="22"/>
        </w:rPr>
        <w:t xml:space="preserve">ENTRE LES DEUX — 45 min à 1 h, seule, quelques jours plus tard</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A. Je colorie : 0-1-2 rouge, 3 orange, 4-5 vert.</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B. Je recopie les rouges par domaine sur une demi-page.</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C. Je cherche les racines : qu’ont-ils en commun ? quel vert les contredit ? quoi de physiologique ?</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D. Je choisis 3 leviers maximum, chacun appuyé sur un vert.</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E. J’écris des actions filmables : quoi · qui · quand · preuve.</w:t>
      </w:r>
    </w:p>
    <w:p>
      <w:pPr>
        <w:spacing w:after="200" w:before="0"/>
      </w:pPr>
      <w:r>
        <w:rPr>
          <w:sz w:val="8"/>
          <w:szCs w:val="8"/>
        </w:rPr>
        <w:t xml:space="preserve"/>
      </w:r>
    </w:p>
    <w:p>
      <w:pPr>
        <w:spacing w:after="80" w:before="200" w:line="288"/>
      </w:pPr>
      <w:r>
        <w:rPr>
          <w:rFonts w:ascii="Trebuchet MS" w:cs="Trebuchet MS" w:eastAsia="Trebuchet MS" w:hAnsi="Trebuchet MS"/>
          <w:b/>
          <w:bCs/>
          <w:color w:val="3C6478"/>
          <w:sz w:val="22"/>
          <w:szCs w:val="22"/>
        </w:rPr>
        <w:t xml:space="preserve">SÉANCE 2 — 20 à 30 min</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Je commence par les verts. Cinq minutes minimum.</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Je propose mes hypothèses au conditionnel. J’écoute s’il dit non.</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Un objectif urgent. Puis un par échéance : 1 sem, 2 sem, 1 mois, 3 mois, 1 an.</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Date du prochain point + rappel programmé tout de suite.</w:t>
      </w:r>
    </w:p>
    <w:p>
      <w:pPr>
        <w:pStyle w:val="ListParagraph"/>
        <w:numPr>
          <w:ilvl w:val="0"/>
          <w:numId w:val="2"/>
        </w:numPr>
        <w:spacing w:after="80" w:before="0" w:line="288"/>
      </w:pPr>
      <w:r>
        <w:rPr>
          <w:rFonts w:ascii="Calibri" w:cs="Calibri" w:eastAsia="Calibri" w:hAnsi="Calibri"/>
          <w:b w:val="false"/>
          <w:bCs w:val="false"/>
          <w:color w:val="4A4540"/>
          <w:sz w:val="22"/>
          <w:szCs w:val="22"/>
        </w:rPr>
        <w:t xml:space="preserve">Date, signatures des deux, archivage.</w:t>
      </w:r>
    </w:p>
    <w:p>
      <w:pPr>
        <w:spacing w:after="300" w:before="0"/>
      </w:pPr>
      <w:r>
        <w:rPr>
          <w:sz w:val="8"/>
          <w:szCs w:val="8"/>
        </w:rPr>
        <w:t xml:space="preserve"/>
      </w:r>
    </w:p>
    <w:tbl>
      <w:tblPr>
        <w:tblW w:type="dxa" w:w="9600"/>
        <w:tblBorders>
          <w:top w:val="single" w:color="F050C8" w:sz="2"/>
          <w:left w:val="single" w:color="F050C8" w:sz="18"/>
          <w:bottom w:val="single" w:color="F050C8" w:sz="2"/>
          <w:right w:val="single" w:color="F050C8" w:sz="2"/>
          <w:insideH w:val="single" w:color="auto" w:sz="4"/>
          <w:insideV w:val="single" w:color="auto" w:sz="4"/>
        </w:tblBorders>
      </w:tblPr>
      <w:tblGrid>
        <w:gridCol w:w="9600"/>
      </w:tblGrid>
      <w:tr>
        <w:tc>
          <w:tcPr>
            <w:tcW w:type="dxa" w:w="9600"/>
            <w:shd w:fill="F0E4D3" w:color="auto" w:val="clear"/>
            <w:tcMar>
              <w:top w:type="dxa" w:w="160"/>
              <w:left w:type="dxa" w:w="220"/>
              <w:bottom w:type="dxa" w:w="160"/>
              <w:right w:type="dxa" w:w="200"/>
            </w:tcMar>
          </w:tcPr>
          <w:p>
            <w:pPr>
              <w:spacing w:after="80" w:before="0"/>
            </w:pPr>
            <w:r>
              <w:rPr>
                <w:rFonts w:ascii="Trebuchet MS" w:cs="Trebuchet MS" w:eastAsia="Trebuchet MS" w:hAnsi="Trebuchet MS"/>
                <w:b/>
                <w:bCs/>
                <w:color w:val="F050C8"/>
                <w:sz w:val="22"/>
                <w:szCs w:val="22"/>
              </w:rPr>
              <w:t xml:space="preserve">Si tu ne devais retenir qu’une chose</w:t>
            </w:r>
          </w:p>
          <w:p>
            <w:pPr>
              <w:spacing w:after="80" w:before="0" w:line="288"/>
            </w:pPr>
            <w:r>
              <w:rPr>
                <w:rFonts w:ascii="Calibri" w:cs="Calibri" w:eastAsia="Calibri" w:hAnsi="Calibri"/>
                <w:color w:val="4A4540"/>
                <w:sz w:val="21"/>
                <w:szCs w:val="21"/>
              </w:rPr>
              <w:t xml:space="preserve">Tu ne dois pas maîtriser les 90 lignes. Tu dois savoir colorier, regrouper, et choisir trois leviers.</w:t>
            </w:r>
          </w:p>
          <w:p>
            <w:pPr>
              <w:spacing w:after="0" w:before="0" w:line="288"/>
            </w:pPr>
            <w:r>
              <w:rPr>
                <w:rFonts w:ascii="Calibri" w:cs="Calibri" w:eastAsia="Calibri" w:hAnsi="Calibri"/>
                <w:color w:val="4A4540"/>
                <w:sz w:val="21"/>
                <w:szCs w:val="21"/>
              </w:rPr>
              <w:t xml:space="preserve">Le reste, c’est de la lecture. Et la lecture vient toute seule quand la page est coloriée.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C6478" w:sz="4" w:space="8"/>
      </w:pBdr>
      <w:spacing w:before="120"/>
      <w:jc w:val="center"/>
    </w:pPr>
    <w:r>
      <w:rPr>
        <w:rFonts w:ascii="Calibri" w:cs="Calibri" w:eastAsia="Calibri" w:hAnsi="Calibri"/>
        <w:color w:val="7D7269"/>
        <w:sz w:val="16"/>
        <w:szCs w:val="16"/>
      </w:rPr>
      <w:t xml:space="preserve">Mode d’emploi BMV1  ·  Nawel — Educa Typique  ·  document de travail interne  ·  </w:t>
    </w:r>
    <w:r>
      <w:rPr>
        <w:rFonts w:ascii="Calibri" w:cs="Calibri" w:eastAsia="Calibri" w:hAnsi="Calibri"/>
        <w:color w:val="7D72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3C6478"/>
        <w:sz w:val="16"/>
        <w:szCs w:val="16"/>
      </w:rPr>
    </w:lvl>
    <w:lvl w:ilvl="1" w15:tentative="1">
      <w:start w:val="1"/>
      <w:numFmt w:val="bullet"/>
      <w:lvlText w:val="○"/>
      <w:lvlJc w:val="left"/>
      <w:pPr>
        <w:ind w:left="800" w:hanging="240"/>
      </w:pPr>
      <w:rPr>
        <w:color w:val="3C6478"/>
        <w:sz w:val="16"/>
        <w:szCs w:val="16"/>
      </w:rPr>
    </w:lvl>
  </w:abstractNum>
  <w:abstractNum w:abstractNumId="3" w15:restartNumberingAfterBreak="0">
    <w:multiLevelType w:val="hybridMultilevel"/>
    <w:lvl w:ilvl="0" w15:tentative="1">
      <w:start w:val="1"/>
      <w:numFmt w:val="decimal"/>
      <w:lvlText w:val="%1."/>
      <w:lvlJc w:val="left"/>
      <w:pPr>
        <w:ind w:left="400" w:hanging="280"/>
      </w:pPr>
      <w:rPr>
        <w:b/>
        <w:bCs/>
        <w:color w:val="3C647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 d’emploi pratique — Bilan Motivationnel BMV1</dc:title>
  <dc:creator>Nawel — Educa Typique</dc:creator>
  <dc:description>Guide de méthode personnel</dc:description>
  <cp:lastModifiedBy>Un-named</cp:lastModifiedBy>
  <cp:revision>1</cp:revision>
  <dcterms:created xsi:type="dcterms:W3CDTF">2026-07-29T18:10:47.362Z</dcterms:created>
  <dcterms:modified xsi:type="dcterms:W3CDTF">2026-07-29T18:10:47.363Z</dcterms:modified>
</cp:coreProperties>
</file>

<file path=docProps/custom.xml><?xml version="1.0" encoding="utf-8"?>
<Properties xmlns="http://schemas.openxmlformats.org/officeDocument/2006/custom-properties" xmlns:vt="http://schemas.openxmlformats.org/officeDocument/2006/docPropsVTypes"/>
</file>