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Worksheet 3.1: Process States</w:t>
      </w: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The table below shows three events that may cause a transition in a process’s state. For each event, the table shows the state transition that immediately follows the event and the queue in which the process gets placed after the transition. Fill in the missing entries in the table. If there are multiple possible causing events, only give one but describe it precisely (don’t just say “interrupt”). If there is no queue, write </w:t>
      </w:r>
      <w:r w:rsidDel="00000000" w:rsidR="00000000" w:rsidRPr="00000000">
        <w:rPr>
          <w:rFonts w:ascii="Arial" w:cs="Arial" w:eastAsia="Arial" w:hAnsi="Arial"/>
          <w:b w:val="1"/>
          <w:vertAlign w:val="baseline"/>
          <w:rtl w:val="0"/>
        </w:rPr>
        <w:t xml:space="preserve">none</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04">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w:t>
      </w:r>
    </w:p>
    <w:tbl>
      <w:tblPr>
        <w:tblStyle w:val="Table1"/>
        <w:tblW w:w="9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48"/>
        <w:gridCol w:w="3240"/>
        <w:gridCol w:w="2340"/>
        <w:tblGridChange w:id="0">
          <w:tblGrid>
            <w:gridCol w:w="4248"/>
            <w:gridCol w:w="3240"/>
            <w:gridCol w:w="2340"/>
          </w:tblGrid>
        </w:tblGridChange>
      </w:tblGrid>
      <w:tr>
        <w:trPr>
          <w:cantSplit w:val="0"/>
          <w:trHeight w:val="576" w:hRule="atLeast"/>
          <w:tblHeader w:val="0"/>
        </w:trPr>
        <w:tc>
          <w:tcPr>
            <w:vAlign w:val="top"/>
          </w:tcPr>
          <w:p w:rsidR="00000000" w:rsidDel="00000000" w:rsidP="00000000" w:rsidRDefault="00000000" w:rsidRPr="00000000" w14:paraId="00000005">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Causing Event </w:t>
            </w:r>
          </w:p>
        </w:tc>
        <w:tc>
          <w:tcPr>
            <w:vAlign w:val="top"/>
          </w:tcPr>
          <w:p w:rsidR="00000000" w:rsidDel="00000000" w:rsidP="00000000" w:rsidRDefault="00000000" w:rsidRPr="00000000" w14:paraId="00000006">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Transition</w:t>
            </w:r>
          </w:p>
          <w:p w:rsidR="00000000" w:rsidDel="00000000" w:rsidP="00000000" w:rsidRDefault="00000000" w:rsidRPr="00000000" w14:paraId="00000007">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From State                To State</w:t>
            </w:r>
          </w:p>
        </w:tc>
        <w:tc>
          <w:tcPr>
            <w:vAlign w:val="top"/>
          </w:tcPr>
          <w:p w:rsidR="00000000" w:rsidDel="00000000" w:rsidP="00000000" w:rsidRDefault="00000000" w:rsidRPr="00000000" w14:paraId="00000008">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Queue after transition</w:t>
            </w:r>
          </w:p>
          <w:p w:rsidR="00000000" w:rsidDel="00000000" w:rsidP="00000000" w:rsidRDefault="00000000" w:rsidRPr="00000000" w14:paraId="00000009">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(if none, enter </w:t>
            </w:r>
            <w:r w:rsidDel="00000000" w:rsidR="00000000" w:rsidRPr="00000000">
              <w:rPr>
                <w:rFonts w:ascii="Arial" w:cs="Arial" w:eastAsia="Arial" w:hAnsi="Arial"/>
                <w:b w:val="1"/>
                <w:vertAlign w:val="baseline"/>
                <w:rtl w:val="0"/>
              </w:rPr>
              <w:t xml:space="preserve">none</w:t>
            </w:r>
            <w:r w:rsidDel="00000000" w:rsidR="00000000" w:rsidRPr="00000000">
              <w:rPr>
                <w:rFonts w:ascii="Arial" w:cs="Arial" w:eastAsia="Arial" w:hAnsi="Arial"/>
                <w:vertAlign w:val="baseline"/>
                <w:rtl w:val="0"/>
              </w:rPr>
              <w:t xml:space="preserve">)</w:t>
            </w:r>
          </w:p>
        </w:tc>
      </w:tr>
      <w:tr>
        <w:trPr>
          <w:cantSplit w:val="0"/>
          <w:trHeight w:val="541" w:hRule="atLeast"/>
          <w:tblHeader w:val="0"/>
        </w:trPr>
        <w:tc>
          <w:tcPr>
            <w:vAlign w:val="top"/>
          </w:tcPr>
          <w:p w:rsidR="00000000" w:rsidDel="00000000" w:rsidP="00000000" w:rsidRDefault="00000000" w:rsidRPr="00000000" w14:paraId="0000000A">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I/O device completes a process’s request </w:t>
            </w:r>
          </w:p>
          <w:p w:rsidR="00000000" w:rsidDel="00000000" w:rsidP="00000000" w:rsidRDefault="00000000" w:rsidRPr="00000000" w14:paraId="0000000B">
            <w:pPr>
              <w:spacing w:after="0" w:line="24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0C">
            <w:pPr>
              <w:spacing w:after="0" w:line="240" w:lineRule="auto"/>
              <w:rPr>
                <w:rFonts w:ascii="Arial" w:cs="Arial" w:eastAsia="Arial" w:hAnsi="Arial"/>
                <w:vertAlign w:val="baseline"/>
              </w:rPr>
            </w:pPr>
            <w:r w:rsidDel="00000000" w:rsidR="00000000" w:rsidRPr="00000000">
              <w:rPr>
                <w:rFonts w:ascii="Arial" w:cs="Arial" w:eastAsia="Arial" w:hAnsi="Arial"/>
                <w:rtl w:val="0"/>
              </w:rPr>
              <w:t xml:space="preserve">Blocked                          Ready</w:t>
            </w:r>
            <w:r w:rsidDel="00000000" w:rsidR="00000000" w:rsidRPr="00000000">
              <w:rPr>
                <w:rtl w:val="0"/>
              </w:rPr>
            </w:r>
          </w:p>
        </w:tc>
        <w:tc>
          <w:tcPr>
            <w:vAlign w:val="top"/>
          </w:tcPr>
          <w:p w:rsidR="00000000" w:rsidDel="00000000" w:rsidP="00000000" w:rsidRDefault="00000000" w:rsidRPr="00000000" w14:paraId="0000000D">
            <w:pPr>
              <w:spacing w:after="0" w:line="240" w:lineRule="auto"/>
              <w:rPr>
                <w:rFonts w:ascii="Arial" w:cs="Arial" w:eastAsia="Arial" w:hAnsi="Arial"/>
                <w:vertAlign w:val="baseline"/>
              </w:rPr>
            </w:pPr>
            <w:r w:rsidDel="00000000" w:rsidR="00000000" w:rsidRPr="00000000">
              <w:rPr>
                <w:rFonts w:ascii="Arial" w:cs="Arial" w:eastAsia="Arial" w:hAnsi="Arial"/>
                <w:rtl w:val="0"/>
              </w:rPr>
              <w:t xml:space="preserve">Ready queue</w:t>
            </w:r>
            <w:r w:rsidDel="00000000" w:rsidR="00000000" w:rsidRPr="00000000">
              <w:rPr>
                <w:rtl w:val="0"/>
              </w:rPr>
            </w:r>
          </w:p>
        </w:tc>
      </w:tr>
      <w:tr>
        <w:trPr>
          <w:cantSplit w:val="0"/>
          <w:trHeight w:val="576" w:hRule="atLeast"/>
          <w:tblHeader w:val="0"/>
        </w:trPr>
        <w:tc>
          <w:tcPr>
            <w:vAlign w:val="top"/>
          </w:tcPr>
          <w:p w:rsidR="00000000" w:rsidDel="00000000" w:rsidP="00000000" w:rsidRDefault="00000000" w:rsidRPr="00000000" w14:paraId="0000000E">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Time quantum expires </w:t>
            </w:r>
          </w:p>
          <w:p w:rsidR="00000000" w:rsidDel="00000000" w:rsidP="00000000" w:rsidRDefault="00000000" w:rsidRPr="00000000" w14:paraId="0000000F">
            <w:pPr>
              <w:spacing w:after="0" w:line="24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10">
            <w:pPr>
              <w:spacing w:after="0" w:line="240" w:lineRule="auto"/>
              <w:rPr>
                <w:rFonts w:ascii="Arial" w:cs="Arial" w:eastAsia="Arial" w:hAnsi="Arial"/>
                <w:vertAlign w:val="baseline"/>
              </w:rPr>
            </w:pPr>
            <w:r w:rsidDel="00000000" w:rsidR="00000000" w:rsidRPr="00000000">
              <w:rPr>
                <w:rFonts w:ascii="Arial" w:cs="Arial" w:eastAsia="Arial" w:hAnsi="Arial"/>
                <w:rtl w:val="0"/>
              </w:rPr>
              <w:t xml:space="preserve">Running</w:t>
            </w:r>
            <w:r w:rsidDel="00000000" w:rsidR="00000000" w:rsidRPr="00000000">
              <w:rPr>
                <w:rFonts w:ascii="Arial" w:cs="Arial" w:eastAsia="Arial" w:hAnsi="Arial"/>
                <w:vertAlign w:val="baseline"/>
                <w:rtl w:val="0"/>
              </w:rPr>
              <w:t xml:space="preserve">                         Ready</w:t>
            </w:r>
          </w:p>
        </w:tc>
        <w:tc>
          <w:tcPr>
            <w:vAlign w:val="top"/>
          </w:tcPr>
          <w:p w:rsidR="00000000" w:rsidDel="00000000" w:rsidP="00000000" w:rsidRDefault="00000000" w:rsidRPr="00000000" w14:paraId="00000011">
            <w:pPr>
              <w:spacing w:after="0" w:line="240" w:lineRule="auto"/>
              <w:rPr>
                <w:rFonts w:ascii="Arial" w:cs="Arial" w:eastAsia="Arial" w:hAnsi="Arial"/>
                <w:vertAlign w:val="baseline"/>
              </w:rPr>
            </w:pPr>
            <w:r w:rsidDel="00000000" w:rsidR="00000000" w:rsidRPr="00000000">
              <w:rPr>
                <w:rFonts w:ascii="Arial" w:cs="Arial" w:eastAsia="Arial" w:hAnsi="Arial"/>
                <w:rtl w:val="0"/>
              </w:rPr>
              <w:t xml:space="preserve">Ready queue</w:t>
            </w:r>
            <w:r w:rsidDel="00000000" w:rsidR="00000000" w:rsidRPr="00000000">
              <w:rPr>
                <w:rtl w:val="0"/>
              </w:rPr>
            </w:r>
          </w:p>
        </w:tc>
      </w:tr>
      <w:tr>
        <w:trPr>
          <w:cantSplit w:val="0"/>
          <w:trHeight w:val="595" w:hRule="atLeast"/>
          <w:tblHeader w:val="0"/>
        </w:trPr>
        <w:tc>
          <w:tcPr>
            <w:vAlign w:val="top"/>
          </w:tcPr>
          <w:p w:rsidR="00000000" w:rsidDel="00000000" w:rsidP="00000000" w:rsidRDefault="00000000" w:rsidRPr="00000000" w14:paraId="00000012">
            <w:pPr>
              <w:spacing w:after="0" w:line="240" w:lineRule="auto"/>
              <w:rPr>
                <w:rFonts w:ascii="Arial" w:cs="Arial" w:eastAsia="Arial" w:hAnsi="Arial"/>
                <w:vertAlign w:val="baseline"/>
              </w:rPr>
            </w:pPr>
            <w:r w:rsidDel="00000000" w:rsidR="00000000" w:rsidRPr="00000000">
              <w:rPr>
                <w:rFonts w:ascii="Arial" w:cs="Arial" w:eastAsia="Arial" w:hAnsi="Arial"/>
                <w:rtl w:val="0"/>
              </w:rPr>
              <w:t xml:space="preserve">Scheduler Dispatch</w:t>
            </w:r>
            <w:r w:rsidDel="00000000" w:rsidR="00000000" w:rsidRPr="00000000">
              <w:rPr>
                <w:rtl w:val="0"/>
              </w:rPr>
            </w:r>
          </w:p>
        </w:tc>
        <w:tc>
          <w:tcPr>
            <w:vAlign w:val="top"/>
          </w:tcPr>
          <w:p w:rsidR="00000000" w:rsidDel="00000000" w:rsidP="00000000" w:rsidRDefault="00000000" w:rsidRPr="00000000" w14:paraId="00000013">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Ready                         Running  </w:t>
            </w:r>
          </w:p>
        </w:tc>
        <w:tc>
          <w:tcPr>
            <w:vAlign w:val="top"/>
          </w:tcPr>
          <w:p w:rsidR="00000000" w:rsidDel="00000000" w:rsidP="00000000" w:rsidRDefault="00000000" w:rsidRPr="00000000" w14:paraId="00000014">
            <w:pPr>
              <w:spacing w:after="0" w:line="240" w:lineRule="auto"/>
              <w:rPr>
                <w:rFonts w:ascii="Arial" w:cs="Arial" w:eastAsia="Arial" w:hAnsi="Arial"/>
                <w:vertAlign w:val="baseline"/>
              </w:rPr>
            </w:pPr>
            <w:r w:rsidDel="00000000" w:rsidR="00000000" w:rsidRPr="00000000">
              <w:rPr>
                <w:rFonts w:ascii="Arial" w:cs="Arial" w:eastAsia="Arial" w:hAnsi="Arial"/>
                <w:rtl w:val="0"/>
              </w:rPr>
              <w:t xml:space="preserve">None</w:t>
            </w:r>
            <w:r w:rsidDel="00000000" w:rsidR="00000000" w:rsidRPr="00000000">
              <w:rPr>
                <w:rtl w:val="0"/>
              </w:rPr>
            </w:r>
          </w:p>
        </w:tc>
      </w:tr>
    </w:tbl>
    <w:p w:rsidR="00000000" w:rsidDel="00000000" w:rsidP="00000000" w:rsidRDefault="00000000" w:rsidRPr="00000000" w14:paraId="0000001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7">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Explanation:</w:t>
      </w:r>
    </w:p>
    <w:p w:rsidR="00000000" w:rsidDel="00000000" w:rsidP="00000000" w:rsidRDefault="00000000" w:rsidRPr="00000000" w14:paraId="00000018">
      <w:pPr>
        <w:numPr>
          <w:ilvl w:val="0"/>
          <w:numId w:val="1"/>
        </w:numPr>
        <w:spacing w:after="240" w:before="240" w:line="240" w:lineRule="auto"/>
        <w:ind w:left="720" w:hanging="360"/>
        <w:rPr>
          <w:rFonts w:ascii="Arial" w:cs="Arial" w:eastAsia="Arial" w:hAnsi="Arial"/>
        </w:rPr>
      </w:pPr>
      <w:r w:rsidDel="00000000" w:rsidR="00000000" w:rsidRPr="00000000">
        <w:rPr>
          <w:rFonts w:ascii="Arial" w:cs="Arial" w:eastAsia="Arial" w:hAnsi="Arial"/>
          <w:b w:val="1"/>
          <w:rtl w:val="0"/>
        </w:rPr>
        <w:t xml:space="preserve">I/O device completes a process’s request</w:t>
      </w:r>
      <w:r w:rsidDel="00000000" w:rsidR="00000000" w:rsidRPr="00000000">
        <w:rPr>
          <w:rFonts w:ascii="Arial" w:cs="Arial" w:eastAsia="Arial" w:hAnsi="Arial"/>
          <w:rtl w:val="0"/>
        </w:rPr>
        <w:t xml:space="preserve">: When an I/O operation completes, the process moves from the Blocked state (waiting for I/O) to the Ready state, and it is placed in the Ready queue.</w:t>
      </w:r>
    </w:p>
    <w:p w:rsidR="00000000" w:rsidDel="00000000" w:rsidP="00000000" w:rsidRDefault="00000000" w:rsidRPr="00000000" w14:paraId="00000019">
      <w:pPr>
        <w:spacing w:after="240" w:before="24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A">
      <w:pPr>
        <w:numPr>
          <w:ilvl w:val="0"/>
          <w:numId w:val="1"/>
        </w:numPr>
        <w:spacing w:after="240" w:before="240" w:line="240" w:lineRule="auto"/>
        <w:ind w:left="720" w:hanging="360"/>
        <w:rPr>
          <w:rFonts w:ascii="Arial" w:cs="Arial" w:eastAsia="Arial" w:hAnsi="Arial"/>
        </w:rPr>
      </w:pPr>
      <w:r w:rsidDel="00000000" w:rsidR="00000000" w:rsidRPr="00000000">
        <w:rPr>
          <w:rFonts w:ascii="Arial" w:cs="Arial" w:eastAsia="Arial" w:hAnsi="Arial"/>
          <w:b w:val="1"/>
          <w:rtl w:val="0"/>
        </w:rPr>
        <w:t xml:space="preserve">Time quantum expires</w:t>
      </w:r>
      <w:r w:rsidDel="00000000" w:rsidR="00000000" w:rsidRPr="00000000">
        <w:rPr>
          <w:rFonts w:ascii="Arial" w:cs="Arial" w:eastAsia="Arial" w:hAnsi="Arial"/>
          <w:rtl w:val="0"/>
        </w:rPr>
        <w:t xml:space="preserve">: When a process's allocated CPU time expires, it moves from the Running state to the Ready state, and it is placed back in the Ready queue to wait for its next turn to execute.</w:t>
      </w:r>
    </w:p>
    <w:p w:rsidR="00000000" w:rsidDel="00000000" w:rsidP="00000000" w:rsidRDefault="00000000" w:rsidRPr="00000000" w14:paraId="0000001B">
      <w:pPr>
        <w:spacing w:after="240" w:before="24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C">
      <w:pPr>
        <w:numPr>
          <w:ilvl w:val="0"/>
          <w:numId w:val="1"/>
        </w:numPr>
        <w:spacing w:after="240" w:before="240" w:line="240" w:lineRule="auto"/>
        <w:ind w:left="720" w:hanging="360"/>
        <w:rPr>
          <w:rFonts w:ascii="Arial" w:cs="Arial" w:eastAsia="Arial" w:hAnsi="Arial"/>
        </w:rPr>
      </w:pPr>
      <w:r w:rsidDel="00000000" w:rsidR="00000000" w:rsidRPr="00000000">
        <w:rPr>
          <w:rFonts w:ascii="Arial" w:cs="Arial" w:eastAsia="Arial" w:hAnsi="Arial"/>
          <w:b w:val="1"/>
          <w:rtl w:val="0"/>
        </w:rPr>
        <w:t xml:space="preserve">Scheduler selects a process to run</w:t>
      </w:r>
      <w:r w:rsidDel="00000000" w:rsidR="00000000" w:rsidRPr="00000000">
        <w:rPr>
          <w:rFonts w:ascii="Arial" w:cs="Arial" w:eastAsia="Arial" w:hAnsi="Arial"/>
          <w:rtl w:val="0"/>
        </w:rPr>
        <w:t xml:space="preserve">: When the scheduler selects a process from the Ready queue to run, it transitions from the Ready state to the Running state. There is no queue after this transition because the process is now executing on the CPU.</w:t>
      </w:r>
    </w:p>
    <w:p w:rsidR="00000000" w:rsidDel="00000000" w:rsidP="00000000" w:rsidRDefault="00000000" w:rsidRPr="00000000" w14:paraId="0000001D">
      <w:pPr>
        <w:spacing w:after="0" w:line="240" w:lineRule="auto"/>
        <w:rPr>
          <w:rFonts w:ascii="Arial" w:cs="Arial" w:eastAsia="Arial" w:hAnsi="Arial"/>
        </w:rPr>
      </w:pPr>
      <w:r w:rsidDel="00000000" w:rsidR="00000000" w:rsidRPr="00000000">
        <w:rPr>
          <w:rtl w:val="0"/>
        </w:rPr>
      </w:r>
    </w:p>
    <w:sectPr>
      <w:footerReference r:id="rId6" w:type="default"/>
      <w:footerReference r:id="rId7" w:type="even"/>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