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5496"/>
          <w:sz w:val="44"/>
        </w:rPr>
        <w:t>Configuration &amp; Commissioning Manual</w:t>
        <w:br/>
      </w:r>
      <w:r>
        <w:rPr>
          <w:color w:val="646464"/>
          <w:sz w:val="28"/>
        </w:rPr>
        <w:t>Omron E2E-NEXT Series IO-Link Proximity Sensor (E2E-X16MB1T12)</w:t>
      </w:r>
    </w:p>
    <w:p>
      <w:r>
        <w:br/>
      </w:r>
    </w:p>
    <w:p>
      <w:pPr>
        <w:pStyle w:val="Heading1"/>
      </w:pPr>
      <w:r>
        <w:rPr>
          <w:color w:val="005496"/>
        </w:rPr>
        <w:t>1. System Overview</w:t>
      </w:r>
    </w:p>
    <w:p>
      <w:r>
        <w:t>This manual outlines the configuration, data mapping, and commissioning process for the Omron E2E-X16MB1T12 proximity sensor operating in IO-Link mode. The guide is structured to assist in integrating smart sensors into industrial automation training systems, providing clear documentation suitable for BTEC and Higher National engineering modules.</w:t>
      </w:r>
    </w:p>
    <w:p>
      <w:pPr>
        <w:pStyle w:val="Heading1"/>
      </w:pPr>
      <w:r>
        <w:rPr>
          <w:color w:val="005496"/>
        </w:rPr>
        <w:t>2. TIA Portal Hardware Configuration</w:t>
      </w:r>
    </w:p>
    <w:p>
      <w:r>
        <w:t>When assigning the sensor to an IO-Link master (e.g., AL1350 or AL1300) in Siemens TIA Portal, the correct submodule must be selected to match the sensor's Process Data (PD) size.</w:t>
      </w:r>
    </w:p>
    <w:p>
      <w:pPr>
        <w:pStyle w:val="ListBullet"/>
      </w:pPr>
      <w:r>
        <w:t>Navigate to the hardware catalog for the configured IO-Link Master.</w:t>
      </w:r>
    </w:p>
    <w:p>
      <w:pPr>
        <w:pStyle w:val="ListBullet"/>
      </w:pPr>
      <w:r>
        <w:rPr>
          <w:b w:val="0"/>
        </w:rPr>
        <w:t xml:space="preserve">Expand the </w:t>
      </w:r>
      <w:r>
        <w:rPr>
          <w:b/>
        </w:rPr>
        <w:t>IO-Link Input + PQI</w:t>
      </w:r>
      <w:r>
        <w:t xml:space="preserve"> folder.</w:t>
      </w:r>
    </w:p>
    <w:p>
      <w:pPr>
        <w:pStyle w:val="ListBullet"/>
      </w:pPr>
      <w:r>
        <w:rPr>
          <w:b w:val="0"/>
        </w:rPr>
        <w:t xml:space="preserve">Select the submodule: </w:t>
      </w:r>
      <w:r>
        <w:rPr>
          <w:b/>
        </w:rPr>
        <w:t>IO-Link In 2 Byte + PQI</w:t>
      </w:r>
      <w:r>
        <w:t xml:space="preserve"> (This matches the 2-byte specification in the Omron IODD file).</w:t>
      </w:r>
    </w:p>
    <w:p>
      <w:pPr>
        <w:pStyle w:val="ListBullet"/>
      </w:pPr>
      <w:r>
        <w:t>Assign the port to an available I-address block (e.g., %IB3...%IB5).</w:t>
      </w:r>
    </w:p>
    <w:p>
      <w:r>
        <w:br/>
      </w:r>
    </w:p>
    <w:p>
      <w:pPr>
        <w:pStyle w:val="Heading1"/>
      </w:pPr>
      <w:r>
        <w:rPr>
          <w:color w:val="005496"/>
        </w:rPr>
        <w:t>3. Process Data (Cyclic) Mapping</w:t>
      </w:r>
    </w:p>
    <w:p>
      <w:r>
        <w:t>The E2E-NEXT series transmits 2 bytes of process data. Siemens natively handles Big-Endian byte ordering, meaning the high byte (Monitor Output) arrives first. The data maps sequentially into the reserved input address block.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Address / Bit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 Description</w:t>
            </w:r>
          </w:p>
        </w:tc>
      </w:tr>
      <w:tr>
        <w:tc>
          <w:tcPr>
            <w:tcW w:type="dxa" w:w="2880"/>
          </w:tcPr>
          <w:p>
            <w:r>
              <w:t>Byte 0 (e.g., %IB3)</w:t>
            </w:r>
          </w:p>
        </w:tc>
        <w:tc>
          <w:tcPr>
            <w:tcW w:type="dxa" w:w="2880"/>
          </w:tcPr>
          <w:p>
            <w:r>
              <w:t>USInt (8-bit)</w:t>
            </w:r>
          </w:p>
        </w:tc>
        <w:tc>
          <w:tcPr>
            <w:tcW w:type="dxa" w:w="2880"/>
          </w:tcPr>
          <w:p>
            <w:r>
              <w:t>Monitor Output (Raw detection distance 0-255)</w:t>
            </w:r>
          </w:p>
        </w:tc>
      </w:tr>
      <w:tr>
        <w:tc>
          <w:tcPr>
            <w:tcW w:type="dxa" w:w="2880"/>
          </w:tcPr>
          <w:p>
            <w:r>
              <w:t>Byte 1, Bit 0 (e.g., %I4.0)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Switching State (Main NO/NC target detection)</w:t>
            </w:r>
          </w:p>
        </w:tc>
      </w:tr>
      <w:tr>
        <w:tc>
          <w:tcPr>
            <w:tcW w:type="dxa" w:w="2880"/>
          </w:tcPr>
          <w:p>
            <w:r>
              <w:t>Byte 1, Bit 4 (e.g., %I4.4)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Instability Detection (Target on edge of range)</w:t>
            </w:r>
          </w:p>
        </w:tc>
      </w:tr>
      <w:tr>
        <w:tc>
          <w:tcPr>
            <w:tcW w:type="dxa" w:w="2880"/>
          </w:tcPr>
          <w:p>
            <w:r>
              <w:t>Byte 1, Bit 5 (e.g., %I4.5)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Excessive Proximity (Target dangerously close)</w:t>
            </w:r>
          </w:p>
        </w:tc>
      </w:tr>
      <w:tr>
        <w:tc>
          <w:tcPr>
            <w:tcW w:type="dxa" w:w="2880"/>
          </w:tcPr>
          <w:p>
            <w:r>
              <w:t>Byte 2 (e.g., %IB5)</w:t>
            </w:r>
          </w:p>
        </w:tc>
        <w:tc>
          <w:tcPr>
            <w:tcW w:type="dxa" w:w="2880"/>
          </w:tcPr>
          <w:p>
            <w:r>
              <w:t>Byte</w:t>
            </w:r>
          </w:p>
        </w:tc>
        <w:tc>
          <w:tcPr>
            <w:tcW w:type="dxa" w:w="2880"/>
          </w:tcPr>
          <w:p>
            <w:r>
              <w:t>PQI (Port Quality Info) from IO-Link Master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5496"/>
        </w:rPr>
        <w:t>4. PLC Data Type (UDT) Implementation</w:t>
      </w:r>
    </w:p>
    <w:p>
      <w:r>
        <w:t>To ensure clean integration with SCL or Ladder logic, a custom UDT should be created. This unpacks the raw byte data into strictly typed, named variables.</w:t>
      </w:r>
    </w:p>
    <w:p>
      <w:pPr>
        <w:pStyle w:val="NoSpacing"/>
      </w:pPr>
      <w:r>
        <w:rPr>
          <w:rFonts w:ascii="Courier New" w:hAnsi="Courier New"/>
          <w:sz w:val="20"/>
        </w:rPr>
        <w:t>TYPE "Omron_E2E_IOLink"</w:t>
        <w:br/>
      </w:r>
      <w:r>
        <w:rPr>
          <w:rFonts w:ascii="Courier New" w:hAnsi="Courier New"/>
          <w:sz w:val="20"/>
        </w:rPr>
        <w:t>STRUCT</w:t>
        <w:br/>
      </w:r>
      <w:r>
        <w:rPr>
          <w:rFonts w:ascii="Courier New" w:hAnsi="Courier New"/>
          <w:sz w:val="20"/>
        </w:rPr>
        <w:t xml:space="preserve">   Monitor_Output      : USInt;</w:t>
        <w:br/>
      </w:r>
      <w:r>
        <w:rPr>
          <w:rFonts w:ascii="Courier New" w:hAnsi="Courier New"/>
          <w:sz w:val="20"/>
        </w:rPr>
        <w:t xml:space="preserve">   Switching_State     : Bool;</w:t>
        <w:br/>
      </w:r>
      <w:r>
        <w:rPr>
          <w:rFonts w:ascii="Courier New" w:hAnsi="Courier New"/>
          <w:sz w:val="20"/>
        </w:rPr>
        <w:t xml:space="preserve">   Spare_1             : Bool;</w:t>
        <w:br/>
      </w:r>
      <w:r>
        <w:rPr>
          <w:rFonts w:ascii="Courier New" w:hAnsi="Courier New"/>
          <w:sz w:val="20"/>
        </w:rPr>
        <w:t xml:space="preserve">   Spare_2             : Bool;</w:t>
        <w:br/>
      </w:r>
      <w:r>
        <w:rPr>
          <w:rFonts w:ascii="Courier New" w:hAnsi="Courier New"/>
          <w:sz w:val="20"/>
        </w:rPr>
        <w:t xml:space="preserve">   Spare_3             : Bool;</w:t>
        <w:br/>
      </w:r>
      <w:r>
        <w:rPr>
          <w:rFonts w:ascii="Courier New" w:hAnsi="Courier New"/>
          <w:sz w:val="20"/>
        </w:rPr>
        <w:t xml:space="preserve">   Instability_Warning : Bool;</w:t>
        <w:br/>
      </w:r>
      <w:r>
        <w:rPr>
          <w:rFonts w:ascii="Courier New" w:hAnsi="Courier New"/>
          <w:sz w:val="20"/>
        </w:rPr>
        <w:t xml:space="preserve">   Excessive_Proximity : Bool;</w:t>
        <w:br/>
      </w:r>
      <w:r>
        <w:rPr>
          <w:rFonts w:ascii="Courier New" w:hAnsi="Courier New"/>
          <w:sz w:val="20"/>
        </w:rPr>
        <w:t xml:space="preserve">   Spare_4             : Bool;</w:t>
        <w:br/>
      </w:r>
      <w:r>
        <w:rPr>
          <w:rFonts w:ascii="Courier New" w:hAnsi="Courier New"/>
          <w:sz w:val="20"/>
        </w:rPr>
        <w:t xml:space="preserve">   Spare_5             : Bool;</w:t>
        <w:br/>
      </w:r>
      <w:r>
        <w:rPr>
          <w:rFonts w:ascii="Courier New" w:hAnsi="Courier New"/>
          <w:sz w:val="20"/>
        </w:rPr>
        <w:t>END_STRUCT;</w:t>
        <w:br/>
      </w:r>
      <w:r>
        <w:rPr>
          <w:rFonts w:ascii="Courier New" w:hAnsi="Courier New"/>
          <w:sz w:val="20"/>
        </w:rPr>
        <w:t>END_TYPE</w:t>
        <w:br/>
      </w:r>
    </w:p>
    <w:p>
      <w:r>
        <w:br/>
        <w:t>Once created, apply this UDT to the first input byte of the port (e.g., %I3.0) in the PLC Tags table.</w:t>
      </w:r>
    </w:p>
    <w:p>
      <w:pPr>
        <w:pStyle w:val="Heading1"/>
      </w:pPr>
      <w:r>
        <w:rPr>
          <w:color w:val="005496"/>
        </w:rPr>
        <w:t>5. Parameterization (Acyclic Data)</w:t>
      </w:r>
    </w:p>
    <w:p>
      <w:r>
        <w:t>Unlike standard digital inputs, IO-Link sensors allow parameters (such as the detection threshold or NO/NC logic) to be changed remotely via Acyclic Data.</w:t>
      </w:r>
    </w:p>
    <w:p>
      <w:pPr>
        <w:pStyle w:val="ListBullet"/>
      </w:pPr>
      <w:r>
        <w:rPr>
          <w:b/>
        </w:rPr>
        <w:t xml:space="preserve">Static Commissioning: </w:t>
      </w:r>
      <w:r>
        <w:t>Use the Siemens S7-PCT (Port Configuration Tool) plugin. Import the Omron IODD XML file, select the port, and manually adjust the switchpoint via the graphical interface.</w:t>
      </w:r>
    </w:p>
    <w:p>
      <w:pPr>
        <w:pStyle w:val="ListBullet"/>
      </w:pPr>
      <w:r>
        <w:rPr>
          <w:b/>
        </w:rPr>
        <w:t xml:space="preserve">Dynamic Adjustment: </w:t>
      </w:r>
      <w:r>
        <w:t>Use the IO_LINK_DEVICE standard function block in TIA Portal to write to the sensor's parameter indexes (ISDU). This allows operators to change sensor ranges dynamically from a WinCC Unified HMI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00D20EB89F054BB8A3C13FF5958743" ma:contentTypeVersion="11" ma:contentTypeDescription="Create a new document." ma:contentTypeScope="" ma:versionID="a1a71f03fc49780972f56ad48cfee58d">
  <xsd:schema xmlns:xsd="http://www.w3.org/2001/XMLSchema" xmlns:xs="http://www.w3.org/2001/XMLSchema" xmlns:p="http://schemas.microsoft.com/office/2006/metadata/properties" xmlns:ns2="879b2824-5853-478f-adf4-b6ca68c52461" xmlns:ns3="c6f81e2d-8e11-48a5-a1e8-b2ab2cd23881" targetNamespace="http://schemas.microsoft.com/office/2006/metadata/properties" ma:root="true" ma:fieldsID="d91c0e80b1c2a37fa45a546f702fc599" ns2:_="" ns3:_="">
    <xsd:import namespace="879b2824-5853-478f-adf4-b6ca68c52461"/>
    <xsd:import namespace="c6f81e2d-8e11-48a5-a1e8-b2ab2cd238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b2824-5853-478f-adf4-b6ca68c52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19d5f47-ab2f-45d2-92b0-c169c27bd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f81e2d-8e11-48a5-a1e8-b2ab2cd2388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c24aa1-92eb-467c-8f48-19e6a48a8154}" ma:internalName="TaxCatchAll" ma:showField="CatchAllData" ma:web="c6f81e2d-8e11-48a5-a1e8-b2ab2cd238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f81e2d-8e11-48a5-a1e8-b2ab2cd23881" xsi:nil="true"/>
    <lcf76f155ced4ddcb4097134ff3c332f xmlns="879b2824-5853-478f-adf4-b6ca68c524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15AE45-DF6F-4BBD-A4A0-14296467592A}"/>
</file>

<file path=customXml/itemProps3.xml><?xml version="1.0" encoding="utf-8"?>
<ds:datastoreItem xmlns:ds="http://schemas.openxmlformats.org/officeDocument/2006/customXml" ds:itemID="{78A7A0CF-39A7-491E-9DC2-DECB6A51856B}"/>
</file>

<file path=customXml/itemProps4.xml><?xml version="1.0" encoding="utf-8"?>
<ds:datastoreItem xmlns:ds="http://schemas.openxmlformats.org/officeDocument/2006/customXml" ds:itemID="{46E94690-9D82-4874-8658-3144178354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0x010100B800D20EB89F054BB8A3C13FF5958743</vt:lpwstr>
  </property>
</Properties>
</file>