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32"/>
          <w:szCs w:val="32"/>
        </w:rPr>
        <w:t xml:space="preserve">PENJELASAN TINDAKAN KATETERISASI JANTUNG</w:t>
      </w:r>
    </w:p>
    <w:p>
      <w:pPr>
        <w:spacing w:after="60"/>
        <w:jc w:val="center"/>
      </w:pPr>
      <w:r>
        <w:rPr>
          <w:color w:val="2E75B6"/>
          <w:sz w:val="24"/>
          <w:szCs w:val="24"/>
        </w:rPr>
        <w:t xml:space="preserve">Pemasangan 4 Stent (Drug-Eluting Stent) pada Left Main Bifurcation</w:t>
      </w:r>
    </w:p>
    <w:p>
      <w:pPr>
        <w:pBdr>
          <w:bottom w:val="single" w:color="1F4E79" w:sz="8" w:space="4"/>
        </w:pBdr>
        <w:spacing w:after="360"/>
        <w:jc w:val="center"/>
      </w:pPr>
      <w:r>
        <w:rPr>
          <w:i/>
          <w:iCs/>
          <w:color w:val="595959"/>
          <w:sz w:val="20"/>
          <w:szCs w:val="20"/>
        </w:rPr>
        <w:t xml:space="preserve">RSUP dr. Hasan Sadikin Bandung  –  15 April 2026</w:t>
      </w:r>
    </w:p>
    <w:p>
      <w:pPr>
        <w:pStyle w:val="Heading1"/>
        <w:spacing w:after="180" w:before="360"/>
      </w:pPr>
      <w:r>
        <w:rPr>
          <w:b/>
          <w:bCs/>
          <w:color w:val="1F4E79"/>
          <w:sz w:val="30"/>
          <w:szCs w:val="30"/>
        </w:rPr>
        <w:t xml:space="preserve">Identitas Pasien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4"/>
              <w:left w:val="single" w:color="B0B0B0" w:sz="4"/>
              <w:bottom w:val="single" w:color="B0B0B0" w:sz="4"/>
              <w:right w:val="single" w:color="B0B0B0" w:sz="4"/>
            </w:tcBorders>
            <w:shd w:fill="DEEBF7" w:val="clear"/>
            <w:tcMar>
              <w:top w:type="dxa" w:w="100"/>
              <w:left w:type="dxa" w:w="140"/>
              <w:bottom w:type="dxa" w:w="100"/>
              <w:right w:type="dxa" w:w="140"/>
            </w:tcMar>
          </w:tcPr>
          <w:p>
            <w:pPr>
              <w:jc w:val="left"/>
            </w:pPr>
            <w:r>
              <w:rPr>
                <w:b/>
                <w:bCs/>
                <w:sz w:val="22"/>
                <w:szCs w:val="22"/>
              </w:rPr>
              <w:t xml:space="preserve">Nama Pasien</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Tn. Sumarna</w:t>
            </w:r>
          </w:p>
        </w:tc>
      </w:tr>
      <w:tr>
        <w:tc>
          <w:tcPr>
            <w:tcW w:type="dxa" w:w="3000"/>
            <w:tcBorders>
              <w:top w:val="single" w:color="B0B0B0" w:sz="4"/>
              <w:left w:val="single" w:color="B0B0B0" w:sz="4"/>
              <w:bottom w:val="single" w:color="B0B0B0" w:sz="4"/>
              <w:right w:val="single" w:color="B0B0B0" w:sz="4"/>
            </w:tcBorders>
            <w:shd w:fill="DEEBF7" w:val="clear"/>
            <w:tcMar>
              <w:top w:type="dxa" w:w="100"/>
              <w:left w:type="dxa" w:w="140"/>
              <w:bottom w:type="dxa" w:w="100"/>
              <w:right w:type="dxa" w:w="140"/>
            </w:tcMar>
          </w:tcPr>
          <w:p>
            <w:pPr>
              <w:jc w:val="left"/>
            </w:pPr>
            <w:r>
              <w:rPr>
                <w:b/>
                <w:bCs/>
                <w:sz w:val="22"/>
                <w:szCs w:val="22"/>
              </w:rPr>
              <w:t xml:space="preserve">Usia</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66 tahun</w:t>
            </w:r>
          </w:p>
        </w:tc>
      </w:tr>
      <w:tr>
        <w:tc>
          <w:tcPr>
            <w:tcW w:type="dxa" w:w="3000"/>
            <w:tcBorders>
              <w:top w:val="single" w:color="B0B0B0" w:sz="4"/>
              <w:left w:val="single" w:color="B0B0B0" w:sz="4"/>
              <w:bottom w:val="single" w:color="B0B0B0" w:sz="4"/>
              <w:right w:val="single" w:color="B0B0B0" w:sz="4"/>
            </w:tcBorders>
            <w:shd w:fill="DEEBF7" w:val="clear"/>
            <w:tcMar>
              <w:top w:type="dxa" w:w="100"/>
              <w:left w:type="dxa" w:w="140"/>
              <w:bottom w:type="dxa" w:w="100"/>
              <w:right w:type="dxa" w:w="140"/>
            </w:tcMar>
          </w:tcPr>
          <w:p>
            <w:pPr>
              <w:jc w:val="left"/>
            </w:pPr>
            <w:r>
              <w:rPr>
                <w:b/>
                <w:bCs/>
                <w:sz w:val="22"/>
                <w:szCs w:val="22"/>
              </w:rPr>
              <w:t xml:space="preserve">No. Rekam Medis</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0002386490</w:t>
            </w:r>
          </w:p>
        </w:tc>
      </w:tr>
      <w:tr>
        <w:tc>
          <w:tcPr>
            <w:tcW w:type="dxa" w:w="3000"/>
            <w:tcBorders>
              <w:top w:val="single" w:color="B0B0B0" w:sz="4"/>
              <w:left w:val="single" w:color="B0B0B0" w:sz="4"/>
              <w:bottom w:val="single" w:color="B0B0B0" w:sz="4"/>
              <w:right w:val="single" w:color="B0B0B0" w:sz="4"/>
            </w:tcBorders>
            <w:shd w:fill="DEEBF7" w:val="clear"/>
            <w:tcMar>
              <w:top w:type="dxa" w:w="100"/>
              <w:left w:type="dxa" w:w="140"/>
              <w:bottom w:type="dxa" w:w="100"/>
              <w:right w:type="dxa" w:w="140"/>
            </w:tcMar>
          </w:tcPr>
          <w:p>
            <w:pPr>
              <w:jc w:val="left"/>
            </w:pPr>
            <w:r>
              <w:rPr>
                <w:b/>
                <w:bCs/>
                <w:sz w:val="22"/>
                <w:szCs w:val="22"/>
              </w:rPr>
              <w:t xml:space="preserve">Tanggal Tindakan</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15 April 2026</w:t>
            </w:r>
          </w:p>
        </w:tc>
      </w:tr>
      <w:tr>
        <w:tc>
          <w:tcPr>
            <w:tcW w:type="dxa" w:w="3000"/>
            <w:tcBorders>
              <w:top w:val="single" w:color="B0B0B0" w:sz="4"/>
              <w:left w:val="single" w:color="B0B0B0" w:sz="4"/>
              <w:bottom w:val="single" w:color="B0B0B0" w:sz="4"/>
              <w:right w:val="single" w:color="B0B0B0" w:sz="4"/>
            </w:tcBorders>
            <w:shd w:fill="DEEBF7" w:val="clear"/>
            <w:tcMar>
              <w:top w:type="dxa" w:w="100"/>
              <w:left w:type="dxa" w:w="140"/>
              <w:bottom w:type="dxa" w:w="100"/>
              <w:right w:type="dxa" w:w="140"/>
            </w:tcMar>
          </w:tcPr>
          <w:p>
            <w:pPr>
              <w:jc w:val="left"/>
            </w:pPr>
            <w:r>
              <w:rPr>
                <w:b/>
                <w:bCs/>
                <w:sz w:val="22"/>
                <w:szCs w:val="22"/>
              </w:rPr>
              <w:t xml:space="preserve">Rumah Sakit</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RSUP dr. Hasan Sadikin Bandung (Cathlab 3)</w:t>
            </w:r>
          </w:p>
        </w:tc>
      </w:tr>
      <w:tr>
        <w:tc>
          <w:tcPr>
            <w:tcW w:type="dxa" w:w="3000"/>
            <w:tcBorders>
              <w:top w:val="single" w:color="B0B0B0" w:sz="4"/>
              <w:left w:val="single" w:color="B0B0B0" w:sz="4"/>
              <w:bottom w:val="single" w:color="B0B0B0" w:sz="4"/>
              <w:right w:val="single" w:color="B0B0B0" w:sz="4"/>
            </w:tcBorders>
            <w:shd w:fill="DEEBF7" w:val="clear"/>
            <w:tcMar>
              <w:top w:type="dxa" w:w="100"/>
              <w:left w:type="dxa" w:w="140"/>
              <w:bottom w:type="dxa" w:w="100"/>
              <w:right w:type="dxa" w:w="140"/>
            </w:tcMar>
          </w:tcPr>
          <w:p>
            <w:pPr>
              <w:jc w:val="left"/>
            </w:pPr>
            <w:r>
              <w:rPr>
                <w:b/>
                <w:bCs/>
                <w:sz w:val="22"/>
                <w:szCs w:val="22"/>
              </w:rPr>
              <w:t xml:space="preserve">Dokter Operator</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dr. Dendi Puji Wahyudi, SpJP(K)</w:t>
            </w:r>
          </w:p>
        </w:tc>
      </w:tr>
      <w:tr>
        <w:tc>
          <w:tcPr>
            <w:tcW w:type="dxa" w:w="3000"/>
            <w:tcBorders>
              <w:top w:val="single" w:color="B0B0B0" w:sz="4"/>
              <w:left w:val="single" w:color="B0B0B0" w:sz="4"/>
              <w:bottom w:val="single" w:color="B0B0B0" w:sz="4"/>
              <w:right w:val="single" w:color="B0B0B0" w:sz="4"/>
            </w:tcBorders>
            <w:shd w:fill="DEEBF7" w:val="clear"/>
            <w:tcMar>
              <w:top w:type="dxa" w:w="100"/>
              <w:left w:type="dxa" w:w="140"/>
              <w:bottom w:type="dxa" w:w="100"/>
              <w:right w:type="dxa" w:w="140"/>
            </w:tcMar>
          </w:tcPr>
          <w:p>
            <w:pPr>
              <w:jc w:val="left"/>
            </w:pPr>
            <w:r>
              <w:rPr>
                <w:b/>
                <w:bCs/>
                <w:sz w:val="22"/>
                <w:szCs w:val="22"/>
              </w:rPr>
              <w:t xml:space="preserve">Diagnosis</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Penyakit jantung koroner kronis (Chronic Ischaemic Heart Disease)</w:t>
            </w:r>
          </w:p>
        </w:tc>
      </w:tr>
      <w:tr>
        <w:tc>
          <w:tcPr>
            <w:tcW w:type="dxa" w:w="3000"/>
            <w:tcBorders>
              <w:top w:val="single" w:color="B0B0B0" w:sz="4"/>
              <w:left w:val="single" w:color="B0B0B0" w:sz="4"/>
              <w:bottom w:val="single" w:color="B0B0B0" w:sz="4"/>
              <w:right w:val="single" w:color="B0B0B0" w:sz="4"/>
            </w:tcBorders>
            <w:shd w:fill="DEEBF7" w:val="clear"/>
            <w:tcMar>
              <w:top w:type="dxa" w:w="100"/>
              <w:left w:type="dxa" w:w="140"/>
              <w:bottom w:type="dxa" w:w="100"/>
              <w:right w:type="dxa" w:w="140"/>
            </w:tcMar>
          </w:tcPr>
          <w:p>
            <w:pPr>
              <w:jc w:val="left"/>
            </w:pPr>
            <w:r>
              <w:rPr>
                <w:b/>
                <w:bCs/>
                <w:sz w:val="22"/>
                <w:szCs w:val="22"/>
              </w:rPr>
              <w:t xml:space="preserve">Jenis Tindakan</w:t>
            </w:r>
          </w:p>
        </w:tc>
        <w:tc>
          <w:tcPr>
            <w:tcW w:type="dxa" w:w="63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PCI + IVUS + 4 DES di 2 pembuluh darah</w:t>
            </w:r>
          </w:p>
        </w:tc>
      </w:tr>
    </w:tbl>
    <w:p>
      <w:pPr>
        <w:spacing w:after="120"/>
      </w:pPr>
      <w:r>
        <w:t xml:space="preserve"/>
      </w:r>
    </w:p>
    <w:p>
      <w:pPr>
        <w:pStyle w:val="Heading1"/>
        <w:spacing w:after="180" w:before="360"/>
      </w:pPr>
      <w:r>
        <w:rPr>
          <w:b/>
          <w:bCs/>
          <w:color w:val="1F4E79"/>
          <w:sz w:val="30"/>
          <w:szCs w:val="30"/>
        </w:rPr>
        <w:t xml:space="preserve">1. Gambaran Singkat Kondisi Pasien</w:t>
      </w:r>
    </w:p>
    <w:p>
      <w:pPr>
        <w:spacing w:after="120" w:line="300"/>
        <w:jc w:val="both"/>
      </w:pPr>
      <w:r>
        <w:rPr>
          <w:sz w:val="22"/>
          <w:szCs w:val="22"/>
        </w:rPr>
        <w:t xml:space="preserve">Pasien adalah penderita penyakit jantung koroner kronis, yaitu kondisi di mana pembuluh darah yang memberi makan otot jantung mengalami penyempitan akibat timbunan plak (aterosklerosis). Pasien memiliki riwayat panjang dengan dua tindakan sebelumnya:</w:t>
      </w:r>
    </w:p>
    <w:p>
      <w:pPr>
        <w:pStyle w:val="ListParagraph"/>
        <w:numPr>
          <w:ilvl w:val="0"/>
          <w:numId w:val="2"/>
        </w:numPr>
        <w:spacing w:after="80" w:line="300"/>
        <w:jc w:val="both"/>
      </w:pPr>
      <w:r>
        <w:rPr>
          <w:b/>
          <w:bCs/>
          <w:sz w:val="22"/>
          <w:szCs w:val="22"/>
        </w:rPr>
        <w:t xml:space="preserve">Januari 2025: </w:t>
      </w:r>
      <w:r>
        <w:rPr>
          <w:sz w:val="22"/>
          <w:szCs w:val="22"/>
        </w:rPr>
        <w:t xml:space="preserve">pemasangan 1 stent (DES) di RCA (pembuluh darah jantung kanan)</w:t>
      </w:r>
    </w:p>
    <w:p>
      <w:pPr>
        <w:pStyle w:val="ListParagraph"/>
        <w:numPr>
          <w:ilvl w:val="0"/>
          <w:numId w:val="2"/>
        </w:numPr>
        <w:spacing w:after="80" w:line="300"/>
        <w:jc w:val="both"/>
      </w:pPr>
      <w:r>
        <w:rPr>
          <w:b/>
          <w:bCs/>
          <w:sz w:val="22"/>
          <w:szCs w:val="22"/>
        </w:rPr>
        <w:t xml:space="preserve">Oktober 2025: </w:t>
      </w:r>
      <w:r>
        <w:rPr>
          <w:sz w:val="22"/>
          <w:szCs w:val="22"/>
        </w:rPr>
        <w:t xml:space="preserve">tindakan balon berlapis obat (DCB) di RCA</w:t>
      </w:r>
    </w:p>
    <w:p>
      <w:pPr>
        <w:spacing w:after="120" w:line="300"/>
        <w:jc w:val="both"/>
      </w:pPr>
      <w:r>
        <w:rPr>
          <w:sz w:val="22"/>
          <w:szCs w:val="22"/>
        </w:rPr>
        <w:t xml:space="preserve">Pada tindakan ke-3 ini, masalah utama berada di LAD (pembuluh darah besar di bagian depan jantung) yang mengalami penyumbatan total (Chronic Total Occlusion / CTO) dan menjalar ke Left Main (LM) — pembuluh induk utama yang bercabang menjadi LAD dan LCx. Kondisi seperti ini tergolong kompleks karena melibatkan "persimpangan" pembuluh utama jantung yang menyuplai sebagian besar otot jantung.</w:t>
      </w:r>
    </w:p>
    <w:p>
      <w:pPr>
        <w:spacing w:after="120" w:line="300"/>
        <w:jc w:val="both"/>
      </w:pPr>
      <w:r>
        <w:rPr>
          <w:b/>
          <w:bCs/>
          <w:sz w:val="22"/>
          <w:szCs w:val="22"/>
        </w:rPr>
        <w:t xml:space="preserve">Faktor risiko yang tercatat: </w:t>
      </w:r>
      <w:r>
        <w:rPr>
          <w:sz w:val="22"/>
          <w:szCs w:val="22"/>
        </w:rPr>
        <w:t xml:space="preserve">pasien adalah perokok aktif (smoker +). Hal ini menjadi faktor utama yang mempercepat progresivitas penyakit.</w:t>
      </w:r>
    </w:p>
    <w:p>
      <w:pPr>
        <w:pStyle w:val="Heading1"/>
        <w:spacing w:after="180" w:before="360"/>
      </w:pPr>
      <w:r>
        <w:rPr>
          <w:b/>
          <w:bCs/>
          <w:color w:val="1F4E79"/>
          <w:sz w:val="30"/>
          <w:szCs w:val="30"/>
        </w:rPr>
        <w:t xml:space="preserve">2. Tindakan yang Telah Dilakukan</w:t>
      </w:r>
    </w:p>
    <w:p>
      <w:pPr>
        <w:spacing w:after="120" w:line="300"/>
        <w:jc w:val="both"/>
      </w:pPr>
      <w:r>
        <w:rPr>
          <w:sz w:val="22"/>
          <w:szCs w:val="22"/>
        </w:rPr>
        <w:t xml:space="preserve">Tindakan yang dilakukan disebut PCI + IVUS + 4 DES di 2 pembuluh darah, dengan penjelasan sebagai berikut:</w:t>
      </w:r>
    </w:p>
    <w:p>
      <w:pPr>
        <w:pStyle w:val="Heading2"/>
        <w:spacing w:after="120" w:before="240"/>
      </w:pPr>
      <w:r>
        <w:rPr>
          <w:b/>
          <w:bCs/>
          <w:color w:val="2E75B6"/>
          <w:sz w:val="26"/>
          <w:szCs w:val="26"/>
        </w:rPr>
        <w:t xml:space="preserve">a. PCI (Percutaneous Coronary Intervention)</w:t>
      </w:r>
    </w:p>
    <w:p>
      <w:pPr>
        <w:spacing w:after="120" w:line="300"/>
        <w:jc w:val="both"/>
      </w:pPr>
      <w:r>
        <w:rPr>
          <w:sz w:val="22"/>
          <w:szCs w:val="22"/>
        </w:rPr>
        <w:t xml:space="preserve">Tindakan pelebaran pembuluh darah jantung yang menyempit menggunakan kateter, tanpa operasi bedah terbuka. Akses masuk melalui pergelangan tangan kanan (radialis kanan) menggunakan glide sheath 7 Fr.</w:t>
      </w:r>
    </w:p>
    <w:p>
      <w:pPr>
        <w:pStyle w:val="Heading2"/>
        <w:spacing w:after="120" w:before="240"/>
      </w:pPr>
      <w:r>
        <w:rPr>
          <w:b/>
          <w:bCs/>
          <w:color w:val="2E75B6"/>
          <w:sz w:val="26"/>
          <w:szCs w:val="26"/>
        </w:rPr>
        <w:t xml:space="preserve">b. IVUS (Intravascular Ultrasound)</w:t>
      </w:r>
    </w:p>
    <w:p>
      <w:pPr>
        <w:spacing w:after="120" w:line="300"/>
        <w:jc w:val="both"/>
      </w:pPr>
      <w:r>
        <w:rPr>
          <w:sz w:val="22"/>
          <w:szCs w:val="22"/>
        </w:rPr>
        <w:t xml:space="preserve">Semacam "USG dari dalam pembuluh darah" menggunakan kateter Opticross. Fungsinya untuk melihat detail penyempitan, tingkat kalsifikasi, diameter pembuluh, dan memastikan stent terpasang sempurna (mengembang baik dan menempel sempurna pada dinding pembuluh). Tindakan ini disebut IVUS-guided PCI dan merupakan standar tertinggi dalam kualitas PCI modern.</w:t>
      </w:r>
    </w:p>
    <w:p>
      <w:pPr>
        <w:pStyle w:val="Heading2"/>
        <w:spacing w:after="120" w:before="240"/>
      </w:pPr>
      <w:r>
        <w:rPr>
          <w:b/>
          <w:bCs/>
          <w:color w:val="2E75B6"/>
          <w:sz w:val="26"/>
          <w:szCs w:val="26"/>
        </w:rPr>
        <w:t xml:space="preserve">c. Teknik DK-Crush (Double Kissing Crush)</w:t>
      </w:r>
    </w:p>
    <w:p>
      <w:pPr>
        <w:spacing w:after="120" w:line="300"/>
        <w:jc w:val="both"/>
      </w:pPr>
      <w:r>
        <w:rPr>
          <w:sz w:val="22"/>
          <w:szCs w:val="22"/>
        </w:rPr>
        <w:t xml:space="preserve">Teknik khusus untuk memasang stent di daerah percabangan (bifurkasi) Left Main — salah satu teknik paling rumit dalam PCI. Teknik ini memastikan kedua cabang pembuluh (LAD dan LCx) tetap terbuka sempurna setelah stent terpasang.</w:t>
      </w:r>
    </w:p>
    <w:p>
      <w:pPr>
        <w:pStyle w:val="Heading1"/>
        <w:spacing w:after="180" w:before="360"/>
      </w:pPr>
      <w:r>
        <w:rPr>
          <w:b/>
          <w:bCs/>
          <w:color w:val="1F4E79"/>
          <w:sz w:val="30"/>
          <w:szCs w:val="30"/>
        </w:rPr>
        <w:t xml:space="preserve">3. Stent yang Dipasang (4 Buah)</w:t>
      </w:r>
    </w:p>
    <w:p>
      <w:pPr>
        <w:spacing w:after="120" w:line="300"/>
        <w:jc w:val="both"/>
      </w:pPr>
      <w:r>
        <w:rPr>
          <w:sz w:val="22"/>
          <w:szCs w:val="22"/>
        </w:rPr>
        <w:t xml:space="preserve">Seluruh stent yang digunakan merupakan Drug-Eluting Stent (DES) — stent berlapis obat yang mencegah jaringan tumbuh kembali menyumbat stent (restenosis).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700"/>
        <w:gridCol w:w="1500"/>
        <w:gridCol w:w="2260"/>
      </w:tblGrid>
      <w:tr>
        <w:trPr>
          <w:tblHeader/>
        </w:trPr>
        <w:tc>
          <w:tcPr>
            <w:tcW w:type="dxa" w:w="5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jc w:val="center"/>
            </w:pPr>
            <w:r>
              <w:rPr>
                <w:b/>
                <w:bCs/>
                <w:color w:val="FFFFFF"/>
                <w:sz w:val="22"/>
                <w:szCs w:val="22"/>
              </w:rPr>
              <w:t xml:space="preserve">No</w:t>
            </w:r>
          </w:p>
        </w:tc>
        <w:tc>
          <w:tcPr>
            <w:tcW w:type="dxa" w:w="24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jc w:val="left"/>
            </w:pPr>
            <w:r>
              <w:rPr>
                <w:b/>
                <w:bCs/>
                <w:color w:val="FFFFFF"/>
                <w:sz w:val="22"/>
                <w:szCs w:val="22"/>
              </w:rPr>
              <w:t xml:space="preserve">Merk &amp; Jenis Stent</w:t>
            </w:r>
          </w:p>
        </w:tc>
        <w:tc>
          <w:tcPr>
            <w:tcW w:type="dxa" w:w="27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jc w:val="left"/>
            </w:pPr>
            <w:r>
              <w:rPr>
                <w:b/>
                <w:bCs/>
                <w:color w:val="FFFFFF"/>
                <w:sz w:val="22"/>
                <w:szCs w:val="22"/>
              </w:rPr>
              <w:t xml:space="preserve">Lokasi Pemasangan</w:t>
            </w:r>
          </w:p>
        </w:tc>
        <w:tc>
          <w:tcPr>
            <w:tcW w:type="dxa" w:w="15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jc w:val="center"/>
            </w:pPr>
            <w:r>
              <w:rPr>
                <w:b/>
                <w:bCs/>
                <w:color w:val="FFFFFF"/>
                <w:sz w:val="22"/>
                <w:szCs w:val="22"/>
              </w:rPr>
              <w:t xml:space="preserve">Ukuran (mm)</w:t>
            </w:r>
          </w:p>
        </w:tc>
        <w:tc>
          <w:tcPr>
            <w:tcW w:type="dxa" w:w="22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jc w:val="left"/>
            </w:pPr>
            <w:r>
              <w:rPr>
                <w:b/>
                <w:bCs/>
                <w:color w:val="FFFFFF"/>
                <w:sz w:val="22"/>
                <w:szCs w:val="22"/>
              </w:rPr>
              <w:t xml:space="preserve">Pabrikan</w:t>
            </w:r>
          </w:p>
        </w:tc>
      </w:tr>
      <w:tr>
        <w:tc>
          <w:tcPr>
            <w:tcW w:type="dxa" w:w="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sz w:val="22"/>
                <w:szCs w:val="22"/>
              </w:rPr>
              <w:t xml:space="preserve">1</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Onyx Trucor (DES)</w:t>
            </w:r>
          </w:p>
        </w:tc>
        <w:tc>
          <w:tcPr>
            <w:tcW w:type="dxa" w:w="27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LM – proksimal LCx</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sz w:val="22"/>
                <w:szCs w:val="22"/>
              </w:rPr>
              <w:t xml:space="preserve">4,0 × 12</w:t>
            </w:r>
          </w:p>
        </w:tc>
        <w:tc>
          <w:tcPr>
            <w:tcW w:type="dxa" w:w="22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Medtronic</w:t>
            </w:r>
          </w:p>
        </w:tc>
      </w:tr>
      <w:tr>
        <w:tc>
          <w:tcPr>
            <w:tcW w:type="dxa" w:w="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sz w:val="22"/>
                <w:szCs w:val="22"/>
              </w:rPr>
              <w:t xml:space="preserve">2</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Xience Pro (DES)</w:t>
            </w:r>
          </w:p>
        </w:tc>
        <w:tc>
          <w:tcPr>
            <w:tcW w:type="dxa" w:w="27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LM – proksimal LAD</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sz w:val="22"/>
                <w:szCs w:val="22"/>
              </w:rPr>
              <w:t xml:space="preserve">4,0 × 23</w:t>
            </w:r>
          </w:p>
        </w:tc>
        <w:tc>
          <w:tcPr>
            <w:tcW w:type="dxa" w:w="22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Abbott</w:t>
            </w:r>
          </w:p>
        </w:tc>
      </w:tr>
      <w:tr>
        <w:tc>
          <w:tcPr>
            <w:tcW w:type="dxa" w:w="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sz w:val="22"/>
                <w:szCs w:val="22"/>
              </w:rPr>
              <w:t xml:space="preserve">3</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Xience Xpedition (DES)</w:t>
            </w:r>
          </w:p>
        </w:tc>
        <w:tc>
          <w:tcPr>
            <w:tcW w:type="dxa" w:w="27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Proksimal – mid LAD</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sz w:val="22"/>
                <w:szCs w:val="22"/>
              </w:rPr>
              <w:t xml:space="preserve">2,75 × 33</w:t>
            </w:r>
          </w:p>
        </w:tc>
        <w:tc>
          <w:tcPr>
            <w:tcW w:type="dxa" w:w="22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Abbott</w:t>
            </w:r>
          </w:p>
        </w:tc>
      </w:tr>
      <w:tr>
        <w:tc>
          <w:tcPr>
            <w:tcW w:type="dxa" w:w="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jc w:val="center"/>
            </w:pPr>
            <w:r>
              <w:rPr>
                <w:sz w:val="22"/>
                <w:szCs w:val="22"/>
              </w:rPr>
              <w:t xml:space="preserve">4</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EucaLimus (DES)</w:t>
            </w:r>
          </w:p>
        </w:tc>
        <w:tc>
          <w:tcPr>
            <w:tcW w:type="dxa" w:w="27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Mid – distal LAD (overlapping)</w:t>
            </w:r>
          </w:p>
        </w:tc>
        <w:tc>
          <w:tcPr>
            <w:tcW w:type="dxa" w:w="15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sz w:val="22"/>
                <w:szCs w:val="22"/>
              </w:rPr>
              <w:t xml:space="preserve">2,75 × 18</w:t>
            </w:r>
          </w:p>
        </w:tc>
        <w:tc>
          <w:tcPr>
            <w:tcW w:type="dxa" w:w="22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sz w:val="22"/>
                <w:szCs w:val="22"/>
              </w:rPr>
              <w:t xml:space="preserve">—</w:t>
            </w:r>
          </w:p>
        </w:tc>
      </w:tr>
    </w:tbl>
    <w:p>
      <w:pPr>
        <w:spacing w:after="120"/>
      </w:pPr>
      <w:r>
        <w:t xml:space="preserve"/>
      </w:r>
    </w:p>
    <w:p>
      <w:pPr>
        <w:spacing w:after="120" w:line="300"/>
        <w:jc w:val="both"/>
      </w:pPr>
      <w:r>
        <w:rPr>
          <w:b/>
          <w:bCs/>
          <w:sz w:val="22"/>
          <w:szCs w:val="22"/>
        </w:rPr>
        <w:t xml:space="preserve">Alat bantu yang digunakan: </w:t>
      </w:r>
      <w:r>
        <w:rPr>
          <w:sz w:val="22"/>
          <w:szCs w:val="22"/>
        </w:rPr>
        <w:t xml:space="preserve">guiding catheter EBU 3.5/7 Fr, microcatheter Corsair Pro 135, berbagai guidewire (Runthrough NS Floppy, Runthrough Hypercoat, Gaia Next 1), serta balon non-compliant Sapphire II NC dan Accuforce NC untuk predilatasi, kissing balloon, dan POT (Proximal Optimization Technique).</w:t>
      </w:r>
    </w:p>
    <w:p>
      <w:pPr>
        <w:pStyle w:val="Heading1"/>
        <w:spacing w:after="180" w:before="360"/>
      </w:pPr>
      <w:r>
        <w:rPr>
          <w:b/>
          <w:bCs/>
          <w:color w:val="1F4E79"/>
          <w:sz w:val="30"/>
          <w:szCs w:val="30"/>
        </w:rPr>
        <w:t xml:space="preserve">4. Obat yang Diberikan Selama Tindakan</w:t>
      </w:r>
    </w:p>
    <w:p>
      <w:pPr>
        <w:pStyle w:val="ListParagraph"/>
        <w:numPr>
          <w:ilvl w:val="0"/>
          <w:numId w:val="2"/>
        </w:numPr>
        <w:spacing w:after="80" w:line="300"/>
        <w:jc w:val="both"/>
      </w:pPr>
      <w:r>
        <w:rPr>
          <w:sz w:val="22"/>
          <w:szCs w:val="22"/>
        </w:rPr>
        <w:t xml:space="preserve">Heparin 19.000 IU intravena (mencegah pembekuan darah)</w:t>
      </w:r>
    </w:p>
    <w:p>
      <w:pPr>
        <w:pStyle w:val="ListParagraph"/>
        <w:numPr>
          <w:ilvl w:val="0"/>
          <w:numId w:val="2"/>
        </w:numPr>
        <w:spacing w:after="80" w:line="300"/>
        <w:jc w:val="both"/>
      </w:pPr>
      <w:r>
        <w:rPr>
          <w:sz w:val="22"/>
          <w:szCs w:val="22"/>
        </w:rPr>
        <w:t xml:space="preserve">Nitrogliserin (NTG) 200 mcg intracoroner (melebarkan pembuluh)</w:t>
      </w:r>
    </w:p>
    <w:p>
      <w:pPr>
        <w:pStyle w:val="ListParagraph"/>
        <w:numPr>
          <w:ilvl w:val="0"/>
          <w:numId w:val="2"/>
        </w:numPr>
        <w:spacing w:after="80" w:line="300"/>
        <w:jc w:val="both"/>
      </w:pPr>
      <w:r>
        <w:rPr>
          <w:sz w:val="22"/>
          <w:szCs w:val="22"/>
        </w:rPr>
        <w:t xml:space="preserve">Norepinephrine drip intravena titrasi (menjaga tekanan darah stabil)</w:t>
      </w:r>
    </w:p>
    <w:p>
      <w:pPr>
        <w:pStyle w:val="Heading1"/>
        <w:spacing w:after="180" w:before="360"/>
      </w:pPr>
      <w:r>
        <w:rPr>
          <w:b/>
          <w:bCs/>
          <w:color w:val="1F4E79"/>
          <w:sz w:val="30"/>
          <w:szCs w:val="30"/>
        </w:rPr>
        <w:t xml:space="preserve">5. Hasil Tindakan</w:t>
      </w:r>
    </w:p>
    <w:p>
      <w:pPr>
        <w:pStyle w:val="ListParagraph"/>
        <w:numPr>
          <w:ilvl w:val="0"/>
          <w:numId w:val="2"/>
        </w:numPr>
        <w:spacing w:after="80" w:line="300"/>
        <w:jc w:val="both"/>
      </w:pPr>
      <w:r>
        <w:rPr>
          <w:sz w:val="22"/>
          <w:szCs w:val="22"/>
        </w:rPr>
        <w:t xml:space="preserve">Aliran darah akhir </w:t>
      </w:r>
      <w:r>
        <w:rPr>
          <w:b/>
          <w:bCs/>
          <w:sz w:val="22"/>
          <w:szCs w:val="22"/>
        </w:rPr>
        <w:t xml:space="preserve">TIMI flow 3</w:t>
      </w:r>
      <w:r>
        <w:rPr>
          <w:sz w:val="22"/>
          <w:szCs w:val="22"/>
        </w:rPr>
        <w:t xml:space="preserve"> (aliran normal/sempurna)</w:t>
      </w:r>
    </w:p>
    <w:p>
      <w:pPr>
        <w:pStyle w:val="ListParagraph"/>
        <w:numPr>
          <w:ilvl w:val="0"/>
          <w:numId w:val="2"/>
        </w:numPr>
        <w:spacing w:after="80" w:line="300"/>
        <w:jc w:val="both"/>
      </w:pPr>
      <w:r>
        <w:rPr>
          <w:sz w:val="22"/>
          <w:szCs w:val="22"/>
        </w:rPr>
        <w:t xml:space="preserve">Tidak ada diseksi (robekan dinding pembuluh)</w:t>
      </w:r>
    </w:p>
    <w:p>
      <w:pPr>
        <w:pStyle w:val="ListParagraph"/>
        <w:numPr>
          <w:ilvl w:val="0"/>
          <w:numId w:val="2"/>
        </w:numPr>
        <w:spacing w:after="80" w:line="300"/>
        <w:jc w:val="both"/>
      </w:pPr>
      <w:r>
        <w:rPr>
          <w:sz w:val="22"/>
          <w:szCs w:val="22"/>
        </w:rPr>
        <w:t xml:space="preserve">Hemodinamik stabil, tanpa bantuan obat penopang setelah tindakan</w:t>
      </w:r>
    </w:p>
    <w:p>
      <w:pPr>
        <w:pStyle w:val="ListParagraph"/>
        <w:numPr>
          <w:ilvl w:val="0"/>
          <w:numId w:val="2"/>
        </w:numPr>
        <w:spacing w:after="80" w:line="300"/>
        <w:jc w:val="both"/>
      </w:pPr>
      <w:r>
        <w:rPr>
          <w:sz w:val="22"/>
          <w:szCs w:val="22"/>
        </w:rPr>
        <w:t xml:space="preserve">Akses di pergelangan tangan ditutup dengan TR Band</w:t>
      </w:r>
    </w:p>
    <w:p>
      <w:pPr>
        <w:pStyle w:val="ListParagraph"/>
        <w:numPr>
          <w:ilvl w:val="0"/>
          <w:numId w:val="2"/>
        </w:numPr>
        <w:spacing w:after="80" w:line="300"/>
        <w:jc w:val="both"/>
      </w:pPr>
      <w:r>
        <w:rPr>
          <w:sz w:val="22"/>
          <w:szCs w:val="22"/>
        </w:rPr>
        <w:t xml:space="preserve">Total waktu fluoroskopi: 58,73 menit | Total kontras: 260 ml</w:t>
      </w:r>
    </w:p>
    <w:p>
      <w:pPr>
        <w:pStyle w:val="Heading1"/>
        <w:spacing w:after="180" w:before="360"/>
      </w:pPr>
      <w:r>
        <w:rPr>
          <w:b/>
          <w:bCs/>
          <w:color w:val="1F4E79"/>
          <w:sz w:val="30"/>
          <w:szCs w:val="30"/>
        </w:rPr>
        <w:t xml:space="preserve">6. Rencana Perawatan ke Depan</w:t>
      </w:r>
    </w:p>
    <w:p>
      <w:pPr>
        <w:pStyle w:val="Heading2"/>
        <w:spacing w:after="120" w:before="240"/>
      </w:pPr>
      <w:r>
        <w:rPr>
          <w:b/>
          <w:bCs/>
          <w:color w:val="2E75B6"/>
          <w:sz w:val="26"/>
          <w:szCs w:val="26"/>
        </w:rPr>
        <w:t xml:space="preserve">a. Obat Pengencer Darah Ganda (DAPT) — WAJIB Dilanjutkan</w:t>
      </w:r>
    </w:p>
    <w:p>
      <w:pPr>
        <w:spacing w:after="120" w:line="300"/>
        <w:jc w:val="both"/>
      </w:pPr>
      <w:r>
        <w:rPr>
          <w:sz w:val="22"/>
          <w:szCs w:val="22"/>
        </w:rPr>
        <w:t xml:space="preserve">Kombinasi </w:t>
      </w:r>
      <w:r>
        <w:rPr>
          <w:b/>
          <w:bCs/>
          <w:sz w:val="22"/>
          <w:szCs w:val="22"/>
        </w:rPr>
        <w:t xml:space="preserve">Aspilet (aspirin) + Clopidogrel</w:t>
      </w:r>
      <w:r>
        <w:rPr>
          <w:sz w:val="22"/>
          <w:szCs w:val="22"/>
        </w:rPr>
        <w:t xml:space="preserve"> harus diminum setiap hari tanpa terputus. Ini sangat penting karena:</w:t>
      </w:r>
    </w:p>
    <w:p>
      <w:pPr>
        <w:pStyle w:val="ListParagraph"/>
        <w:numPr>
          <w:ilvl w:val="0"/>
          <w:numId w:val="2"/>
        </w:numPr>
        <w:spacing w:after="80" w:line="300"/>
        <w:jc w:val="both"/>
      </w:pPr>
      <w:r>
        <w:rPr>
          <w:sz w:val="22"/>
          <w:szCs w:val="22"/>
        </w:rPr>
        <w:t xml:space="preserve">Stent baru rentan "menggumpal" pada beberapa bulan pertama pemasangan</w:t>
      </w:r>
    </w:p>
    <w:p>
      <w:pPr>
        <w:pStyle w:val="ListParagraph"/>
        <w:numPr>
          <w:ilvl w:val="0"/>
          <w:numId w:val="2"/>
        </w:numPr>
        <w:spacing w:after="80" w:line="300"/>
        <w:jc w:val="both"/>
      </w:pPr>
      <w:r>
        <w:rPr>
          <w:sz w:val="22"/>
          <w:szCs w:val="22"/>
        </w:rPr>
        <w:t xml:space="preserve">Penghentian obat secara mendadak meningkatkan risiko stent thrombosis (stent tersumbat total) yang dapat menyebabkan serangan jantung fatal</w:t>
      </w:r>
    </w:p>
    <w:p>
      <w:pPr>
        <w:pStyle w:val="ListParagraph"/>
        <w:numPr>
          <w:ilvl w:val="0"/>
          <w:numId w:val="2"/>
        </w:numPr>
        <w:spacing w:after="80" w:line="300"/>
        <w:jc w:val="both"/>
      </w:pPr>
      <w:r>
        <w:rPr>
          <w:sz w:val="22"/>
          <w:szCs w:val="22"/>
        </w:rPr>
        <w:t xml:space="preserve">Biasanya DAPT diberikan minimal 12 bulan setelah pasang DES. Pada kasus kompleks seperti ini (LM bifurkasi, 4 stent), dokter mungkin akan memperpanjang durasinya</w:t>
      </w:r>
    </w:p>
    <w:p>
      <w:pPr>
        <w:pStyle w:val="ListParagraph"/>
        <w:numPr>
          <w:ilvl w:val="0"/>
          <w:numId w:val="2"/>
        </w:numPr>
        <w:spacing w:after="80" w:line="300"/>
        <w:jc w:val="both"/>
      </w:pPr>
      <w:r>
        <w:rPr>
          <w:sz w:val="22"/>
          <w:szCs w:val="22"/>
        </w:rPr>
        <w:t xml:space="preserve">Jangan berhenti minum obat ini tanpa konsultasi dengan dokter jantung, termasuk saat akan cabut gigi atau operasi lain</w:t>
      </w:r>
    </w:p>
    <w:p>
      <w:pPr>
        <w:pStyle w:val="Heading2"/>
        <w:spacing w:after="120" w:before="240"/>
      </w:pPr>
      <w:r>
        <w:rPr>
          <w:b/>
          <w:bCs/>
          <w:color w:val="2E75B6"/>
          <w:sz w:val="26"/>
          <w:szCs w:val="26"/>
        </w:rPr>
        <w:t xml:space="preserve">b. Optimalisasi Obat Lainnya</w:t>
      </w:r>
    </w:p>
    <w:p>
      <w:pPr>
        <w:spacing w:after="120" w:line="300"/>
        <w:jc w:val="both"/>
      </w:pPr>
      <w:r>
        <w:rPr>
          <w:sz w:val="22"/>
          <w:szCs w:val="22"/>
        </w:rPr>
        <w:t xml:space="preserve">Biasanya mencakup:</w:t>
      </w:r>
    </w:p>
    <w:p>
      <w:pPr>
        <w:pStyle w:val="ListParagraph"/>
        <w:numPr>
          <w:ilvl w:val="0"/>
          <w:numId w:val="2"/>
        </w:numPr>
        <w:spacing w:after="80" w:line="300"/>
        <w:jc w:val="both"/>
      </w:pPr>
      <w:r>
        <w:rPr>
          <w:b/>
          <w:bCs/>
          <w:sz w:val="22"/>
          <w:szCs w:val="22"/>
        </w:rPr>
        <w:t xml:space="preserve">Statin dosis tinggi</w:t>
      </w:r>
      <w:r>
        <w:rPr>
          <w:sz w:val="22"/>
          <w:szCs w:val="22"/>
        </w:rPr>
        <w:t xml:space="preserve"> (atorvastatin/rosuvastatin) untuk menurunkan kolesterol LDL serendah mungkin (target &lt; 55 mg/dL)</w:t>
      </w:r>
    </w:p>
    <w:p>
      <w:pPr>
        <w:pStyle w:val="ListParagraph"/>
        <w:numPr>
          <w:ilvl w:val="0"/>
          <w:numId w:val="2"/>
        </w:numPr>
        <w:spacing w:after="80" w:line="300"/>
        <w:jc w:val="both"/>
      </w:pPr>
      <w:r>
        <w:rPr>
          <w:b/>
          <w:bCs/>
          <w:sz w:val="22"/>
          <w:szCs w:val="22"/>
        </w:rPr>
        <w:t xml:space="preserve">Obat tekanan darah</w:t>
      </w:r>
      <w:r>
        <w:rPr>
          <w:sz w:val="22"/>
          <w:szCs w:val="22"/>
        </w:rPr>
        <w:t xml:space="preserve"> (ACE inhibitor/ARB, beta blocker)</w:t>
      </w:r>
    </w:p>
    <w:p>
      <w:pPr>
        <w:pStyle w:val="ListParagraph"/>
        <w:numPr>
          <w:ilvl w:val="0"/>
          <w:numId w:val="2"/>
        </w:numPr>
        <w:spacing w:after="80" w:line="300"/>
        <w:jc w:val="both"/>
      </w:pPr>
      <w:r>
        <w:rPr>
          <w:b/>
          <w:bCs/>
          <w:sz w:val="22"/>
          <w:szCs w:val="22"/>
        </w:rPr>
        <w:t xml:space="preserve">Kontrol gula darah</w:t>
      </w:r>
      <w:r>
        <w:rPr>
          <w:sz w:val="22"/>
          <w:szCs w:val="22"/>
        </w:rPr>
        <w:t xml:space="preserve"> jika ada diabetes</w:t>
      </w:r>
    </w:p>
    <w:p>
      <w:pPr>
        <w:pStyle w:val="Heading2"/>
        <w:spacing w:after="120" w:before="240"/>
      </w:pPr>
      <w:r>
        <w:rPr>
          <w:b/>
          <w:bCs/>
          <w:color w:val="2E75B6"/>
          <w:sz w:val="26"/>
          <w:szCs w:val="26"/>
        </w:rPr>
        <w:t xml:space="preserve">c. Modifikasi Gaya Hidup — Kunci Keberhasilan</w:t>
      </w:r>
    </w:p>
    <w:p>
      <w:pPr>
        <w:pStyle w:val="ListParagraph"/>
        <w:numPr>
          <w:ilvl w:val="0"/>
          <w:numId w:val="2"/>
        </w:numPr>
        <w:spacing w:after="80" w:line="300"/>
        <w:jc w:val="both"/>
      </w:pPr>
      <w:r>
        <w:rPr>
          <w:b/>
          <w:bCs/>
          <w:sz w:val="22"/>
          <w:szCs w:val="22"/>
        </w:rPr>
        <w:t xml:space="preserve">BERHENTI MEROKOK TOTAL</w:t>
      </w:r>
      <w:r>
        <w:rPr>
          <w:sz w:val="22"/>
          <w:szCs w:val="22"/>
        </w:rPr>
        <w:t xml:space="preserve"> — ini faktor risiko paling besar yang menyebabkan penyakit terus berlanjut meski sudah pasang stent</w:t>
      </w:r>
    </w:p>
    <w:p>
      <w:pPr>
        <w:pStyle w:val="ListParagraph"/>
        <w:numPr>
          <w:ilvl w:val="0"/>
          <w:numId w:val="2"/>
        </w:numPr>
        <w:spacing w:after="80" w:line="300"/>
        <w:jc w:val="both"/>
      </w:pPr>
      <w:r>
        <w:rPr>
          <w:sz w:val="22"/>
          <w:szCs w:val="22"/>
        </w:rPr>
        <w:t xml:space="preserve">Pola makan rendah lemak jenuh, rendah garam, banyak sayur dan buah</w:t>
      </w:r>
    </w:p>
    <w:p>
      <w:pPr>
        <w:pStyle w:val="ListParagraph"/>
        <w:numPr>
          <w:ilvl w:val="0"/>
          <w:numId w:val="2"/>
        </w:numPr>
        <w:spacing w:after="80" w:line="300"/>
        <w:jc w:val="both"/>
      </w:pPr>
      <w:r>
        <w:rPr>
          <w:sz w:val="22"/>
          <w:szCs w:val="22"/>
        </w:rPr>
        <w:t xml:space="preserve">Olahraga teratur sesuai anjuran (biasanya mulai dengan cardiac rehabilitation)</w:t>
      </w:r>
    </w:p>
    <w:p>
      <w:pPr>
        <w:pStyle w:val="ListParagraph"/>
        <w:numPr>
          <w:ilvl w:val="0"/>
          <w:numId w:val="2"/>
        </w:numPr>
        <w:spacing w:after="80" w:line="300"/>
        <w:jc w:val="both"/>
      </w:pPr>
      <w:r>
        <w:rPr>
          <w:sz w:val="22"/>
          <w:szCs w:val="22"/>
        </w:rPr>
        <w:t xml:space="preserve">Kontrol berat badan, stres, dan pastikan tidur cukup</w:t>
      </w:r>
    </w:p>
    <w:p>
      <w:pPr>
        <w:pStyle w:val="Heading2"/>
        <w:spacing w:after="120" w:before="240"/>
      </w:pPr>
      <w:r>
        <w:rPr>
          <w:b/>
          <w:bCs/>
          <w:color w:val="2E75B6"/>
          <w:sz w:val="26"/>
          <w:szCs w:val="26"/>
        </w:rPr>
        <w:t xml:space="preserve">d. Kontrol Rutin</w:t>
      </w:r>
    </w:p>
    <w:p>
      <w:pPr>
        <w:pStyle w:val="ListParagraph"/>
        <w:numPr>
          <w:ilvl w:val="0"/>
          <w:numId w:val="2"/>
        </w:numPr>
        <w:spacing w:after="80" w:line="300"/>
        <w:jc w:val="both"/>
      </w:pPr>
      <w:r>
        <w:rPr>
          <w:sz w:val="22"/>
          <w:szCs w:val="22"/>
        </w:rPr>
        <w:t xml:space="preserve">Kontrol ke poliklinik jantung sesuai jadwal (biasanya 1 bulan, 3 bulan, 6 bulan, kemudian rutin berkala)</w:t>
      </w:r>
    </w:p>
    <w:p>
      <w:pPr>
        <w:pStyle w:val="ListParagraph"/>
        <w:numPr>
          <w:ilvl w:val="0"/>
          <w:numId w:val="2"/>
        </w:numPr>
        <w:spacing w:after="80" w:line="300"/>
        <w:jc w:val="both"/>
      </w:pPr>
      <w:r>
        <w:rPr>
          <w:sz w:val="22"/>
          <w:szCs w:val="22"/>
        </w:rPr>
        <w:t xml:space="preserve">Evaluasi fungsi jantung dengan echocardiogram (TTE) secara berkala</w:t>
      </w:r>
    </w:p>
    <w:p>
      <w:pPr>
        <w:pStyle w:val="ListParagraph"/>
        <w:numPr>
          <w:ilvl w:val="0"/>
          <w:numId w:val="2"/>
        </w:numPr>
        <w:spacing w:after="80" w:line="300"/>
        <w:jc w:val="both"/>
      </w:pPr>
      <w:r>
        <w:rPr>
          <w:sz w:val="22"/>
          <w:szCs w:val="22"/>
        </w:rPr>
        <w:t xml:space="preserve">Pemeriksaan laboratorium rutin: profil lipid, fungsi ginjal, gula darah</w:t>
      </w:r>
    </w:p>
    <w:p>
      <w:pPr>
        <w:spacing w:after="120" w:line="300"/>
        <w:jc w:val="both"/>
      </w:pPr>
      <w:r>
        <w:rPr>
          <w:b/>
          <w:bCs/>
          <w:color w:val="C00000"/>
          <w:sz w:val="22"/>
          <w:szCs w:val="22"/>
        </w:rPr>
        <w:t xml:space="preserve">Segera ke IGD jika muncul gejala: </w:t>
      </w:r>
      <w:r>
        <w:rPr>
          <w:sz w:val="22"/>
          <w:szCs w:val="22"/>
        </w:rPr>
        <w:t xml:space="preserve">nyeri dada, sesak napas berat, keringat dingin, atau pingsan.</w:t>
      </w:r>
    </w:p>
    <w:p>
      <w:pPr>
        <w:pStyle w:val="Heading1"/>
        <w:spacing w:after="180" w:before="360"/>
      </w:pPr>
      <w:r>
        <w:rPr>
          <w:b/>
          <w:bCs/>
          <w:color w:val="1F4E79"/>
          <w:sz w:val="30"/>
          <w:szCs w:val="30"/>
        </w:rPr>
        <w:t xml:space="preserve">7. Catatan Penting</w:t>
      </w:r>
    </w:p>
    <w:p>
      <w:pPr>
        <w:spacing w:after="120" w:line="300"/>
        <w:jc w:val="both"/>
      </w:pPr>
      <w:r>
        <w:rPr>
          <w:sz w:val="22"/>
          <w:szCs w:val="22"/>
        </w:rPr>
        <w:t xml:space="preserve">Pasien sudah menjalani 3 kali tindakan kateterisasi dalam waktu relatif singkat (Januari 2025, Oktober 2025, dan April 2026). Hal ini menunjukkan bahwa penyakit jantung koroner pada pasien bersifat progresif.</w:t>
      </w:r>
    </w:p>
    <w:p>
      <w:pPr>
        <w:spacing w:after="120" w:line="300"/>
        <w:jc w:val="both"/>
      </w:pPr>
      <w:r>
        <w:rPr>
          <w:b/>
          <w:bCs/>
          <w:sz w:val="22"/>
          <w:szCs w:val="22"/>
        </w:rPr>
        <w:t xml:space="preserve">Kepatuhan minum obat </w:t>
      </w:r>
      <w:r>
        <w:rPr>
          <w:sz w:val="22"/>
          <w:szCs w:val="22"/>
        </w:rPr>
        <w:t xml:space="preserve">dan </w:t>
      </w:r>
      <w:r>
        <w:rPr>
          <w:b/>
          <w:bCs/>
          <w:sz w:val="22"/>
          <w:szCs w:val="22"/>
        </w:rPr>
        <w:t xml:space="preserve">berhenti merokok total </w:t>
      </w:r>
      <w:r>
        <w:rPr>
          <w:sz w:val="22"/>
          <w:szCs w:val="22"/>
        </w:rPr>
        <w:t xml:space="preserve">menjadi kunci utama agar stent-stent yang sudah terpasang dapat bertahan lama dan tidak muncul penyempitan baru di pembuluh darah jantung lainnya.</w:t>
      </w:r>
    </w:p>
    <w:p>
      <w:pPr>
        <w:spacing w:before="480"/>
      </w:pPr>
      <w:r>
        <w:t xml:space="preserve"/>
      </w:r>
    </w:p>
    <w:p>
      <w:pPr>
        <w:jc w:val="right"/>
      </w:pPr>
      <w:r>
        <w:rPr>
          <w:sz w:val="22"/>
          <w:szCs w:val="22"/>
        </w:rPr>
        <w:t xml:space="preserve">Bandung, 15 April 2026</w:t>
      </w:r>
    </w:p>
    <w:p>
      <w:pPr>
        <w:jc w:val="right"/>
      </w:pPr>
      <w:r>
        <w:rPr>
          <w:i/>
          <w:iCs/>
          <w:sz w:val="22"/>
          <w:szCs w:val="22"/>
        </w:rPr>
        <w:t xml:space="preserve">Interventional Cardiologist,</w:t>
      </w:r>
    </w:p>
    <w:p>
      <w:pPr>
        <w:spacing w:before="720"/>
        <w:jc w:val="right"/>
      </w:pPr>
      <w:r>
        <w:t xml:space="preserve"/>
      </w:r>
    </w:p>
    <w:p>
      <w:pPr>
        <w:jc w:val="right"/>
      </w:pPr>
      <w:r>
        <w:rPr>
          <w:b/>
          <w:bCs/>
          <w:sz w:val="22"/>
          <w:szCs w:val="22"/>
        </w:rPr>
        <w:t xml:space="preserve">dr. Dendi Puji Wahyudi, SpJP(K)</w:t>
      </w:r>
    </w:p>
    <w:p>
      <w:pPr>
        <w:spacing w:before="480"/>
      </w:pPr>
      <w:r>
        <w:t xml:space="preserve"/>
      </w:r>
    </w:p>
    <w:p>
      <w:pPr>
        <w:pBdr>
          <w:top w:val="single" w:color="B0B0B0" w:sz="4" w:space="4"/>
        </w:pBdr>
        <w:spacing w:after="120" w:before="240"/>
      </w:pPr>
      <w:r>
        <w:rPr>
          <w:b/>
          <w:bCs/>
          <w:color w:val="595959"/>
          <w:sz w:val="18"/>
          <w:szCs w:val="18"/>
        </w:rPr>
        <w:t xml:space="preserve">Catatan: </w:t>
      </w:r>
      <w:r>
        <w:rPr>
          <w:i/>
          <w:iCs/>
          <w:color w:val="595959"/>
          <w:sz w:val="18"/>
          <w:szCs w:val="18"/>
        </w:rPr>
        <w:t xml:space="preserve">Dokumen ini merupakan penjelasan sederhana berbasis laporan kateterisasi tanggal 15 April 2026 yang ditujukan untuk membantu pemahaman pasien dan keluarga. Keputusan medis tetap mengacu pada laporan resmi dan arahan dokter penanggung jawab.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Halaman </w:t>
    </w:r>
    <w:r>
      <w:rPr>
        <w:color w:val="595959"/>
        <w:sz w:val="18"/>
        <w:szCs w:val="18"/>
      </w:rPr>
      <w:fldChar w:fldCharType="begin"/>
      <w:instrText xml:space="preserve">PAGE</w:instrText>
      <w:fldChar w:fldCharType="separate"/>
      <w:fldChar w:fldCharType="end"/>
    </w:r>
    <w:r>
      <w:rPr>
        <w:color w:val="595959"/>
        <w:sz w:val="18"/>
        <w:szCs w:val="18"/>
      </w:rPr>
      <w:t xml:space="preserve"> dari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right"/>
    </w:pPr>
    <w:r>
      <w:rPr>
        <w:i/>
        <w:iCs/>
        <w:color w:val="595959"/>
        <w:sz w:val="18"/>
        <w:szCs w:val="18"/>
      </w:rPr>
      <w:t xml:space="preserve">Penjelasan Tindakan Kateterisasi Jantung – Tn. Sumarna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2026-04-24T07:32:48.756Z</dcterms:created>
  <dcterms:modified xsi:type="dcterms:W3CDTF">2026-04-24T07:32:48.756Z</dcterms:modified>
</cp:coreProperties>
</file>

<file path=docProps/custom.xml><?xml version="1.0" encoding="utf-8"?>
<Properties xmlns="http://schemas.openxmlformats.org/officeDocument/2006/custom-properties" xmlns:vt="http://schemas.openxmlformats.org/officeDocument/2006/docPropsVTypes"/>
</file>