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288" w:lineRule="auto"/>
        <w:jc w:val="center"/>
      </w:pPr>
      <w:r>
        <w:rPr>
          <w:rFonts w:ascii="B Titr" w:hAnsi="B Titr" w:cs="B Titr" w:eastAsia="B Titr"/>
          <w:b w:val="0"/>
          <w:i w:val="0"/>
          <w:sz w:val="32"/>
          <w:szCs w:val="32"/>
        </w:rPr>
        <w:t>حوزه‌های علمیه</w:t>
      </w:r>
    </w:p>
    <w:p>
      <w:pPr>
        <w:widowControl/>
        <w:bidi w:val="1"/>
        <w:spacing w:before="0" w:after="240" w:line="288" w:lineRule="auto"/>
        <w:jc w:val="center"/>
      </w:pPr>
      <w:r>
        <w:rPr>
          <w:rFonts w:ascii="B Titr" w:hAnsi="B Titr" w:cs="B Titr" w:eastAsia="B Titr"/>
          <w:b/>
          <w:i w:val="0"/>
          <w:sz w:val="44"/>
          <w:szCs w:val="44"/>
        </w:rPr>
        <w:t>رساله علمی سطح سه</w:t>
      </w:r>
    </w:p>
    <w:p>
      <w:pPr>
        <w:widowControl/>
        <w:bidi w:val="1"/>
        <w:spacing w:before="0" w:after="240" w:line="288" w:lineRule="auto"/>
        <w:ind w:right="1701" w:left="1701"/>
        <w:jc w:val="center"/>
        <w:pBdr>
          <w:bottom w:val="single" w:sz="12" w:space="6" w:color="1F3864"/>
        </w:pBdr>
      </w:pPr>
    </w:p>
    <w:p>
      <w:pPr>
        <w:widowControl/>
        <w:bidi w:val="1"/>
        <w:spacing w:before="0" w:after="120" w:line="288"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288"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288" w:lineRule="auto"/>
        <w:ind w:right="1701" w:left="1701"/>
        <w:jc w:val="center"/>
        <w:pBdr>
          <w:bottom w:val="single" w:sz="12" w:space="6" w:color="1F3864"/>
        </w:pBdr>
      </w:pPr>
    </w:p>
    <w:p>
      <w:pPr>
        <w:widowControl/>
        <w:bidi w:val="1"/>
        <w:spacing w:before="0" w:after="20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240" w:line="288" w:lineRule="auto"/>
        <w:jc w:val="center"/>
      </w:pPr>
      <w:r>
        <w:rPr>
          <w:rFonts w:ascii="B Lotus" w:hAnsi="B Lotus" w:cs="B Lotus" w:eastAsia="B Lotus"/>
          <w:b w:val="0"/>
          <w:i w:val="0"/>
          <w:sz w:val="28"/>
          <w:szCs w:val="28"/>
        </w:rPr>
        <w:t>گرایش: فقه و اصول</w:t>
      </w:r>
    </w:p>
    <w:p>
      <w:pPr>
        <w:widowControl/>
        <w:bidi w:val="1"/>
        <w:spacing w:before="0" w:after="120" w:line="288" w:lineRule="auto"/>
        <w:jc w:val="center"/>
      </w:pPr>
      <w:r>
        <w:rPr>
          <w:rFonts w:ascii="B Lotus" w:hAnsi="B Lotus" w:cs="B Lotus" w:eastAsia="B Lotus"/>
          <w:b w:val="0"/>
          <w:i w:val="0"/>
          <w:sz w:val="28"/>
          <w:szCs w:val="28"/>
        </w:rPr>
        <w:t>سال تحصیلی ۱۴۰۵ ـ ۱۴۰۶</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120" w:after="240" w:line="288"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120" w:line="288" w:lineRule="auto"/>
        <w:ind w:firstLine="283"/>
        <w:jc w:val="both"/>
      </w:pPr>
      <w:r>
        <w:rPr>
          <w:rFonts w:ascii="B Lotus" w:hAnsi="B Lotus" w:cs="B Lotus" w:eastAsia="B Lotus"/>
          <w:b w:val="0"/>
          <w:i w:val="0"/>
          <w:sz w:val="28"/>
          <w:szCs w:val="28"/>
        </w:rPr>
        <w:t>رساله علمی سطح سه حوزه‌های علمیه</w:t>
      </w:r>
    </w:p>
    <w:p>
      <w:pPr>
        <w:widowControl/>
        <w:bidi w:val="1"/>
        <w:spacing w:before="0" w:after="120" w:line="288" w:lineRule="auto"/>
        <w:ind w:firstLine="283"/>
        <w:jc w:val="both"/>
      </w:pPr>
      <w:r>
        <w:rPr>
          <w:rFonts w:ascii="B Lotus" w:hAnsi="B Lotus" w:cs="B Lotus" w:eastAsia="B Lotus"/>
          <w:b w:val="0"/>
          <w:i w:val="0"/>
          <w:sz w:val="28"/>
          <w:szCs w:val="28"/>
        </w:rPr>
        <w:t>گرایش: فقه و اصول</w:t>
      </w:r>
    </w:p>
    <w:p>
      <w:pPr>
        <w:widowControl/>
        <w:bidi w:val="1"/>
        <w:spacing w:before="0" w:after="120" w:line="288" w:lineRule="auto"/>
        <w:ind w:firstLine="283"/>
        <w:jc w:val="both"/>
      </w:pPr>
      <w:r>
        <w:rPr>
          <w:rFonts w:ascii="B Lotus" w:hAnsi="B Lotus" w:cs="B Lotus" w:eastAsia="B Lotus"/>
          <w:b w:val="0"/>
          <w:i w:val="0"/>
          <w:sz w:val="28"/>
          <w:szCs w:val="28"/>
        </w:rPr>
        <w:t>نگارنده: هادی شبستانی</w:t>
      </w:r>
    </w:p>
    <w:p>
      <w:pPr>
        <w:widowControl/>
        <w:bidi w:val="1"/>
        <w:spacing w:before="0" w:after="120" w:line="288" w:lineRule="auto"/>
        <w:ind w:firstLine="283"/>
        <w:jc w:val="both"/>
      </w:pPr>
      <w:r>
        <w:rPr>
          <w:rFonts w:ascii="B Lotus" w:hAnsi="B Lotus" w:cs="B Lotus" w:eastAsia="B Lotus"/>
          <w:b w:val="0"/>
          <w:i w:val="0"/>
          <w:sz w:val="28"/>
          <w:szCs w:val="28"/>
        </w:rPr>
        <w:t>استاد راهنما: (نام استاد راهنما)</w:t>
      </w:r>
    </w:p>
    <w:p>
      <w:pPr>
        <w:widowControl/>
        <w:bidi w:val="1"/>
        <w:spacing w:before="0" w:after="120" w:line="288" w:lineRule="auto"/>
        <w:ind w:firstLine="283"/>
        <w:jc w:val="both"/>
      </w:pPr>
      <w:r>
        <w:rPr>
          <w:rFonts w:ascii="B Lotus" w:hAnsi="B Lotus" w:cs="B Lotus" w:eastAsia="B Lotus"/>
          <w:b w:val="0"/>
          <w:i w:val="0"/>
          <w:sz w:val="28"/>
          <w:szCs w:val="28"/>
        </w:rPr>
        <w:t>استاد مشاور: (نام استاد مشاور)</w:t>
      </w:r>
    </w:p>
    <w:p>
      <w:pPr>
        <w:widowControl/>
        <w:bidi w:val="1"/>
        <w:spacing w:before="0" w:after="120" w:line="288" w:lineRule="auto"/>
        <w:ind w:firstLine="283"/>
        <w:jc w:val="both"/>
      </w:pPr>
      <w:r>
        <w:rPr>
          <w:rFonts w:ascii="B Lotus" w:hAnsi="B Lotus" w:cs="B Lotus" w:eastAsia="B Lotus"/>
          <w:b w:val="0"/>
          <w:i w:val="0"/>
          <w:sz w:val="28"/>
          <w:szCs w:val="28"/>
        </w:rPr>
        <w:t>سال تحصیلی ۱۴۰۵ ـ ۱۴۰۶</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288" w:lineRule="auto"/>
        <w:jc w:val="center"/>
        <w:keepNext w:val="1"/>
      </w:pPr>
      <w:r>
        <w:rPr>
          <w:rFonts w:ascii="B Titr" w:hAnsi="B Titr" w:cs="B Titr" w:eastAsia="B Titr"/>
          <w:b/>
          <w:i w:val="0"/>
          <w:sz w:val="36"/>
          <w:szCs w:val="36"/>
        </w:rPr>
        <w:t>تقدیم</w:t>
      </w:r>
    </w:p>
    <w:p>
      <w:pPr>
        <w:widowControl/>
        <w:bidi w:val="1"/>
        <w:spacing w:before="0" w:after="160" w:line="288"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160" w:line="288"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160" w:line="288"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160" w:line="288"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288" w:lineRule="auto"/>
        <w:jc w:val="center"/>
        <w:keepNext w:val="1"/>
      </w:pPr>
      <w:r>
        <w:rPr>
          <w:rFonts w:ascii="B Titr" w:hAnsi="B Titr" w:cs="B Titr" w:eastAsia="B Titr"/>
          <w:b/>
          <w:i w:val="0"/>
          <w:sz w:val="36"/>
          <w:szCs w:val="36"/>
        </w:rPr>
        <w:t>سپاسگزاری</w:t>
      </w:r>
    </w:p>
    <w:p>
      <w:pPr>
        <w:widowControl/>
        <w:bidi w:val="1"/>
        <w:spacing w:before="0" w:after="160" w:line="288"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160" w:line="288"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160" w:line="288"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160" w:line="288"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160" w:line="288"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چکیده</w:t>
      </w:r>
    </w:p>
    <w:p>
      <w:pPr>
        <w:widowControl/>
        <w:bidi w:val="1"/>
        <w:spacing w:before="0" w:after="120" w:line="288" w:lineRule="auto"/>
        <w:ind w:firstLine="283"/>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120" w:line="288"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120" w:line="288"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120" w:line="288"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پیشگفتار</w:t>
      </w:r>
    </w:p>
    <w:p>
      <w:pPr>
        <w:widowControl/>
        <w:bidi w:val="1"/>
        <w:spacing w:before="0" w:after="120" w:line="288" w:lineRule="auto"/>
        <w:ind w:firstLine="283"/>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120" w:line="288"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120" w:line="288"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120" w:line="288"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120" w:line="288"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120" w:line="288"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288" w:lineRule="auto"/>
        <w:jc w:val="center"/>
        <w:keepNext w:val="1"/>
      </w:pPr>
      <w:r>
        <w:rPr>
          <w:rFonts w:ascii="B Titr" w:hAnsi="B Titr" w:cs="B Titr" w:eastAsia="B Titr"/>
          <w:b/>
          <w:i w:val="0"/>
          <w:sz w:val="36"/>
          <w:szCs w:val="36"/>
        </w:rPr>
        <w:t>Abstract</w:t>
      </w:r>
    </w:p>
    <w:p>
      <w:pPr>
        <w:widowControl/>
        <w:bidi w:val="1"/>
        <w:spacing w:before="0" w:after="120" w:line="288" w:lineRule="auto"/>
        <w:ind w:firstLine="283"/>
        <w:jc w:val="both"/>
      </w:pPr>
      <w:r>
        <w:rPr>
          <w:rFonts w:ascii="B Lotus" w:hAnsi="B Lotus" w:cs="B Lotus" w:eastAsia="B Lotus"/>
          <w:b w:val="0"/>
          <w:i w:val="0"/>
          <w:sz w:val="28"/>
          <w:szCs w:val="28"/>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bidi w:val="1"/>
        <w:spacing w:before="0" w:after="120" w:line="288" w:lineRule="auto"/>
        <w:ind w:firstLine="283"/>
        <w:jc w:val="both"/>
      </w:pPr>
      <w:r>
        <w:rPr>
          <w:rFonts w:ascii="B Lotus" w:hAnsi="B Lotus" w:cs="B Lotus" w:eastAsia="B Lotus"/>
          <w:b w:val="0"/>
          <w:i w:val="0"/>
          <w:sz w:val="28"/>
          <w:szCs w:val="28"/>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bidi w:val="1"/>
        <w:spacing w:before="0" w:after="120" w:line="288" w:lineRule="auto"/>
        <w:ind w:firstLine="283"/>
        <w:jc w:val="both"/>
      </w:pPr>
      <w:r>
        <w:rPr>
          <w:rFonts w:ascii="B Lotus" w:hAnsi="B Lotus" w:cs="B Lotus" w:eastAsia="B Lotus"/>
          <w:b w:val="0"/>
          <w:i w:val="0"/>
          <w:sz w:val="28"/>
          <w:szCs w:val="28"/>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bidi w:val="1"/>
        <w:spacing w:before="0" w:after="120" w:line="288" w:lineRule="auto"/>
        <w:ind w:firstLine="283"/>
        <w:jc w:val="both"/>
      </w:pPr>
      <w:r>
        <w:rPr>
          <w:rFonts w:ascii="B Lotus" w:hAnsi="B Lotus" w:cs="B Lotus" w:eastAsia="B Lotus"/>
          <w:b/>
          <w:i w:val="0"/>
          <w:sz w:val="28"/>
          <w:szCs w:val="28"/>
        </w:rPr>
        <w:t>Keywords:</w:t>
      </w:r>
      <w:r>
        <w:rPr>
          <w:rFonts w:ascii="B Lotus" w:hAnsi="B Lotus" w:cs="B Lotus" w:eastAsia="B Lotus"/>
          <w:b w:val="0"/>
          <w:i w:val="0"/>
          <w:sz w:val="28"/>
          <w:szCs w:val="28"/>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288" w:lineRule="auto"/>
        <w:jc w:val="center"/>
        <w:keepNext w:val="1"/>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مقدمه: کلیات تحقیق</w:t>
      </w:r>
    </w:p>
    <w:p>
      <w:pPr>
        <w:pStyle w:val="TH-Goftar"/>
        <w:widowControl/>
        <w:bidi w:val="1"/>
        <w:spacing w:before="200" w:after="120" w:line="288" w:lineRule="auto"/>
        <w:jc w:val="right"/>
        <w:keepNext w:val="1"/>
      </w:pPr>
      <w:r>
        <w:rPr>
          <w:rFonts w:ascii="B Titr" w:hAnsi="B Titr" w:cs="B Titr" w:eastAsia="B Titr"/>
          <w:b/>
          <w:i w:val="0"/>
          <w:sz w:val="32"/>
          <w:szCs w:val="32"/>
        </w:rPr>
        <w:t>بیان مسئله</w:t>
      </w:r>
    </w:p>
    <w:p>
      <w:pPr>
        <w:pStyle w:val="TH-Body"/>
        <w:widowControl/>
        <w:bidi w:val="1"/>
        <w:spacing w:before="0" w:after="120" w:line="288" w:lineRule="auto"/>
        <w:ind w:firstLine="283"/>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ضرورت و اهمیت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120" w:line="288"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00" w:after="120" w:line="288" w:lineRule="auto"/>
        <w:jc w:val="right"/>
        <w:keepNext w:val="1"/>
      </w:pPr>
      <w:r>
        <w:rPr>
          <w:rFonts w:ascii="B Titr" w:hAnsi="B Titr" w:cs="B Titr" w:eastAsia="B Titr"/>
          <w:b/>
          <w:i w:val="0"/>
          <w:sz w:val="32"/>
          <w:szCs w:val="32"/>
        </w:rPr>
        <w:t>اهداف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keepNext w:val="1"/>
      </w:pPr>
      <w:r>
        <w:rPr>
          <w:rFonts w:ascii="B Titr" w:hAnsi="B Titr" w:cs="B Titr" w:eastAsia="B Titr"/>
          <w:b/>
          <w:i w:val="0"/>
          <w:sz w:val="32"/>
          <w:szCs w:val="32"/>
        </w:rPr>
        <w:t>سؤالات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فرضیه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00" w:after="120" w:line="288" w:lineRule="auto"/>
        <w:jc w:val="right"/>
        <w:keepNext w:val="1"/>
      </w:pPr>
      <w:r>
        <w:rPr>
          <w:rFonts w:ascii="B Titr" w:hAnsi="B Titr" w:cs="B Titr" w:eastAsia="B Titr"/>
          <w:b/>
          <w:i w:val="0"/>
          <w:sz w:val="32"/>
          <w:szCs w:val="32"/>
        </w:rPr>
        <w:t>پیشینه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00" w:after="120" w:line="288" w:lineRule="auto"/>
        <w:jc w:val="right"/>
        <w:keepNext w:val="1"/>
      </w:pPr>
      <w:r>
        <w:rPr>
          <w:rFonts w:ascii="B Titr" w:hAnsi="B Titr" w:cs="B Titr" w:eastAsia="B Titr"/>
          <w:b/>
          <w:i w:val="0"/>
          <w:sz w:val="32"/>
          <w:szCs w:val="32"/>
        </w:rPr>
        <w:t>روش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00" w:after="120" w:line="288" w:lineRule="auto"/>
        <w:jc w:val="right"/>
        <w:keepNext w:val="1"/>
      </w:pPr>
      <w:r>
        <w:rPr>
          <w:rFonts w:ascii="B Titr" w:hAnsi="B Titr" w:cs="B Titr" w:eastAsia="B Titr"/>
          <w:b/>
          <w:i w:val="0"/>
          <w:sz w:val="32"/>
          <w:szCs w:val="32"/>
        </w:rPr>
        <w:t>ساماندهی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keepNext w:val="1"/>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ind w:firstLine="283"/>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120" w:line="288"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مبانی و کلیات</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120" w:line="288" w:lineRule="auto"/>
        <w:ind w:firstLine="283"/>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مفهوم معاهده و تعهد بین‌المللی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120" w:line="288" w:lineRule="auto"/>
        <w:ind w:firstLine="283"/>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120" w:line="288" w:lineRule="auto"/>
        <w:ind w:firstLine="283"/>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مفهوم ولی فقیه و گستره اختیارات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مفهوم عدول و مفاهیم خویشاوند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120" w:line="288"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120" w:line="288"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مفهوم مصلحت و چارچوب نظری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120" w:line="288" w:lineRule="auto"/>
        <w:ind w:firstLine="283"/>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120" w:line="288"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پیشینه مفهومی عهد در فقه؛ هدنه، امان، ذمه و صلح</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پیشینه فقهی لازم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هدنه؛ آتش‌بس موقت</w:t>
      </w:r>
    </w:p>
    <w:p>
      <w:pPr>
        <w:pStyle w:val="TH-Body"/>
        <w:widowControl/>
        <w:bidi w:val="1"/>
        <w:spacing w:before="0" w:after="120" w:line="288" w:lineRule="auto"/>
        <w:ind w:firstLine="283"/>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امان؛ تأمین فردی و جمعی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ذمه و صلح؛ پیمان‌های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جمع‌بندی؛ از نهادهای کهن تا معاهده مدرن</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اول</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تاریخچه و اصول حقوق معاهدات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120" w:line="288" w:lineRule="auto"/>
        <w:ind w:firstLine="283"/>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120" w:line="288" w:lineRule="auto"/>
        <w:ind w:firstLine="283"/>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120" w:line="288" w:lineRule="auto"/>
        <w:ind w:firstLine="283"/>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سازوکارهای تعلیق و خاتمه موجه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120" w:line="288" w:lineRule="auto"/>
        <w:ind w:firstLine="283"/>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حق شرط و اعلامیه تفسیری؛ انعطافِ هنگامِ پذیرش</w:t>
      </w:r>
    </w:p>
    <w:p>
      <w:pPr>
        <w:pStyle w:val="TH-Body"/>
        <w:widowControl/>
        <w:bidi w:val="1"/>
        <w:spacing w:before="0" w:after="120" w:line="288" w:lineRule="auto"/>
        <w:ind w:firstLine="283"/>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120" w:line="288"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اعتبار معاهدات؛ اهلیت، رضایت و عیوب اراده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شرایط اعتبار؛ چرا بحث اعتبار به مسئله ما مربوط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اهلیت و صلاحیت انعقاد</w:t>
      </w:r>
    </w:p>
    <w:p>
      <w:pPr>
        <w:pStyle w:val="TH-Body"/>
        <w:widowControl/>
        <w:bidi w:val="1"/>
        <w:spacing w:before="0" w:after="120" w:line="288" w:lineRule="auto"/>
        <w:ind w:firstLine="283"/>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عیوب اراده؛ اشتباه، فریب و اجبار</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ثبت معاهدات و اثر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اصول قانون اساسی مرتبط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120" w:line="288" w:lineRule="auto"/>
        <w:ind w:firstLine="283"/>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120" w:line="288" w:lineRule="auto"/>
        <w:ind w:firstLine="283"/>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۱۲۵ درباره «اعلام التزام»: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120" w:line="288" w:lineRule="auto"/>
        <w:ind w:firstLine="283"/>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اصول ۱۵۲ تا ۱۵۴ و ۱۷۶؛ جهت‌گیری سیاست خارجی</w:t>
      </w:r>
    </w:p>
    <w:p>
      <w:pPr>
        <w:pStyle w:val="TH-Body"/>
        <w:widowControl/>
        <w:bidi w:val="1"/>
        <w:spacing w:before="0" w:after="120" w:line="288" w:lineRule="auto"/>
        <w:ind w:firstLine="283"/>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دوم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120" w:line="288" w:lineRule="auto"/>
        <w:ind w:firstLine="283"/>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آیات عام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120" w:line="288" w:lineRule="auto"/>
        <w:ind w:firstLine="283"/>
        <w:jc w:val="both"/>
      </w:pPr>
      <w:r>
        <w:rPr>
          <w:rFonts w:ascii="B Lotus" w:hAnsi="B Lotus" w:cs="B Lotus" w:eastAsia="B Lotus"/>
          <w:b w:val="0"/>
          <w:i w:val="0"/>
          <w:sz w:val="28"/>
          <w:szCs w:val="28"/>
        </w:rPr>
        <w:t>آیه دوم، آیات ۹۱ و ۹۲ نحل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120" w:line="288" w:lineRule="auto"/>
        <w:ind w:firstLine="283"/>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120" w:line="288" w:lineRule="auto"/>
        <w:ind w:firstLine="283"/>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120" w:line="288" w:lineRule="auto"/>
        <w:ind w:firstLine="283"/>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120" w:line="288" w:lineRule="auto"/>
        <w:ind w:firstLine="283"/>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آیات خاص جهاد و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120" w:line="288" w:lineRule="auto"/>
        <w:ind w:firstLine="283"/>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روایات وفای به عهد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120" w:line="288" w:lineRule="auto"/>
        <w:ind w:firstLine="283"/>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سیره معصومان در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120" w:line="288"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120" w:line="288" w:lineRule="auto"/>
        <w:ind w:firstLine="283"/>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120" w:line="288" w:lineRule="auto"/>
        <w:ind w:firstLine="283"/>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دلیل عقل و بنای عقلا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120" w:line="288" w:lineRule="auto"/>
        <w:ind w:firstLine="283"/>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قواعد فقهی مؤید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00" w:after="120" w:line="288" w:lineRule="auto"/>
        <w:jc w:val="right"/>
        <w:keepNext w:val="1"/>
      </w:pPr>
      <w:r>
        <w:rPr>
          <w:rFonts w:ascii="B Titr" w:hAnsi="B Titr" w:cs="B Titr" w:eastAsia="B Titr"/>
          <w:b/>
          <w:i w:val="0"/>
          <w:sz w:val="32"/>
          <w:szCs w:val="32"/>
        </w:rPr>
        <w:t>گفتار هفتم: ادله تکمیلی؛ امانت، سوگند و آرای فقها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ادای امانت؛ نساء/۵۸</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120" w:line="288"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حفظ سوگند؛ مائده/۸۹</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نشانه منافق؛ وعده‌خلافی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میثاق مدینه و عهدنامه نجران؛ دو الگوی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120" w:line="288"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آرای فقها؛ از جواهر تا تحریر</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00" w:after="120" w:line="288" w:lineRule="auto"/>
        <w:jc w:val="right"/>
        <w:keepNext w:val="1"/>
      </w:pPr>
      <w:r>
        <w:rPr>
          <w:rFonts w:ascii="B Titr" w:hAnsi="B Titr" w:cs="B Titr" w:eastAsia="B Titr"/>
          <w:b/>
          <w:i w:val="0"/>
          <w:sz w:val="32"/>
          <w:szCs w:val="32"/>
        </w:rPr>
        <w:t>گفتار هشتم: واژه‌شناسی قرآنی؛ عهد، عقد، میثاق و وعد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واژه‌شناسی؟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 و عقد؛ التزام و گره</w:t>
      </w:r>
    </w:p>
    <w:p>
      <w:pPr>
        <w:pStyle w:val="TH-Body"/>
        <w:widowControl/>
        <w:bidi w:val="1"/>
        <w:spacing w:before="0" w:after="120" w:line="288" w:lineRule="auto"/>
        <w:ind w:firstLine="283"/>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میثاق و وعد؛ پیمانِ محکم و وعده</w:t>
      </w:r>
    </w:p>
    <w:p>
      <w:pPr>
        <w:pStyle w:val="TH-Body"/>
        <w:widowControl/>
        <w:bidi w:val="1"/>
        <w:spacing w:before="0" w:after="120" w:line="288" w:lineRule="auto"/>
        <w:ind w:firstLine="283"/>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120" w:line="288"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ایمان و ذمه؛ سوگند و عهده</w:t>
      </w:r>
    </w:p>
    <w:p>
      <w:pPr>
        <w:pStyle w:val="TH-Body"/>
        <w:widowControl/>
        <w:bidi w:val="1"/>
        <w:spacing w:before="0" w:after="120" w:line="288" w:lineRule="auto"/>
        <w:ind w:firstLine="283"/>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120" w:line="288"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سوم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قاعده تزاحم؛ قلب تپنده استدلال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120" w:line="288"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حکم حکومتی؛ ابزار حل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120" w:line="288" w:lineRule="auto"/>
        <w:ind w:firstLine="283"/>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نفی ضرر و حرج و مصلحت نظام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120" w:line="288" w:lineRule="auto"/>
        <w:ind w:firstLine="283"/>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ضوابط هشت‌گانه عدول حکومتی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120" w:line="288"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دفع اشکالات مقدّر؛ آزمون استحکام</w:t>
      </w:r>
    </w:p>
    <w:p>
      <w:pPr>
        <w:pStyle w:val="TH-Body"/>
        <w:widowControl/>
        <w:bidi w:val="1"/>
        <w:spacing w:before="0" w:after="120" w:line="288" w:lineRule="auto"/>
        <w:ind w:firstLine="283"/>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پیشینه نظری؛ از نراقی تا امام خمینی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نراقی و تأسیس بحث ولایت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نائینی و دولت مشروطه؛ تجربه تلخ و درس شیرین</w:t>
      </w:r>
    </w:p>
    <w:p>
      <w:pPr>
        <w:pStyle w:val="TH-Body"/>
        <w:widowControl/>
        <w:bidi w:val="1"/>
        <w:spacing w:before="0" w:after="120" w:line="288" w:lineRule="auto"/>
        <w:ind w:firstLine="283"/>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امام خمینی؛ از کشف اسرار تا صحیفه</w:t>
      </w:r>
    </w:p>
    <w:p>
      <w:pPr>
        <w:pStyle w:val="TH-Body"/>
        <w:widowControl/>
        <w:bidi w:val="1"/>
        <w:spacing w:before="0" w:after="120" w:line="288" w:lineRule="auto"/>
        <w:ind w:firstLine="283"/>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120" w:line="288"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صلح امام حسن؛ بزرگ‌ترین الگوی مصلحت‌سنجی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120" w:line="288"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120" w:line="288"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مراتب تزاحم؛ اهم، مهم و محتمل‌الاهمیه</w:t>
      </w:r>
    </w:p>
    <w:p>
      <w:pPr>
        <w:pStyle w:val="TH-Body"/>
        <w:widowControl/>
        <w:bidi w:val="1"/>
        <w:spacing w:before="0" w:after="120" w:line="288" w:lineRule="auto"/>
        <w:ind w:firstLine="283"/>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120" w:line="288"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00" w:after="120" w:line="288" w:lineRule="auto"/>
        <w:jc w:val="right"/>
        <w:keepNext w:val="1"/>
      </w:pPr>
      <w:r>
        <w:rPr>
          <w:rFonts w:ascii="B Titr" w:hAnsi="B Titr" w:cs="B Titr" w:eastAsia="B Titr"/>
          <w:b/>
          <w:i w:val="0"/>
          <w:sz w:val="32"/>
          <w:szCs w:val="32"/>
        </w:rPr>
        <w:t>حاصل فصل چهارم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ind w:firstLine="283"/>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120" w:line="288"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120" w:line="288" w:lineRule="auto"/>
        <w:ind w:firstLine="283"/>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120" w:line="288"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120" w:line="288"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ind w:firstLine="283"/>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ind w:firstLine="283"/>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شرایط اقدام متقابل و جبران در رویه</w:t>
      </w:r>
    </w:p>
    <w:p>
      <w:pPr>
        <w:pStyle w:val="TH-Body"/>
        <w:widowControl/>
        <w:bidi w:val="1"/>
        <w:spacing w:before="0" w:after="120" w:line="288" w:lineRule="auto"/>
        <w:ind w:firstLine="283"/>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120" w:line="288"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نمونه تحلیلی؛ تجربه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تجربه تطبیقی؛ خروج از معاهدات در عمل دولت‌ها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اصول ۱۰۷ تا ۱۱۱؛ نصب، شرایط و نظارت</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سیاست‌های کلی نظام؛ حلقه واسطِ رهبری و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تحلیل اصل ۱۱۰؛ نقد ادعای حصر و تفکیک انواع اختیار</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120" w:line="288"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پنجم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نتیجه‌گیری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00" w:after="120" w:line="288" w:lineRule="auto"/>
        <w:jc w:val="right"/>
        <w:keepNext w:val="1"/>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00" w:after="120" w:line="288" w:lineRule="auto"/>
        <w:jc w:val="right"/>
        <w:keepNext w:val="1"/>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نوآوری‌ها و پیشنهادها</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00" w:after="120" w:line="288" w:lineRule="auto"/>
        <w:jc w:val="right"/>
        <w:keepNext w:val="1"/>
      </w:pPr>
      <w:r>
        <w:rPr>
          <w:rFonts w:ascii="B Titr" w:hAnsi="B Titr" w:cs="B Titr" w:eastAsia="B Titr"/>
          <w:b/>
          <w:i w:val="0"/>
          <w:sz w:val="32"/>
          <w:szCs w:val="32"/>
        </w:rPr>
        <w:t>پاسخ کوتاه به سؤال‌های فرعی؛ جمع‌بندی برای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00" w:after="120" w:line="288" w:lineRule="auto"/>
        <w:jc w:val="right"/>
        <w:keepNext w:val="1"/>
      </w:pPr>
      <w:r>
        <w:rPr>
          <w:rFonts w:ascii="B Titr" w:hAnsi="B Titr" w:cs="B Titr" w:eastAsia="B Titr"/>
          <w:b/>
          <w:i w:val="0"/>
          <w:sz w:val="32"/>
          <w:szCs w:val="32"/>
        </w:rPr>
        <w:t>مسیر آینده؛ از رساله تا نظام‌سازی</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فهرست منابع</w:t>
      </w:r>
    </w:p>
    <w:p>
      <w:pPr>
        <w:pStyle w:val="TH-Body"/>
        <w:widowControl/>
        <w:bidi w:val="1"/>
        <w:spacing w:before="0" w:after="120" w:line="288" w:lineRule="auto"/>
        <w:ind w:firstLine="283"/>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00" w:after="120" w:line="288" w:lineRule="auto"/>
        <w:jc w:val="right"/>
        <w:keepNext w:val="1"/>
      </w:pPr>
      <w:r>
        <w:rPr>
          <w:rFonts w:ascii="B Titr" w:hAnsi="B Titr" w:cs="B Titr" w:eastAsia="B Titr"/>
          <w:b/>
          <w:i w:val="0"/>
          <w:sz w:val="32"/>
          <w:szCs w:val="32"/>
        </w:rPr>
        <w:t>قرآن کریم و تفاسیر</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جوامع حدیثی و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کتب فقهی و اصولی</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keepNext w:val="1"/>
      </w:pPr>
      <w:r>
        <w:rPr>
          <w:rFonts w:ascii="B Titr" w:hAnsi="B Titr" w:cs="B Titr" w:eastAsia="B Titr"/>
          <w:b/>
          <w:i w:val="0"/>
          <w:sz w:val="32"/>
          <w:szCs w:val="32"/>
        </w:rPr>
        <w:t>اسناد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120" w:line="288"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keepNext w:val="1"/>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ind w:firstLine="283"/>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یادداشت‌های کتاب‌شناختی؛ راهنمای خواننده</w:t>
      </w:r>
    </w:p>
    <w:p>
      <w:pPr>
        <w:pStyle w:val="TH-Body"/>
        <w:widowControl/>
        <w:bidi w:val="1"/>
        <w:spacing w:before="0" w:after="120" w:line="288" w:lineRule="auto"/>
        <w:ind w:firstLine="283"/>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00" w:after="120" w:line="288" w:lineRule="auto"/>
        <w:jc w:val="right"/>
        <w:keepNext w:val="1"/>
      </w:pPr>
      <w:r>
        <w:rPr>
          <w:rFonts w:ascii="B Titr" w:hAnsi="B Titr" w:cs="B Titr" w:eastAsia="B Titr"/>
          <w:b/>
          <w:i w:val="0"/>
          <w:sz w:val="32"/>
          <w:szCs w:val="32"/>
        </w:rPr>
        <w:t>پایگاه‌های اینترنتی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پیوست‌ها</w:t>
      </w:r>
    </w:p>
    <w:p>
      <w:pPr>
        <w:pStyle w:val="TH-Body"/>
        <w:widowControl/>
        <w:bidi w:val="1"/>
        <w:spacing w:before="0" w:after="120" w:line="288" w:lineRule="auto"/>
        <w:ind w:firstLine="283"/>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00" w:after="120" w:line="288" w:lineRule="auto"/>
        <w:jc w:val="right"/>
        <w:keepNext w:val="1"/>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120" w:line="288"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120" w:line="288"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00" w:after="120" w:line="288" w:lineRule="auto"/>
        <w:jc w:val="right"/>
        <w:keepNext w:val="1"/>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120" w:line="288"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00" w:after="120" w:line="288" w:lineRule="auto"/>
        <w:jc w:val="right"/>
        <w:keepNext w:val="1"/>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120" w:line="288"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120" w:line="288"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120" w:line="288"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120" w:line="288"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120" w:line="288"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00" w:after="120" w:line="288" w:lineRule="auto"/>
        <w:jc w:val="right"/>
        <w:keepNext w:val="1"/>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keepNext w:val="1"/>
      </w:pPr>
      <w:r>
        <w:rPr>
          <w:rFonts w:ascii="B Titr" w:hAnsi="B Titr" w:cs="B Titr" w:eastAsia="B Titr"/>
          <w:b/>
          <w:i w:val="0"/>
          <w:sz w:val="32"/>
          <w:szCs w:val="32"/>
        </w:rPr>
        <w:t>پیوست پنجم: گزیده عهدنامه مالک اشتر (متن و ترجمه)</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120" w:line="288" w:lineRule="auto"/>
        <w:ind w:firstLine="283"/>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120" w:line="288" w:lineRule="auto"/>
        <w:ind w:firstLine="283"/>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120" w:line="288" w:lineRule="auto"/>
        <w:ind w:firstLine="283"/>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120" w:line="288" w:lineRule="auto"/>
        <w:ind w:firstLine="283"/>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00" w:after="120" w:line="288" w:lineRule="auto"/>
        <w:jc w:val="right"/>
        <w:keepNext w:val="1"/>
      </w:pPr>
      <w:r>
        <w:rPr>
          <w:rFonts w:ascii="B Titr" w:hAnsi="B Titr" w:cs="B Titr" w:eastAsia="B Titr"/>
          <w:b/>
          <w:i w:val="0"/>
          <w:sz w:val="32"/>
          <w:szCs w:val="32"/>
        </w:rPr>
        <w:t>پیوست ششم: واژه‌نامه فارسی ـ عربی ـ انگلیسی</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tblLayout w:type="autofit"/>
      <w:tblLook w:firstColumn="1" w:firstRow="1" w:lastColumn="0" w:lastRow="0" w:noHBand="0" w:noVBand="1" w:val="04A0"/>
      <w:bidiVisual/>
      <w:tblBorders>
        <w:left w:val="nil" w:sz="0" w:space="0" w:color="auto"/>
        <w:bottom w:val="nil" w:sz="0" w:space="0" w:color="auto"/>
        <w:right w:val="nil" w:sz="0" w:space="0" w:color="auto"/>
        <w:insideH w:val="nil" w:sz="0" w:space="0" w:color="auto"/>
        <w:insideV w:val="nil" w:sz="0" w:space="0" w:color="auto"/>
        <w:top w:val="single" w:sz="6" w:space="6" w:color="BFBFBF"/>
      </w:tblBorders>
    </w:tblPr>
    <w:tblGrid>
      <w:gridCol w:w="4535"/>
      <w:gridCol w:w="4535"/>
    </w:tblGrid>
    <w:tr>
      <w:tc>
        <w:tcPr>
          <w:tcW w:type="dxa" w:w="6236"/>
        </w:tcPr>
        <w:p>
          <w:pPr>
            <w:widowControl/>
            <w:bidi w:val="1"/>
            <w:spacing w:before="80" w:after="0" w:line="288" w:lineRule="auto"/>
            <w:jc w:val="right"/>
          </w:pPr>
          <w:r/>
          <w:r>
            <w:rPr>
              <w:rFonts w:ascii="B Lotus" w:hAnsi="B Lotus" w:cs="B Lotus" w:eastAsia="B Lotus"/>
              <w:b w:val="0"/>
              <w:i w:val="0"/>
              <w:color w:val="595659"/>
              <w:sz w:val="18"/>
              <w:szCs w:val="18"/>
            </w:rPr>
            <w:t>رساله علمی سطح سه ـ هادی شبستانی</w:t>
          </w:r>
        </w:p>
      </w:tc>
      <w:tc>
        <w:tcPr>
          <w:tcW w:type="dxa" w:w="2835"/>
        </w:tcPr>
        <w:p>
          <w:pPr>
            <w:spacing w:before="80" w:after="0" w:line="288" w:lineRule="auto"/>
            <w:jc w:val="left"/>
            <w:bidi w:val="1"/>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ftr>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288"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