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288" w:lineRule="auto"/>
        <w:jc w:val="center"/>
      </w:pPr>
      <w:r>
        <w:rPr>
          <w:rFonts w:ascii="B Titr" w:hAnsi="B Titr" w:cs="B Titr" w:eastAsia="B Titr"/>
          <w:b w:val="0"/>
          <w:i w:val="0"/>
          <w:sz w:val="32"/>
          <w:szCs w:val="32"/>
        </w:rPr>
        <w:t>حوزه‌های علمیه</w:t>
      </w:r>
    </w:p>
    <w:p>
      <w:pPr>
        <w:widowControl/>
        <w:bidi w:val="1"/>
        <w:spacing w:before="0" w:after="240" w:line="288" w:lineRule="auto"/>
        <w:jc w:val="center"/>
      </w:pPr>
      <w:r>
        <w:rPr>
          <w:rFonts w:ascii="B Titr" w:hAnsi="B Titr" w:cs="B Titr" w:eastAsia="B Titr"/>
          <w:b/>
          <w:i w:val="0"/>
          <w:sz w:val="44"/>
          <w:szCs w:val="44"/>
        </w:rPr>
        <w:t>رساله علمی سطح سه</w:t>
      </w:r>
    </w:p>
    <w:p>
      <w:pPr>
        <w:widowControl/>
        <w:bidi w:val="1"/>
        <w:spacing w:before="0" w:after="240" w:line="288" w:lineRule="auto"/>
        <w:ind w:right="1701" w:left="1701"/>
        <w:jc w:val="center"/>
        <w:pBdr>
          <w:bottom w:val="single" w:sz="12" w:space="6" w:color="1F3864"/>
        </w:pBdr>
      </w:pPr>
    </w:p>
    <w:p>
      <w:pPr>
        <w:widowControl/>
        <w:bidi w:val="1"/>
        <w:spacing w:before="0" w:after="120" w:line="288"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288"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288" w:lineRule="auto"/>
        <w:ind w:right="1701" w:left="1701"/>
        <w:jc w:val="center"/>
        <w:pBdr>
          <w:bottom w:val="single" w:sz="12" w:space="6" w:color="1F3864"/>
        </w:pBdr>
      </w:pPr>
    </w:p>
    <w:p>
      <w:pPr>
        <w:widowControl/>
        <w:bidi w:val="1"/>
        <w:spacing w:before="0" w:after="20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240" w:line="288" w:lineRule="auto"/>
        <w:jc w:val="center"/>
      </w:pPr>
      <w:r>
        <w:rPr>
          <w:rFonts w:ascii="B Lotus" w:hAnsi="B Lotus" w:cs="B Lotus" w:eastAsia="B Lotus"/>
          <w:b w:val="0"/>
          <w:i w:val="0"/>
          <w:sz w:val="28"/>
          <w:szCs w:val="28"/>
        </w:rPr>
        <w:t>گرایش: فقه و اصول</w:t>
      </w:r>
    </w:p>
    <w:p>
      <w:pPr>
        <w:widowControl/>
        <w:bidi w:val="1"/>
        <w:spacing w:before="0" w:after="120" w:line="288" w:lineRule="auto"/>
        <w:jc w:val="center"/>
      </w:pPr>
      <w:r>
        <w:rPr>
          <w:rFonts w:ascii="B Lotus" w:hAnsi="B Lotus" w:cs="B Lotus" w:eastAsia="B Lotus"/>
          <w:b w:val="0"/>
          <w:i w:val="0"/>
          <w:sz w:val="28"/>
          <w:szCs w:val="28"/>
        </w:rPr>
        <w:t>سال تحصیلی ۱۴۰۵ ـ ۱۴۰۶</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120" w:after="240" w:line="288"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120" w:line="288" w:lineRule="auto"/>
        <w:ind w:firstLine="283"/>
        <w:jc w:val="both"/>
      </w:pPr>
      <w:r>
        <w:rPr>
          <w:rFonts w:ascii="B Lotus" w:hAnsi="B Lotus" w:cs="B Lotus" w:eastAsia="B Lotus"/>
          <w:b w:val="0"/>
          <w:i w:val="0"/>
          <w:sz w:val="28"/>
          <w:szCs w:val="28"/>
        </w:rPr>
        <w:t>رساله علمی سطح سه حوزه‌های علمیه</w:t>
      </w:r>
    </w:p>
    <w:p>
      <w:pPr>
        <w:widowControl/>
        <w:bidi w:val="1"/>
        <w:spacing w:before="0" w:after="120" w:line="288" w:lineRule="auto"/>
        <w:ind w:firstLine="283"/>
        <w:jc w:val="both"/>
      </w:pPr>
      <w:r>
        <w:rPr>
          <w:rFonts w:ascii="B Lotus" w:hAnsi="B Lotus" w:cs="B Lotus" w:eastAsia="B Lotus"/>
          <w:b w:val="0"/>
          <w:i w:val="0"/>
          <w:sz w:val="28"/>
          <w:szCs w:val="28"/>
        </w:rPr>
        <w:t>گرایش: فقه و اصول</w:t>
      </w:r>
    </w:p>
    <w:p>
      <w:pPr>
        <w:widowControl/>
        <w:bidi w:val="1"/>
        <w:spacing w:before="0" w:after="120" w:line="288" w:lineRule="auto"/>
        <w:ind w:firstLine="283"/>
        <w:jc w:val="both"/>
      </w:pPr>
      <w:r>
        <w:rPr>
          <w:rFonts w:ascii="B Lotus" w:hAnsi="B Lotus" w:cs="B Lotus" w:eastAsia="B Lotus"/>
          <w:b w:val="0"/>
          <w:i w:val="0"/>
          <w:sz w:val="28"/>
          <w:szCs w:val="28"/>
        </w:rPr>
        <w:t>نگارنده: هادی شبستانی</w:t>
      </w:r>
    </w:p>
    <w:p>
      <w:pPr>
        <w:widowControl/>
        <w:bidi w:val="1"/>
        <w:spacing w:before="0" w:after="120" w:line="288" w:lineRule="auto"/>
        <w:ind w:firstLine="283"/>
        <w:jc w:val="both"/>
      </w:pPr>
      <w:r>
        <w:rPr>
          <w:rFonts w:ascii="B Lotus" w:hAnsi="B Lotus" w:cs="B Lotus" w:eastAsia="B Lotus"/>
          <w:b w:val="0"/>
          <w:i w:val="0"/>
          <w:sz w:val="28"/>
          <w:szCs w:val="28"/>
        </w:rPr>
        <w:t>استاد راهنما: (نام استاد راهنما)</w:t>
      </w:r>
    </w:p>
    <w:p>
      <w:pPr>
        <w:widowControl/>
        <w:bidi w:val="1"/>
        <w:spacing w:before="0" w:after="120" w:line="288" w:lineRule="auto"/>
        <w:ind w:firstLine="283"/>
        <w:jc w:val="both"/>
      </w:pPr>
      <w:r>
        <w:rPr>
          <w:rFonts w:ascii="B Lotus" w:hAnsi="B Lotus" w:cs="B Lotus" w:eastAsia="B Lotus"/>
          <w:b w:val="0"/>
          <w:i w:val="0"/>
          <w:sz w:val="28"/>
          <w:szCs w:val="28"/>
        </w:rPr>
        <w:t>استاد مشاور: (نام استاد مشاور)</w:t>
      </w:r>
    </w:p>
    <w:p>
      <w:pPr>
        <w:widowControl/>
        <w:bidi w:val="1"/>
        <w:spacing w:before="0" w:after="120" w:line="288" w:lineRule="auto"/>
        <w:ind w:firstLine="283"/>
        <w:jc w:val="both"/>
      </w:pPr>
      <w:r>
        <w:rPr>
          <w:rFonts w:ascii="B Lotus" w:hAnsi="B Lotus" w:cs="B Lotus" w:eastAsia="B Lotus"/>
          <w:b w:val="0"/>
          <w:i w:val="0"/>
          <w:sz w:val="28"/>
          <w:szCs w:val="28"/>
        </w:rPr>
        <w:t>سال تحصیلی ۱۴۰۵ ـ ۱۴۰۶</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288" w:lineRule="auto"/>
        <w:jc w:val="center"/>
        <w:keepNext w:val="1"/>
      </w:pPr>
      <w:r>
        <w:rPr>
          <w:rFonts w:ascii="B Titr" w:hAnsi="B Titr" w:cs="B Titr" w:eastAsia="B Titr"/>
          <w:b/>
          <w:i w:val="0"/>
          <w:sz w:val="36"/>
          <w:szCs w:val="36"/>
        </w:rPr>
        <w:t>تقدیم</w:t>
      </w:r>
    </w:p>
    <w:p>
      <w:pPr>
        <w:widowControl/>
        <w:bidi w:val="1"/>
        <w:spacing w:before="0" w:after="160" w:line="288"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160" w:line="288"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160" w:line="288"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160" w:line="288"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288" w:lineRule="auto"/>
        <w:jc w:val="center"/>
        <w:keepNext w:val="1"/>
      </w:pPr>
      <w:r>
        <w:rPr>
          <w:rFonts w:ascii="B Titr" w:hAnsi="B Titr" w:cs="B Titr" w:eastAsia="B Titr"/>
          <w:b/>
          <w:i w:val="0"/>
          <w:sz w:val="36"/>
          <w:szCs w:val="36"/>
        </w:rPr>
        <w:t>سپاسگزاری</w:t>
      </w:r>
    </w:p>
    <w:p>
      <w:pPr>
        <w:widowControl/>
        <w:bidi w:val="1"/>
        <w:spacing w:before="0" w:after="160" w:line="288"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160" w:line="288"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160" w:line="288"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160" w:line="288"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160" w:line="288"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چکیده</w:t>
      </w:r>
    </w:p>
    <w:p>
      <w:pPr>
        <w:widowControl/>
        <w:bidi w:val="1"/>
        <w:spacing w:before="0" w:after="120" w:line="288" w:lineRule="auto"/>
        <w:ind w:firstLine="283"/>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120" w:line="288"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120" w:line="288"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120" w:line="288"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پیشگفتار</w:t>
      </w:r>
    </w:p>
    <w:p>
      <w:pPr>
        <w:widowControl/>
        <w:bidi w:val="1"/>
        <w:spacing w:before="0" w:after="120" w:line="288" w:lineRule="auto"/>
        <w:ind w:firstLine="283"/>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120" w:line="288"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120" w:line="288"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120" w:line="288"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120" w:line="288"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120" w:line="288"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288" w:lineRule="auto"/>
        <w:jc w:val="center"/>
        <w:keepNext w:val="1"/>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مقدمه: کلیات تحقیق</w:t>
      </w:r>
    </w:p>
    <w:p>
      <w:pPr>
        <w:pStyle w:val="TH-Goftar"/>
        <w:widowControl/>
        <w:bidi w:val="1"/>
        <w:spacing w:before="200" w:after="120" w:line="288" w:lineRule="auto"/>
        <w:jc w:val="right"/>
        <w:keepNext w:val="1"/>
      </w:pPr>
      <w:r>
        <w:rPr>
          <w:rFonts w:ascii="B Titr" w:hAnsi="B Titr" w:cs="B Titr" w:eastAsia="B Titr"/>
          <w:b/>
          <w:i w:val="0"/>
          <w:sz w:val="32"/>
          <w:szCs w:val="32"/>
        </w:rPr>
        <w:t>بیان مسئله</w:t>
      </w:r>
    </w:p>
    <w:p>
      <w:pPr>
        <w:pStyle w:val="TH-Body"/>
        <w:widowControl/>
        <w:bidi w:val="1"/>
        <w:spacing w:before="0" w:after="120" w:line="288" w:lineRule="auto"/>
        <w:ind w:firstLine="283"/>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ضرورت و اهمیت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120" w:line="288"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00" w:after="120" w:line="288" w:lineRule="auto"/>
        <w:jc w:val="right"/>
        <w:keepNext w:val="1"/>
      </w:pPr>
      <w:r>
        <w:rPr>
          <w:rFonts w:ascii="B Titr" w:hAnsi="B Titr" w:cs="B Titr" w:eastAsia="B Titr"/>
          <w:b/>
          <w:i w:val="0"/>
          <w:sz w:val="32"/>
          <w:szCs w:val="32"/>
        </w:rPr>
        <w:t>اهداف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keepNext w:val="1"/>
      </w:pPr>
      <w:r>
        <w:rPr>
          <w:rFonts w:ascii="B Titr" w:hAnsi="B Titr" w:cs="B Titr" w:eastAsia="B Titr"/>
          <w:b/>
          <w:i w:val="0"/>
          <w:sz w:val="32"/>
          <w:szCs w:val="32"/>
        </w:rPr>
        <w:t>سؤالات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فرضیه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00" w:after="120" w:line="288" w:lineRule="auto"/>
        <w:jc w:val="right"/>
        <w:keepNext w:val="1"/>
      </w:pPr>
      <w:r>
        <w:rPr>
          <w:rFonts w:ascii="B Titr" w:hAnsi="B Titr" w:cs="B Titr" w:eastAsia="B Titr"/>
          <w:b/>
          <w:i w:val="0"/>
          <w:sz w:val="32"/>
          <w:szCs w:val="32"/>
        </w:rPr>
        <w:t>پیشینه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00" w:after="120" w:line="288" w:lineRule="auto"/>
        <w:jc w:val="right"/>
        <w:keepNext w:val="1"/>
      </w:pPr>
      <w:r>
        <w:rPr>
          <w:rFonts w:ascii="B Titr" w:hAnsi="B Titr" w:cs="B Titr" w:eastAsia="B Titr"/>
          <w:b/>
          <w:i w:val="0"/>
          <w:sz w:val="32"/>
          <w:szCs w:val="32"/>
        </w:rPr>
        <w:t>روش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Goftar"/>
        <w:widowControl/>
        <w:bidi w:val="1"/>
        <w:spacing w:before="200" w:after="120" w:line="288" w:lineRule="auto"/>
        <w:jc w:val="right"/>
        <w:keepNext w:val="1"/>
      </w:pPr>
      <w:r>
        <w:rPr>
          <w:rFonts w:ascii="B Titr" w:hAnsi="B Titr" w:cs="B Titr" w:eastAsia="B Titr"/>
          <w:b/>
          <w:i w:val="0"/>
          <w:sz w:val="32"/>
          <w:szCs w:val="32"/>
        </w:rPr>
        <w:t>ساماندهی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keepNext w:val="1"/>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ind w:firstLine="283"/>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120" w:line="288"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مبانی و کلیات</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120" w:line="288" w:lineRule="auto"/>
        <w:ind w:firstLine="283"/>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مفهوم معاهده و تعهد بین‌المللی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4"/>
      </w:r>
    </w:p>
    <w:p>
      <w:pPr>
        <w:pStyle w:val="TH-Body"/>
        <w:widowControl/>
        <w:bidi w:val="1"/>
        <w:spacing w:before="0" w:after="120" w:line="288" w:lineRule="auto"/>
        <w:ind w:firstLine="283"/>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120" w:line="288" w:lineRule="auto"/>
        <w:ind w:firstLine="283"/>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مفهوم ولی فقیه و گستره اختیارات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6"/>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مفهوم عدول و مفاهیم خویشاوند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120" w:line="288"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120" w:line="288"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مفهوم مصلحت و چارچوب نظری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120" w:line="288" w:lineRule="auto"/>
        <w:ind w:firstLine="283"/>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120" w:line="288"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اول</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تاریخچه و اصول حقوق معاهدات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1"/>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120" w:line="288" w:lineRule="auto"/>
        <w:ind w:firstLine="283"/>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2"/>
      </w:r>
    </w:p>
    <w:p>
      <w:pPr>
        <w:pStyle w:val="TH-Body"/>
        <w:widowControl/>
        <w:bidi w:val="1"/>
        <w:spacing w:before="0" w:after="120" w:line="288" w:lineRule="auto"/>
        <w:ind w:firstLine="283"/>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3"/>
      </w:r>
    </w:p>
    <w:p>
      <w:pPr>
        <w:pStyle w:val="TH-Body"/>
        <w:widowControl/>
        <w:bidi w:val="1"/>
        <w:spacing w:before="0" w:after="120" w:line="288" w:lineRule="auto"/>
        <w:ind w:firstLine="283"/>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14"/>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سازوکارهای تعلیق و خاتمه موجه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15"/>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16"/>
      </w:r>
      <w:r>
        <w:rPr>
          <w:rFonts w:ascii="B Lotus" w:hAnsi="B Lotus" w:cs="B Lotus" w:eastAsia="B Lotus"/>
          <w:b w:val="0"/>
          <w:i w:val="0"/>
          <w:sz w:val="28"/>
          <w:szCs w:val="28"/>
        </w:rPr>
        <w:t xml:space="preserve"> این راه، سبزترین صورت طیف پنج‌گانه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17"/>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18"/>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19"/>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0"/>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1"/>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120" w:line="288" w:lineRule="auto"/>
        <w:ind w:firstLine="283"/>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23"/>
      </w:r>
    </w:p>
    <w:p>
      <w:pPr>
        <w:pStyle w:val="TH-Body"/>
        <w:widowControl/>
        <w:bidi w:val="1"/>
        <w:spacing w:before="0" w:after="120" w:line="288"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اصول قانون اساسی مرتبط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25"/>
      </w:r>
    </w:p>
    <w:p>
      <w:pPr>
        <w:pStyle w:val="TH-Body"/>
        <w:widowControl/>
        <w:bidi w:val="1"/>
        <w:spacing w:before="0" w:after="120" w:line="288" w:lineRule="auto"/>
        <w:ind w:firstLine="283"/>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26"/>
      </w:r>
    </w:p>
    <w:p>
      <w:pPr>
        <w:pStyle w:val="TH-Body"/>
        <w:widowControl/>
        <w:bidi w:val="1"/>
        <w:spacing w:before="0" w:after="120" w:line="288" w:lineRule="auto"/>
        <w:ind w:firstLine="283"/>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27"/>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۱۲۵ درباره «اعلام التزام»: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28"/>
      </w:r>
    </w:p>
    <w:p>
      <w:pPr>
        <w:pStyle w:val="TH-Body"/>
        <w:widowControl/>
        <w:bidi w:val="1"/>
        <w:spacing w:before="0" w:after="120" w:line="288" w:lineRule="auto"/>
        <w:ind w:firstLine="283"/>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29"/>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3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اصول سیاست خارجی؛ ۱۵۲ تا ۱۵۴ و ۱۷۶</w:t>
      </w:r>
    </w:p>
    <w:p>
      <w:pPr>
        <w:pStyle w:val="TH-Body"/>
        <w:widowControl/>
        <w:bidi w:val="1"/>
        <w:spacing w:before="0" w:after="120" w:line="288" w:lineRule="auto"/>
        <w:ind w:firstLine="283"/>
        <w:jc w:val="both"/>
      </w:pPr>
      <w:r>
        <w:rPr>
          <w:rFonts w:ascii="B Lotus" w:hAnsi="B Lotus" w:cs="B Lotus" w:eastAsia="B Lotus"/>
          <w:b w:val="0"/>
          <w:i w:val="0"/>
          <w:sz w:val="28"/>
          <w:szCs w:val="28"/>
        </w:rPr>
        <w:t>سه اصل ۱۵۲، ۱۵۳ و ۱۵۴، جهت‌گیری کلی سیاست خارجی را مشخص می‌کنند: نفی سلطه‌جویی و سلطه‌پذیری، حفظ استقلال و تمامیت ارضی، دفاع از حقوق مسلمانان، عدم تعهد در برابر قدرت‌های سلطه‌گر، روابط صلح‌آمیز متقابل با دول غیرمحارب، ممنوعیت هر قراردادی که موجب سلطه بیگانه شود، و حمایت از مبارزات حق‌طلبانه.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این اصول، «مرزهای ارزشی» سیاست خارجی‌اند؛ و هر معاهده‌ای که با آن‌ها ناسازگار شود ـ مثلاً به سلطه بیگانه بینجامد ـ از نظر قانون اساسی از اول مشکل داشته؛ و عدول از چنین معاهده‌ای، نه‌تنها جایز، بلکه به مقتضای اصل ۱۵۳ «واجب» است. این نکته، یکی از مستندات داخلیِ جواز عدول است که در فصل چهارم به کار می‌برم.</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۱۷۶ هم با پیش‌بینی «شورای عالی امنیت ملی» ـ به ریاست رئیس‌جمهور و با حضور سران قوا و مقامات عالی نظامی و امنیتی ـ سازوکار نهادیِ تصمیم‌گیری در حوزه امنیت ملی و سیاست خارجی را مشخص کرده.</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این شورا، حلقه واسط میان کارشناسی و تصمیم نهایی است؛ و مصوباتش ـ پس از تأیید رهبری ـ لازم‌الاجراست. پس در مقام عمل، تصمیم عدول معمولاً از این مجرا می‌گذرد؛ مجرایی که هم کارشناسی است هم نهادی، و هم به تأیید نهایی ولی فقیه می‌رسد.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دوم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120" w:line="288" w:lineRule="auto"/>
        <w:ind w:firstLine="283"/>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آیات عام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33"/>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34"/>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120" w:line="288" w:lineRule="auto"/>
        <w:ind w:firstLine="283"/>
        <w:jc w:val="both"/>
      </w:pPr>
      <w:r>
        <w:rPr>
          <w:rFonts w:ascii="B Lotus" w:hAnsi="B Lotus" w:cs="B Lotus" w:eastAsia="B Lotus"/>
          <w:b w:val="0"/>
          <w:i w:val="0"/>
          <w:sz w:val="28"/>
          <w:szCs w:val="28"/>
        </w:rPr>
        <w:t>آیه دوم، آیات ۹۱ و ۹۲ نحل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35"/>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36"/>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37"/>
      </w:r>
    </w:p>
    <w:p>
      <w:pPr>
        <w:pStyle w:val="TH-Body"/>
        <w:widowControl/>
        <w:bidi w:val="1"/>
        <w:spacing w:before="0" w:after="120" w:line="288" w:lineRule="auto"/>
        <w:ind w:firstLine="283"/>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38"/>
      </w:r>
    </w:p>
    <w:p>
      <w:pPr>
        <w:pStyle w:val="TH-Body"/>
        <w:widowControl/>
        <w:bidi w:val="1"/>
        <w:spacing w:before="0" w:after="120" w:line="288" w:lineRule="auto"/>
        <w:ind w:firstLine="283"/>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39"/>
      </w:r>
    </w:p>
    <w:p>
      <w:pPr>
        <w:pStyle w:val="TH-Body"/>
        <w:widowControl/>
        <w:bidi w:val="1"/>
        <w:spacing w:before="0" w:after="120" w:line="288" w:lineRule="auto"/>
        <w:ind w:firstLine="283"/>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120" w:line="288" w:lineRule="auto"/>
        <w:ind w:firstLine="283"/>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آیات خاص جهاد و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40"/>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41"/>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42"/>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43"/>
      </w:r>
    </w:p>
    <w:p>
      <w:pPr>
        <w:pStyle w:val="TH-Body"/>
        <w:widowControl/>
        <w:bidi w:val="1"/>
        <w:spacing w:before="0" w:after="120" w:line="288" w:lineRule="auto"/>
        <w:ind w:firstLine="283"/>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روایات وفای به عهد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44"/>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45"/>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46"/>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120" w:line="288" w:lineRule="auto"/>
        <w:ind w:firstLine="283"/>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47"/>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سیره معصومان در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49"/>
      </w:r>
    </w:p>
    <w:p>
      <w:pPr>
        <w:pStyle w:val="TH-Body"/>
        <w:widowControl/>
        <w:bidi w:val="1"/>
        <w:spacing w:before="0" w:after="120" w:line="288"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120" w:line="288" w:lineRule="auto"/>
        <w:ind w:firstLine="283"/>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50"/>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120" w:line="288" w:lineRule="auto"/>
        <w:ind w:firstLine="283"/>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51"/>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پنج‌گانه من است به زبان سیره؛ و نشان می‌دهد که چارچوب نظری‌ام، ریشه در عمل معصومان دارد، نه فقط در ذهن من.</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دلیل عقل و بنای عقلا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120" w:line="288" w:lineRule="auto"/>
        <w:ind w:firstLine="283"/>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52"/>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53"/>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قواعد فقهی مؤید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54"/>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55"/>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56"/>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57"/>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سوم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قاعده اولی با پنج دسته دلیل ـ آیات عام، آیات خاص، روایات، سیره و عقل ـ است؛ پنج دسته‌ای که هرکدام به‌تنهایی کافی‌اند و اجتماعشان اطمینان می‌سازد.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قاعده تزاحم؛ قلب تپنده استدلال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58"/>
      </w:r>
    </w:p>
    <w:p>
      <w:pPr>
        <w:pStyle w:val="TH-Body"/>
        <w:widowControl/>
        <w:bidi w:val="1"/>
        <w:spacing w:before="0" w:after="120" w:line="288"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حکم حکومتی؛ ابزار حل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120" w:line="288" w:lineRule="auto"/>
        <w:ind w:firstLine="283"/>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59"/>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نفی ضرر و حرج و مصلحت نظام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60"/>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61"/>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120" w:line="288" w:lineRule="auto"/>
        <w:ind w:firstLine="283"/>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62"/>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ضوابط هشت‌گانه عدول حکومتی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120" w:line="288"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دفع اشکالات مقدّر؛ آزمون استحکام</w:t>
      </w:r>
    </w:p>
    <w:p>
      <w:pPr>
        <w:pStyle w:val="TH-Body"/>
        <w:widowControl/>
        <w:bidi w:val="1"/>
        <w:spacing w:before="0" w:after="120" w:line="288" w:lineRule="auto"/>
        <w:ind w:firstLine="283"/>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00" w:after="120" w:line="288" w:lineRule="auto"/>
        <w:jc w:val="right"/>
        <w:keepNext w:val="1"/>
      </w:pPr>
      <w:r>
        <w:rPr>
          <w:rFonts w:ascii="B Titr" w:hAnsi="B Titr" w:cs="B Titr" w:eastAsia="B Titr"/>
          <w:b/>
          <w:i w:val="0"/>
          <w:sz w:val="32"/>
          <w:szCs w:val="32"/>
        </w:rPr>
        <w:t>حاصل فصل چهارم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ind w:firstLine="283"/>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63"/>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64"/>
      </w:r>
    </w:p>
    <w:p>
      <w:pPr>
        <w:pStyle w:val="TH-Body"/>
        <w:widowControl/>
        <w:bidi w:val="1"/>
        <w:spacing w:before="0" w:after="120" w:line="288"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65"/>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66"/>
      </w:r>
    </w:p>
    <w:p>
      <w:pPr>
        <w:pStyle w:val="TH-Body"/>
        <w:widowControl/>
        <w:bidi w:val="1"/>
        <w:spacing w:before="0" w:after="120" w:line="288" w:lineRule="auto"/>
        <w:ind w:firstLine="283"/>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69"/>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70"/>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72"/>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73"/>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120" w:line="288"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74"/>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77"/>
      </w:r>
    </w:p>
    <w:p>
      <w:pPr>
        <w:pStyle w:val="TH-Body"/>
        <w:widowControl/>
        <w:bidi w:val="1"/>
        <w:spacing w:before="0" w:after="120" w:line="288"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78"/>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ind w:firstLine="283"/>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ind w:firstLine="283"/>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نمونه تحلیلی؛ تجربه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بند بعد می‌آید ـ محل مناقشه است. پس اصل ۵۷ اثبات‌کننده «اصلِ مرجعیت» است، ولی تعیین‌کننده «صورتِ اعمال»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تحلیل اصل ۱۱۰؛ نقد ادعای حصر و تفکیک انواع اختیار</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83"/>
      </w:r>
    </w:p>
    <w:p>
      <w:pPr>
        <w:pStyle w:val="TH-Body"/>
        <w:widowControl/>
        <w:bidi w:val="1"/>
        <w:spacing w:before="0" w:after="120" w:line="288"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پنجم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نتیجه‌گیری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00" w:after="120" w:line="288" w:lineRule="auto"/>
        <w:jc w:val="right"/>
        <w:keepNext w:val="1"/>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00" w:after="120" w:line="288" w:lineRule="auto"/>
        <w:jc w:val="right"/>
        <w:keepNext w:val="1"/>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نوآوری‌ها و پیشنهادها</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فهرست منابع</w:t>
      </w:r>
    </w:p>
    <w:p>
      <w:pPr>
        <w:pStyle w:val="TH-Body"/>
        <w:widowControl/>
        <w:bidi w:val="1"/>
        <w:spacing w:before="0" w:after="120" w:line="288" w:lineRule="auto"/>
        <w:ind w:firstLine="283"/>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00" w:after="120" w:line="288" w:lineRule="auto"/>
        <w:jc w:val="right"/>
        <w:keepNext w:val="1"/>
      </w:pPr>
      <w:r>
        <w:rPr>
          <w:rFonts w:ascii="B Titr" w:hAnsi="B Titr" w:cs="B Titr" w:eastAsia="B Titr"/>
          <w:b/>
          <w:i w:val="0"/>
          <w:sz w:val="32"/>
          <w:szCs w:val="32"/>
        </w:rPr>
        <w:t>قرآن کریم و تفاسیر</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جوامع حدیثی و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کتب فقهی و اصولی</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keepNext w:val="1"/>
      </w:pPr>
      <w:r>
        <w:rPr>
          <w:rFonts w:ascii="B Titr" w:hAnsi="B Titr" w:cs="B Titr" w:eastAsia="B Titr"/>
          <w:b/>
          <w:i w:val="0"/>
          <w:sz w:val="32"/>
          <w:szCs w:val="32"/>
        </w:rPr>
        <w:t>اسناد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120" w:line="288"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keepNext w:val="1"/>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ind w:firstLine="283"/>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پایگاه‌های اینترنتی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پیوست‌ها</w:t>
      </w:r>
    </w:p>
    <w:p>
      <w:pPr>
        <w:pStyle w:val="TH-Body"/>
        <w:widowControl/>
        <w:bidi w:val="1"/>
        <w:spacing w:before="0" w:after="120" w:line="288" w:lineRule="auto"/>
        <w:ind w:firstLine="283"/>
        <w:jc w:val="both"/>
      </w:pPr>
      <w:r>
        <w:rPr>
          <w:rFonts w:ascii="B Lotus" w:hAnsi="B Lotus" w:cs="B Lotus" w:eastAsia="B Lotus"/>
          <w:b w:val="0"/>
          <w:i w:val="0"/>
          <w:sz w:val="28"/>
          <w:szCs w:val="28"/>
        </w:rPr>
        <w:t>آن‌چه در ادامه می‌آید پنج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و پیوست پنجم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00" w:after="120" w:line="288" w:lineRule="auto"/>
        <w:jc w:val="right"/>
        <w:keepNext w:val="1"/>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120" w:line="288"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120" w:line="288"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00" w:after="120" w:line="288" w:lineRule="auto"/>
        <w:jc w:val="right"/>
        <w:keepNext w:val="1"/>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84"/>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85"/>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86"/>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87"/>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88"/>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89"/>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90"/>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91"/>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92"/>
      </w:r>
    </w:p>
    <w:p>
      <w:pPr>
        <w:pStyle w:val="TH-Body"/>
        <w:widowControl/>
        <w:bidi w:val="1"/>
        <w:spacing w:before="0" w:after="120" w:line="288"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93"/>
      </w:r>
    </w:p>
    <w:p>
      <w:pPr>
        <w:pStyle w:val="TH-Goftar"/>
        <w:widowControl/>
        <w:bidi w:val="1"/>
        <w:spacing w:before="200" w:after="120" w:line="288" w:lineRule="auto"/>
        <w:jc w:val="right"/>
        <w:keepNext w:val="1"/>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94"/>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95"/>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96"/>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97"/>
      </w:r>
    </w:p>
    <w:p>
      <w:pPr>
        <w:pStyle w:val="TH-Body"/>
        <w:widowControl/>
        <w:bidi w:val="1"/>
        <w:spacing w:before="0" w:after="120" w:line="288"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98"/>
      </w:r>
    </w:p>
    <w:p>
      <w:pPr>
        <w:pStyle w:val="TH-Body"/>
        <w:widowControl/>
        <w:bidi w:val="1"/>
        <w:spacing w:before="0" w:after="120" w:line="288"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99"/>
      </w:r>
    </w:p>
    <w:p>
      <w:pPr>
        <w:pStyle w:val="TH-Body"/>
        <w:widowControl/>
        <w:bidi w:val="1"/>
        <w:spacing w:before="0" w:after="120" w:line="288"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00"/>
      </w:r>
    </w:p>
    <w:p>
      <w:pPr>
        <w:pStyle w:val="TH-Body"/>
        <w:widowControl/>
        <w:bidi w:val="1"/>
        <w:spacing w:before="0" w:after="120" w:line="288"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01"/>
      </w:r>
    </w:p>
    <w:p>
      <w:pPr>
        <w:pStyle w:val="TH-Body"/>
        <w:widowControl/>
        <w:bidi w:val="1"/>
        <w:spacing w:before="0" w:after="120" w:line="288"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02"/>
      </w:r>
    </w:p>
    <w:p>
      <w:pPr>
        <w:pStyle w:val="TH-Goftar"/>
        <w:widowControl/>
        <w:bidi w:val="1"/>
        <w:spacing w:before="200" w:after="120" w:line="288" w:lineRule="auto"/>
        <w:jc w:val="right"/>
        <w:keepNext w:val="1"/>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keepNext w:val="1"/>
      </w:pPr>
      <w:r>
        <w:rPr>
          <w:rFonts w:ascii="B Titr" w:hAnsi="B Titr" w:cs="B Titr" w:eastAsia="B Titr"/>
          <w:b/>
          <w:i w:val="0"/>
          <w:sz w:val="32"/>
          <w:szCs w:val="32"/>
        </w:rPr>
        <w:t>پیوست پنجم: واژه‌نامه فارسی ـ عربی ـ انگلیسی</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bidi w:val="1"/>
      <w:spacing w:before="120" w:after="0" w:line="288" w:lineRule="auto"/>
      <w:jc w:val="center"/>
      <w:pBdr>
        <w:top w:val="single" w:sz="6" w:space="6" w:color="BFBFBF"/>
      </w:pBdr>
    </w:pPr>
    <w:r/>
    <w:r>
      <w:rPr>
        <w:rFonts w:ascii="B Lotus" w:hAnsi="B Lotus" w:cs="B Lotus" w:eastAsia="B Lotus"/>
        <w:b w:val="0"/>
        <w:i w:val="0"/>
        <w:color w:val="595659"/>
        <w:sz w:val="18"/>
        <w:szCs w:val="18"/>
      </w:rPr>
      <w:t>رساله علمی سطح سه ـ هادی شبستانی</w:t>
    </w:r>
  </w:p>
</w:ftr>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۱۵۲، ۱۵۳ و ۱۵۴ (به‌اجمال).</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bidiVisual/>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5"/>
      <w:gridCol w:w="4535"/>
    </w:tblGrid>
    <w:tr>
      <w:tc>
        <w:tcPr>
          <w:tcW w:type="dxa" w:w="6236"/>
        </w:tcPr>
        <w:p>
          <w:pPr>
            <w:widowControl/>
            <w:bidi w:val="1"/>
            <w:spacing w:before="0" w:after="0" w:line="288" w:lineRule="auto"/>
            <w:jc w:val="right"/>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tc>
      <w:tc>
        <w:tcPr>
          <w:tcW w:type="dxa" w:w="2835"/>
        </w:tcPr>
        <w:p>
          <w:pPr>
            <w:jc w:val="left"/>
            <w:bidi w:val="1"/>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