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widowControl w:val="1"/>
        <w:bidi w:val="1"/>
        <w:spacing w:before="0" w:after="120" w:line="336" w:lineRule="auto"/>
        <w:jc w:val="center"/>
      </w:pPr>
      <w:r>
        <w:rPr>
          <w:rFonts w:ascii="B Nazanin" w:hAnsi="B Nazanin" w:cs="B Nazanin" w:eastAsia="B Nazanin"/>
          <w:b w:val="0"/>
          <w:bCs w:val="0"/>
          <w:i w:val="0"/>
          <w:sz w:val="32"/>
          <w:szCs w:val="32"/>
          <w:rtl w:val="1"/>
          <w:lang w:val="fa-IR" w:bidi="fa-IR"/>
        </w:rPr>
        <w:t>حوزه‌های علمیه</w:t>
      </w:r>
    </w:p>
    <w:p>
      <w:pPr>
        <w:widowControl w:val="1"/>
        <w:bidi w:val="1"/>
        <w:spacing w:before="0" w:after="240" w:line="336" w:lineRule="auto"/>
        <w:jc w:val="center"/>
      </w:pPr>
      <w:r>
        <w:rPr>
          <w:rFonts w:ascii="B Nazanin" w:hAnsi="B Nazanin" w:cs="B Nazanin" w:eastAsia="B Nazanin"/>
          <w:b/>
          <w:bCs w:val="1"/>
          <w:i w:val="0"/>
          <w:sz w:val="44"/>
          <w:szCs w:val="44"/>
          <w:rtl w:val="1"/>
          <w:lang w:val="fa-IR" w:bidi="fa-IR"/>
        </w:rPr>
        <w:t>رساله علمی سطح سه</w:t>
      </w:r>
    </w:p>
    <w:p>
      <w:pPr>
        <w:widowControl/>
        <w:pBdr>
          <w:bottom w:val="single" w:sz="12" w:space="6" w:color="1F3864"/>
        </w:pBdr>
        <w:bidi w:val="1"/>
        <w:spacing w:before="0" w:after="240" w:line="336" w:lineRule="auto"/>
        <w:ind w:right="1701" w:left="1701"/>
        <w:jc w:val="center"/>
      </w:pPr>
    </w:p>
    <w:p>
      <w:pPr>
        <w:widowControl w:val="1"/>
        <w:bidi w:val="1"/>
        <w:spacing w:before="0" w:after="120" w:line="336" w:lineRule="auto"/>
        <w:jc w:val="center"/>
      </w:pPr>
      <w:r>
        <w:rPr>
          <w:rFonts w:ascii="B Nazanin" w:hAnsi="B Nazanin" w:cs="B Nazanin" w:eastAsia="B Nazanin"/>
          <w:b/>
          <w:bCs w:val="1"/>
          <w:i w:val="0"/>
          <w:sz w:val="44"/>
          <w:szCs w:val="44"/>
          <w:rtl w:val="1"/>
          <w:lang w:val="fa-IR" w:bidi="fa-IR"/>
        </w:rPr>
        <w:t>عدول ولی فقیه از تعهدات بین‌المللی دولت اسلامی</w:t>
      </w:r>
    </w:p>
    <w:p>
      <w:pPr>
        <w:widowControl w:val="1"/>
        <w:bidi w:val="1"/>
        <w:spacing w:before="0" w:after="240" w:line="336" w:lineRule="auto"/>
        <w:jc w:val="center"/>
      </w:pPr>
      <w:r>
        <w:rPr>
          <w:rFonts w:ascii="B Nazanin" w:hAnsi="B Nazanin" w:cs="B Nazanin" w:eastAsia="B Nazanin"/>
          <w:b/>
          <w:bCs w:val="1"/>
          <w:i w:val="0"/>
          <w:sz w:val="34"/>
          <w:szCs w:val="34"/>
          <w:rtl w:val="1"/>
          <w:lang w:val="fa-IR" w:bidi="fa-IR"/>
        </w:rPr>
        <w:t>از منظر فقه امامیه و حقوق بین‌الملل</w:t>
      </w:r>
    </w:p>
    <w:p>
      <w:pPr>
        <w:widowControl/>
        <w:pBdr>
          <w:bottom w:val="single" w:sz="12" w:space="6" w:color="1F3864"/>
        </w:pBdr>
        <w:bidi w:val="1"/>
        <w:spacing w:before="0" w:after="240" w:line="336" w:lineRule="auto"/>
        <w:ind w:right="1701" w:left="1701"/>
        <w:jc w:val="center"/>
      </w:pPr>
    </w:p>
    <w:p>
      <w:pPr>
        <w:widowControl w:val="1"/>
        <w:bidi w:val="1"/>
        <w:spacing w:before="0" w:after="200" w:line="336" w:lineRule="auto"/>
        <w:jc w:val="center"/>
      </w:pPr>
      <w:r>
        <w:rPr>
          <w:rFonts w:ascii="B Nazanin" w:hAnsi="B Nazanin" w:cs="B Nazanin" w:eastAsia="B Nazanin"/>
          <w:b/>
          <w:bCs w:val="1"/>
          <w:i w:val="0"/>
          <w:sz w:val="32"/>
          <w:szCs w:val="32"/>
          <w:rtl w:val="1"/>
          <w:lang w:val="fa-IR" w:bidi="fa-IR"/>
        </w:rPr>
        <w:t>نگارنده: هادی شبستانی</w:t>
      </w:r>
    </w:p>
    <w:p>
      <w:pPr>
        <w:widowControl w:val="1"/>
        <w:bidi w:val="1"/>
        <w:spacing w:before="0" w:after="120" w:line="336" w:lineRule="auto"/>
        <w:jc w:val="center"/>
      </w:pPr>
      <w:r>
        <w:rPr>
          <w:rFonts w:ascii="B Nazanin" w:hAnsi="B Nazanin" w:cs="B Nazanin" w:eastAsia="B Nazanin"/>
          <w:b w:val="0"/>
          <w:bCs w:val="0"/>
          <w:i w:val="0"/>
          <w:sz w:val="28"/>
          <w:szCs w:val="28"/>
          <w:rtl w:val="1"/>
          <w:lang w:val="fa-IR" w:bidi="fa-IR"/>
        </w:rPr>
        <w:t>استاد راهنما: …………………………</w:t>
      </w:r>
    </w:p>
    <w:p>
      <w:pPr>
        <w:widowControl w:val="1"/>
        <w:bidi w:val="1"/>
        <w:spacing w:before="0" w:after="120" w:line="336" w:lineRule="auto"/>
        <w:jc w:val="center"/>
      </w:pPr>
      <w:r>
        <w:rPr>
          <w:rFonts w:ascii="B Nazanin" w:hAnsi="B Nazanin" w:cs="B Nazanin" w:eastAsia="B Nazanin"/>
          <w:b w:val="0"/>
          <w:bCs w:val="0"/>
          <w:i w:val="0"/>
          <w:sz w:val="28"/>
          <w:szCs w:val="28"/>
          <w:rtl w:val="1"/>
          <w:lang w:val="fa-IR" w:bidi="fa-IR"/>
        </w:rPr>
        <w:t>استاد مشاور: …………………………</w:t>
      </w:r>
    </w:p>
    <w:p>
      <w:pPr>
        <w:widowControl w:val="1"/>
        <w:bidi w:val="1"/>
        <w:spacing w:before="0" w:after="240" w:line="336" w:lineRule="auto"/>
        <w:jc w:val="center"/>
      </w:pPr>
      <w:r>
        <w:rPr>
          <w:rFonts w:ascii="B Nazanin" w:hAnsi="B Nazanin" w:cs="B Nazanin" w:eastAsia="B Nazanin"/>
          <w:b w:val="0"/>
          <w:bCs w:val="0"/>
          <w:i w:val="0"/>
          <w:sz w:val="28"/>
          <w:szCs w:val="28"/>
          <w:rtl w:val="1"/>
          <w:lang w:val="fa-IR" w:bidi="fa-IR"/>
        </w:rPr>
        <w:t>گرایش: فقه و اصول</w:t>
      </w:r>
    </w:p>
    <w:p>
      <w:pPr>
        <w:widowControl w:val="1"/>
        <w:bidi w:val="1"/>
        <w:spacing w:before="0" w:after="120" w:line="336" w:lineRule="auto"/>
        <w:jc w:val="center"/>
      </w:pPr>
      <w:r>
        <w:rPr>
          <w:rFonts w:ascii="B Nazanin" w:hAnsi="B Nazanin" w:cs="B Nazanin" w:eastAsia="B Nazanin"/>
          <w:b w:val="0"/>
          <w:bCs w:val="0"/>
          <w:i w:val="0"/>
          <w:sz w:val="28"/>
          <w:szCs w:val="28"/>
          <w:rtl w:val="1"/>
          <w:lang w:val="fa-IR" w:bidi="fa-IR"/>
        </w:rPr>
        <w:t>سال تحصیلی ۱۴۰۵ ـ ۱۴۰۶</w:t>
      </w:r>
    </w:p>
    <w:p>
      <w:pPr>
        <w:sectPr>
          <w:pgSz w:w="11906" w:h="16838"/>
          <w:pgMar w:top="1417" w:right="1701" w:bottom="1417" w:left="1134" w:header="680" w:footer="680" w:gutter="0"/>
          <w:cols w:space="720"/>
          <w:docGrid w:linePitch="360"/>
          <w:pgBorders w:offsetFrom="page">
            <w:top w:val="single" w:sz="12" w:space="24" w:color="1F3864"/>
            <w:left w:val="single" w:sz="12" w:space="24" w:color="1F3864"/>
            <w:bottom w:val="single" w:sz="12" w:space="24" w:color="1F3864"/>
            <w:right w:val="single" w:sz="12" w:space="24" w:color="1F3864"/>
          </w:pgBorders>
        </w:sectPr>
      </w:pPr>
    </w:p>
    <w:p/>
    <w:p/>
    <w:p/>
    <w:p/>
    <w:p/>
    <w:p>
      <w:pPr>
        <w:widowControl w:val="1"/>
        <w:bidi w:val="1"/>
        <w:spacing w:before="0" w:after="240" w:line="336" w:lineRule="auto"/>
        <w:jc w:val="center"/>
      </w:pPr>
      <w:r>
        <w:rPr>
          <w:rFonts w:ascii="B Nazanin" w:hAnsi="B Nazanin" w:cs="B Nazanin" w:eastAsia="B Nazanin"/>
          <w:b/>
          <w:bCs w:val="1"/>
          <w:i w:val="0"/>
          <w:sz w:val="44"/>
          <w:szCs w:val="44"/>
          <w:rtl w:val="1"/>
          <w:lang w:val="fa-IR" w:bidi="fa-IR"/>
        </w:rPr>
        <w:t>بِسْمِ اللَّهِ الرَّحْمَنِ الرَّحِيمِ</w:t>
      </w:r>
    </w:p>
    <w:p>
      <w:pPr>
        <w:widowControl/>
        <w:pBdr>
          <w:bottom w:val="single" w:sz="12" w:space="6" w:color="1F3864"/>
        </w:pBdr>
        <w:bidi w:val="1"/>
        <w:spacing w:before="0" w:after="200" w:line="336" w:lineRule="auto"/>
        <w:ind w:right="2835" w:left="2835"/>
        <w:jc w:val="center"/>
      </w:pPr>
    </w:p>
    <w:p>
      <w:r>
        <w:br w:type="page"/>
      </w:r>
    </w:p>
    <w:p>
      <w:pPr>
        <w:keepNext w:val="1"/>
        <w:widowControl w:val="1"/>
        <w:bidi w:val="1"/>
        <w:spacing w:before="120" w:after="240" w:line="336" w:lineRule="auto"/>
        <w:jc w:val="center"/>
      </w:pPr>
      <w:r>
        <w:rPr>
          <w:rFonts w:ascii="B Nazanin" w:hAnsi="B Nazanin" w:cs="B Nazanin" w:eastAsia="B Nazanin"/>
          <w:b/>
          <w:bCs w:val="1"/>
          <w:i w:val="0"/>
          <w:sz w:val="36"/>
          <w:szCs w:val="36"/>
          <w:rtl w:val="1"/>
          <w:lang w:val="fa-IR" w:bidi="fa-IR"/>
        </w:rPr>
        <w:t>عدول ولی فقیه از تعهدات بین‌المللی دولت اسلامی از منظر فقه امامیه و حقوق بین‌الملل</w:t>
      </w:r>
    </w:p>
    <w:p>
      <w:pPr>
        <w:widowControl/>
        <w:pBdr>
          <w:bottom w:val="single" w:sz="12" w:space="6" w:color="1F3864"/>
        </w:pBdr>
        <w:bidi w:val="1"/>
        <w:spacing w:before="0" w:after="240" w:line="336" w:lineRule="auto"/>
        <w:ind w:right="1701" w:left="1701"/>
        <w:jc w:val="center"/>
      </w:pP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رساله علمی سطح سه حوزه‌های علمیه</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گرایش: فقه و اصول</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نگارنده: هادی شبستانی</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استاد راهنما: (نام استاد راهنما)</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استاد مشاور: (نام استاد مشاور)</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سال تحصیلی ۱۴۰۵ ـ ۱۴۰۶</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بِسْمِ اللَّهِ الرَّحْمَنِ الرَّحِيمِ</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يَا أَيُّهَا الَّذِينَ آمَنُوا أَوْفُوا بِالْعُقُودِ</w:t>
      </w:r>
      <w:r>
        <w:rPr>
          <w:rFonts w:ascii="B Nazanin" w:hAnsi="B Nazanin" w:cs="B Nazanin" w:eastAsia="B Nazanin"/>
          <w:b w:val="0"/>
          <w:bCs w:val="0"/>
          <w:i w:val="0"/>
          <w:color w:val="202A35"/>
          <w:sz w:val="20"/>
          <w:szCs w:val="20"/>
          <w:vertAlign w:val="superscript"/>
          <w:rtl w:val="1"/>
          <w:lang w:val="ar-SA" w:bidi="ar-SA"/>
        </w:rPr>
        <w:footnoteReference w:id="2"/>
      </w:r>
    </w:p>
    <w:p>
      <w:r>
        <w:br w:type="page"/>
      </w:r>
    </w:p>
    <w:p>
      <w:pPr>
        <w:keepNext w:val="1"/>
        <w:widowControl w:val="1"/>
        <w:bidi w:val="1"/>
        <w:spacing w:before="120" w:after="240" w:line="336" w:lineRule="auto"/>
        <w:jc w:val="center"/>
      </w:pPr>
      <w:r>
        <w:rPr>
          <w:rFonts w:ascii="B Nazanin" w:hAnsi="B Nazanin" w:cs="B Nazanin" w:eastAsia="B Nazanin"/>
          <w:b/>
          <w:bCs w:val="1"/>
          <w:i w:val="0"/>
          <w:sz w:val="36"/>
          <w:szCs w:val="36"/>
          <w:rtl w:val="1"/>
          <w:lang w:val="fa-IR" w:bidi="fa-IR"/>
        </w:rPr>
        <w:t>تقدیم</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 xml:space="preserve">این رساله را به ساحت حضرت ولی‌عصر (عجل‌الله‌تعالی‌فرجه‌الشریف) تقدیم می‌کنم؛ به امید آن‌که اندیشه‌ورزی درباره عدالت و مسئولیت در حکومت، گامی هرچند کوچک در راه شناخت و پاسداشت حقوق انسان‌ها باشد.</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 xml:space="preserve">و به روح امام خمینی (رضوان‌الله‌تعالی‌علیه)؛ فقیهی که تأمل در نسبت فقه، حکومت و مسائل اجتماعی را در روزگار ما گسترش داد و اندیشه حکومتی او، یکی از مبانی مورد بررسی این پژوهش است.</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 xml:space="preserve">و به یاد شهیدان راه اسلام و میهن؛ با سپاس از فداکاری آنان و با این امید که پژوهش مسئولانه، ادای سهمی از وظیفه ما در برابر جامعه باشد.</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 xml:space="preserve">و به پدر و مادرم؛ به پاس مهر، دعا و همراهی همیشگی‌شان.</w:t>
      </w:r>
    </w:p>
    <w:p>
      <w:r>
        <w:br w:type="page"/>
      </w:r>
    </w:p>
    <w:p>
      <w:pPr>
        <w:keepNext w:val="1"/>
        <w:widowControl w:val="1"/>
        <w:bidi w:val="1"/>
        <w:spacing w:before="120" w:after="240" w:line="336" w:lineRule="auto"/>
        <w:jc w:val="center"/>
      </w:pPr>
      <w:r>
        <w:rPr>
          <w:rFonts w:ascii="B Nazanin" w:hAnsi="B Nazanin" w:cs="B Nazanin" w:eastAsia="B Nazanin"/>
          <w:b/>
          <w:bCs w:val="1"/>
          <w:i w:val="0"/>
          <w:sz w:val="36"/>
          <w:szCs w:val="36"/>
          <w:rtl w:val="1"/>
          <w:lang w:val="fa-IR" w:bidi="fa-IR"/>
        </w:rPr>
        <w:t>سپاسگزاری</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 xml:space="preserve">حمد و سپاس خداوند را که توفیق اندیشیدن و آموختن عطا فرمود. مسئولیت کاستی‌های این رساله بر عهده نگارنده است و نقدهای علمی استادان و خوانندگان، راهنمای اصلاح و تکمیل آن خواهد بود.</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 xml:space="preserve">از استاد راهنمای ارجمندم برای راهنمایی‌های علمی و توجه به دقت استدلال و انسجام پژوهش، صمیمانه سپاسگزارم.</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 xml:space="preserve">از استاد مشاور گرامی برای راهنمایی در مباحث تخصصی و کمک به روشن‌تر شدن پیوند میان مباحث فقهی و حقوقی، قدردانی می‌کنم.</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 xml:space="preserve">همچنین از استادان حوزه علمیه، دوستان و هم‌بحثان و خانواده‌ام که در مسیر تحصیل و پژوهش همراه بوده‌اند، سپاسگزارم.</w:t>
      </w:r>
    </w:p>
    <w:p>
      <w:pPr>
        <w:widowControl w:val="1"/>
        <w:bidi w:val="1"/>
        <w:spacing w:before="0" w:after="200" w:line="336" w:lineRule="auto"/>
        <w:jc w:val="center"/>
      </w:pPr>
      <w:r>
        <w:rPr>
          <w:rFonts w:ascii="B Nazanin" w:hAnsi="B Nazanin" w:cs="B Nazanin" w:eastAsia="B Nazanin"/>
          <w:b w:val="0"/>
          <w:bCs w:val="0"/>
          <w:i w:val="0"/>
          <w:sz w:val="28"/>
          <w:szCs w:val="28"/>
          <w:rtl w:val="1"/>
          <w:lang w:val="fa-IR" w:bidi="fa-IR"/>
        </w:rPr>
        <w:t xml:space="preserve">از داوران محترم نیز برای ارزیابی علمی این اثر و ارائه پیشنهادهای اصلاحی تشکر می‌کنم. امید است این رساله با بهره‌گیری از نقد آنان، به صورتی دقیق‌تر و سودمندتر عرضه شود.</w:t>
      </w:r>
    </w:p>
    <w:p>
      <w:r>
        <w:br w:type="page"/>
      </w:r>
    </w:p>
    <w:p>
      <w:pPr>
        <w:pStyle w:val="TH-Front"/>
        <w:keepNext w:val="1"/>
        <w:keepLines w:val="1"/>
        <w:widowControl w:val="1"/>
        <w:bidi w:val="1"/>
        <w:spacing w:before="120" w:after="180" w:line="300" w:lineRule="auto"/>
        <w:ind w:firstLine="0"/>
        <w:jc w:val="center"/>
      </w:pPr>
      <w:bookmarkStart w:id="1" w:name="_Toc000001"/>
      <w:r>
        <w:rPr>
          <w:rFonts w:ascii="B Nazanin" w:hAnsi="B Nazanin" w:cs="B Nazanin" w:eastAsia="B Nazanin"/>
          <w:b w:val="1"/>
          <w:bCs w:val="1"/>
          <w:i w:val="0"/>
          <w:color w:val="243B53"/>
          <w:sz w:val="36"/>
          <w:szCs w:val="36"/>
          <w:rtl w:val="1"/>
          <w:lang w:val="fa-IR" w:bidi="fa-IR"/>
        </w:rPr>
        <w:t>چکیده</w:t>
      </w:r>
      <w:bookmarkEnd w:id="1"/>
    </w:p>
    <w:p>
      <w:pPr>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این رساله حدود امکان عدول ولی فقیه از تعهدات معاهده‌ای دولت اسلامی را در فرض تزاحم اجرای تعهد با تکلیفی اهم بررسی می‌کند. مسئله اصلی آن است که تصمیم به عدم اجرا، با چه مبانی و ضوابطی می‌تواند از نظر فقه امامیه قابل دفاع باشد و چنین تصمیمی در حقوق اساسی جمهوری اسلامی ایران و حقوق بین‌الملل چه جایگاه و آثاری دارد. در این پژوهش، «عدول» عنوانی تحلیلی برای تصمیم فوق‌العاده به عدم اجراست و نباید با خروج قانونی، خاتمه یا تعلیق معتبر معاهده یکسان انگاشته شود.</w:t>
      </w:r>
    </w:p>
    <w:p>
      <w:pPr>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پژوهش به روش کتابخانه‌ای و با رویکرد تحلیلی ـ استدلالی انجام می‌شود. آیات و متون فقهی ناظر به وفای به عهد، مباحث تزاحم و حکم حکومتی، اصول مرتبط قانون اساسی، کنوانسیون وین ۱۹۶۹ و مواد مسئولیت دولت‌ها ۲۰۰۱، محور تحلیل‌اند. سازمان پژوهش در سه بخش و پنج فصل، از مفهوم‌شناسی و کلیات به ادله وفا، امکان عدول و آثار حقوقی آن پیش می‌رود. در استناد به منابع، میان متن احراز‌شده، برداشت تحلیلی و موارد نیازمند تکمیل مستندات تفکیک شده است.</w:t>
      </w:r>
    </w:p>
    <w:p>
      <w:pPr>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نتیجه تحلیل آن است که وجوب وفای به عهد معتبر، نقطه آغاز بحث است و صرف کاهش منفعت یا افزایش هزینه، مجوز عدول نیست. بر مبنای نظریه حکومتی مورد پذیرش رساله، بررسی جواز استثنایی به احراز تکلیف اهم، ناتوانی از جمع، صلاحیت تصمیم‌گیر و رعایت ضوابط وابسته است؛ قواعد ضرر و حرج و شواهد سیره، جایگزین اثبات این مقدمات نیستند. چارچوب پیشنهادی هشت‌گانه بر کارشناسی، تقدم راه‌های قانونی، تناسب، بازبینی، اعلام معتبر و ارزیابی پیامدها تأکید دارد. جواز فقهی، اعتبار داخلی و مسئولیت بین‌المللی از یکدیگر قابل تفکیک‌اند: تصمیم معتبر داخلی، خودبه‌خود تعهد خارجی را از بین نمی‌برد. همچنین اصل ۱۱۰ اختیار عام و صریحی برای عدول از همه معاهدات مقرر نکرده است؛ استنباط اختیار فوق‌العاده باید با صلاحیت سایر نهادها و قیود قانونی، از جمله مجرای بند ۸ این اصل، سنجیده شود.</w:t>
      </w:r>
    </w:p>
    <w:p>
      <w:pPr>
        <w:widowControl w:val="1"/>
        <w:bidi w:val="1"/>
        <w:spacing w:before="0" w:after="120" w:line="336" w:lineRule="auto"/>
        <w:ind w:firstLine="283"/>
        <w:jc w:val="both"/>
      </w:pPr>
      <w:r>
        <w:rPr>
          <w:rFonts w:ascii="B Nazanin" w:hAnsi="B Nazanin" w:cs="B Nazanin" w:eastAsia="B Nazanin"/>
          <w:b/>
          <w:bCs w:val="1"/>
          <w:i w:val="0"/>
          <w:sz w:val="28"/>
          <w:szCs w:val="28"/>
          <w:rtl w:val="1"/>
          <w:lang w:val="fa-IR" w:bidi="fa-IR"/>
        </w:rPr>
        <w:t xml:space="preserve">کلیدواژه‌ها: وفای به عهد، ولی فقیه، تعهدات معاهده‌ای، تزاحم، حکم حکومتی، مصلحت عمومی، حقوق اساسی، مسئولیت بین‌المللی دولت.</w:t>
      </w:r>
    </w:p>
    <w:p>
      <w:r>
        <w:br w:type="page"/>
      </w:r>
    </w:p>
    <w:p>
      <w:pPr>
        <w:pStyle w:val="TH-Front"/>
        <w:keepNext w:val="1"/>
        <w:keepLines w:val="1"/>
        <w:widowControl w:val="1"/>
        <w:bidi w:val="1"/>
        <w:spacing w:before="120" w:after="180" w:line="300" w:lineRule="auto"/>
        <w:ind w:firstLine="0"/>
        <w:jc w:val="center"/>
      </w:pPr>
      <w:bookmarkStart w:id="2" w:name="_Toc000002"/>
      <w:r>
        <w:rPr>
          <w:rFonts w:ascii="B Nazanin" w:hAnsi="B Nazanin" w:cs="B Nazanin" w:eastAsia="B Nazanin"/>
          <w:b w:val="1"/>
          <w:bCs w:val="1"/>
          <w:i w:val="0"/>
          <w:color w:val="243B53"/>
          <w:sz w:val="36"/>
          <w:szCs w:val="36"/>
          <w:rtl w:val="1"/>
          <w:lang w:val="fa-IR" w:bidi="fa-IR"/>
        </w:rPr>
        <w:t>پیشگفتار</w:t>
      </w:r>
      <w:bookmarkEnd w:id="2"/>
    </w:p>
    <w:p>
      <w:pPr>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پرسش از نسبت وفای به عهد و مصلحت عمومی، هنگامی اهمیت ویژه می‌یابد که ادامه اجرای تعهدی بین‌المللی با دشواری جدی مواجه شود. مباحث پیرامون توافق‌های معاصر ایران، انگیزه طرح این پرسش است؛ اما مقصود رساله، داوری سیاسی درباره یک تصمیم مشخص نیست. پژوهش حاضر می‌کوشد چارچوبی فراهم کند که در آن، مبنای فقهی تصمیم، صلاحیت داخلی مقام تصمیم‌گیر و آثار خارجی اقدام، جداگانه و در ارتباط با یکدیگر بررسی شوند.</w:t>
      </w:r>
    </w:p>
    <w:p>
      <w:pPr>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نخستین دشواری این پژوهش، ماهیت میان‌رشته‌ای آن است. واژه‌هایی چون «تعهد»، «مصلحت»، «ضرورت» و «صلاحیت» در فقه و حقوق، قلمروهای یکسانی ندارند. ازاین‌رو، مشابهت لفظی یا کارکردی این مفاهیم نباید به یکسان‌انگاری احکام آن‌ها بینجامد. کوشش شده است هر گزاره در چارچوب رشته مربوط ارزیابی شود و نتیجه یک سطح، بدون استدلال به سطح دیگر انتقال نیابد.</w:t>
      </w:r>
    </w:p>
    <w:p>
      <w:pPr>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دشواری دوم، نسبت نهادهای تاریخی فقه با معاهدات معاصر است. مباحث هدنه، امان و ذمه، منابع ارزشمندی برای شناخت فقه عهدنامه‌ها هستند؛ بااین‌حال، تفاوت موضوع، طرف‌ها و ساختار این نهادها با معاهدات امروز، مانع تعمیم بی‌واسطه همه احکام آن‌هاست. در این رساله، شواهد تاریخی از ادله عام و قواعد اصولی تفکیک می‌شوند و هرجا تعمیم حکم نیازمند دلیل مستقل باشد، بر آن تصریح می‌شود.</w:t>
      </w:r>
    </w:p>
    <w:p>
      <w:pPr>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دشواری سوم، حساسیت سیاسی موضوع است. ارزیابی علمی باید از تأیید یا نفی پیشینی تصمیم‌ها مستقل بماند. بنابراین، مثال‌های معاصر صرفاً برای روشن کردن مسیر تحلیل به کار می‌روند؛ احراز حکم یک واقعه معین، افزون بر مبانی نظری، به متن معتبر اسناد، شناخت واقعیت‌های اجرایی و بررسی تخصصی نیاز دارد.</w:t>
      </w:r>
    </w:p>
    <w:p>
      <w:pPr>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ساختار رساله در سه بخش و پنج فصل حفظ شده است: بخش نخست به مفاهیم و کلیات؛ بخش دوم به ادله وجوب وفا و مبانی احتمالی عدول؛ و بخش سوم به مسئولیت بین‌المللی و جایگاه حقوق اساسی تصمیم اختصاص دارد. این ترتیب، امکان می‌دهد که نتیجه نهایی بر تعریف روشن موضوع و مقدمات استدلالی مشخص استوار شود.</w:t>
      </w:r>
    </w:p>
    <w:p>
      <w:pPr>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هدف کاربردی پژوهش، کمک به تصمیم‌گیری مستند و پاسخ‌گوست. چارچوب پیشنهادی رساله نه جایگزین داوری فقهی متخصصان است و نه جانشین بررسی حقوقی هر معاهده؛ بلکه مجموعه‌ای از پرسش‌ها و معیارهاست که می‌تواند از خلط مبانی، شتاب‌زدگی و نادیده گرفتن آثار تصمیم جلوگیری کند. امید است این کوشش، زمینه گفت‌وگویی دقیق‌تر میان پژوهشگران فقه و حقوق را فراهم آورد.</w:t>
      </w:r>
    </w:p>
    <w:p>
      <w:r>
        <w:br w:type="page"/>
      </w:r>
    </w:p>
    <w:p>
      <w:pPr>
        <w:keepNext w:val="1"/>
        <w:widowControl w:val="1"/>
        <w:bidi w:val="0"/>
        <w:spacing w:before="120" w:after="240" w:line="336" w:lineRule="auto"/>
        <w:jc w:val="center"/>
      </w:pPr>
      <w:r>
        <w:rPr>
          <w:rFonts w:ascii="Times New Roman" w:hAnsi="Times New Roman" w:cs="B Nazanin" w:eastAsia="B Nazanin"/>
          <w:b/>
          <w:bCs w:val="1"/>
          <w:i w:val="0"/>
          <w:sz w:val="36"/>
          <w:szCs w:val="36"/>
          <w:rtl w:val="0"/>
          <w:lang w:val="en-US" w:bidi="fa-IR"/>
        </w:rPr>
        <w:t>Abstract</w:t>
      </w:r>
    </w:p>
    <w:p>
      <w:pPr>
        <w:widowControl w:val="1"/>
        <w:bidi w:val="0"/>
        <w:spacing w:before="0" w:after="100" w:line="276" w:lineRule="auto"/>
        <w:ind w:firstLine="0"/>
        <w:jc w:val="both"/>
      </w:pPr>
      <w:r>
        <w:rPr>
          <w:rFonts w:ascii="Times New Roman" w:hAnsi="Times New Roman" w:cs="B Nazanin" w:eastAsia="B Nazanin"/>
          <w:b w:val="0"/>
          <w:bCs w:val="0"/>
          <w:i w:val="0"/>
          <w:sz w:val="24"/>
          <w:szCs w:val="24"/>
          <w:rtl w:val="0"/>
          <w:lang w:val="en-US" w:bidi="fa-IR"/>
        </w:rPr>
        <w:t xml:space="preserve">This thesis examines whether, and under what conditions, the Guardian Jurist may authorize exceptional non-performance of the Islamic state's treaty obligations when performance conflicts with a legally established, overriding duty. It distinguishes three analytical levels: Imami jurisprudence, the constitutional law of the Islamic Republic of Iran, and public international law. The term non-performance is not treated as synonymous with lawful withdrawal, termination, or suspension of a treaty.</w:t>
      </w:r>
    </w:p>
    <w:p>
      <w:pPr>
        <w:widowControl w:val="1"/>
        <w:bidi w:val="0"/>
        <w:spacing w:before="0" w:after="100" w:line="276" w:lineRule="auto"/>
        <w:ind w:firstLine="0"/>
        <w:jc w:val="both"/>
      </w:pPr>
      <w:r>
        <w:rPr>
          <w:rFonts w:ascii="Times New Roman" w:hAnsi="Times New Roman" w:cs="B Nazanin" w:eastAsia="B Nazanin"/>
          <w:b w:val="0"/>
          <w:bCs w:val="0"/>
          <w:i w:val="0"/>
          <w:sz w:val="24"/>
          <w:szCs w:val="24"/>
          <w:rtl w:val="0"/>
          <w:lang w:val="en-US" w:bidi="fa-IR"/>
        </w:rPr>
        <w:t xml:space="preserve">The study uses documentary research and analytical legal reasoning. It examines Quranic provisions on fidelity to covenants, relevant juristic discussions, the doctrines of conflicting duties and governmental authority, constitutional provisions, the 1969 Vienna Convention, and the 2001 Articles on State Responsibility. Its three parts and five chapters address concepts and legal foundations, the juristic analysis of fidelity and exceptional non-performance, and the international and constitutional consequences of governmental decisions. Verified texts are distinguished from interpretive arguments and references requiring further verification.</w:t>
      </w:r>
    </w:p>
    <w:p>
      <w:pPr>
        <w:widowControl w:val="1"/>
        <w:bidi w:val="0"/>
        <w:spacing w:before="0" w:after="100" w:line="276" w:lineRule="auto"/>
        <w:ind w:firstLine="0"/>
        <w:jc w:val="both"/>
      </w:pPr>
      <w:r>
        <w:rPr>
          <w:rFonts w:ascii="Times New Roman" w:hAnsi="Times New Roman" w:cs="B Nazanin" w:eastAsia="B Nazanin"/>
          <w:b w:val="0"/>
          <w:bCs w:val="0"/>
          <w:i w:val="0"/>
          <w:sz w:val="24"/>
          <w:szCs w:val="24"/>
          <w:rtl w:val="0"/>
          <w:lang w:val="en-US" w:bidi="fa-IR"/>
        </w:rPr>
        <w:t xml:space="preserve">The analysis takes fidelity to valid covenants as its starting point: reduced benefit or increased cost does not by itself justify non-performance. Within the governmental theory adopted by the thesis, any exceptional justification requires an established overriding duty, an inability to reconcile the competing duties, competent institutional action, and appropriate safeguards. An eight-part framework is proposed for expert assessment, lawful alternatives, proportionality, review, notification, and consideration of consequences. Juristic permissibility does not automatically establish domestic authority or preclude international wrongfulness. Likewise, necessity under the law of state responsibility does not itself terminate a treaty. Article 110 of the Iranian Constitution contains no express, general power to withdraw from all treaties; arguments for exceptional authority must be assessed alongside other institutions' powers and the procedural limits of the relevant constitutional provisions. These conclusions remain conditional on the adopted juristic premises and the evidence available in each case.</w:t>
      </w:r>
    </w:p>
    <w:p>
      <w:pPr>
        <w:widowControl w:val="1"/>
        <w:bidi w:val="0"/>
        <w:spacing w:before="0" w:after="100" w:line="276" w:lineRule="auto"/>
        <w:ind w:firstLine="0"/>
        <w:jc w:val="both"/>
      </w:pPr>
      <w:r>
        <w:rPr>
          <w:rFonts w:ascii="Times New Roman" w:hAnsi="Times New Roman" w:cs="B Nazanin" w:eastAsia="B Nazanin"/>
          <w:b w:val="0"/>
          <w:bCs w:val="0"/>
          <w:i w:val="0"/>
          <w:sz w:val="24"/>
          <w:szCs w:val="24"/>
          <w:rtl w:val="0"/>
          <w:lang w:val="en-US" w:bidi="fa-IR"/>
        </w:rPr>
        <w:t xml:space="preserve">Keywords: fidelity to covenants; Guardian Jurist; treaty obligations; conflicting duties; governmental authority; public interest; constitutional law; state responsibility.</w:t>
      </w:r>
    </w:p>
    <w:p>
      <w:r>
        <w:br w:type="page"/>
      </w:r>
    </w:p>
    <w:p>
      <w:pPr>
        <w:keepNext w:val="1"/>
        <w:widowControl w:val="1"/>
        <w:pBdr>
          <w:top w:val="single" w:sz="12" w:space="8" w:color="1F3864"/>
          <w:bottom w:val="single" w:sz="12" w:space="8" w:color="1F3864"/>
        </w:pBdr>
        <w:bidi w:val="1"/>
        <w:spacing w:before="120" w:after="240" w:line="336" w:lineRule="auto"/>
        <w:jc w:val="center"/>
      </w:pPr>
      <w:r>
        <w:rPr>
          <w:rFonts w:ascii="B Nazanin" w:hAnsi="B Nazanin" w:cs="B Nazanin" w:eastAsia="B Nazanin"/>
          <w:b/>
          <w:bCs w:val="1"/>
          <w:i w:val="0"/>
          <w:sz w:val="36"/>
          <w:szCs w:val="36"/>
          <w:rtl w:val="1"/>
          <w:lang w:val="fa-IR" w:bidi="fa-IR"/>
        </w:rPr>
        <w:t>فهرست مطالب</w:t>
      </w:r>
    </w:p>
    <w:p>
      <w:pPr>
        <w:widowControl/>
        <w:bidi w:val="1"/>
        <w:spacing w:before="0" w:after="200" w:line="336" w:lineRule="auto"/>
        <w:jc w:val="start"/>
      </w:pPr>
      <w:r>
        <w:rPr>
          <w:rFonts w:ascii="B Nazanin" w:hAnsi="B Nazanin" w:cs="B Nazanin" w:eastAsia="B Nazanin"/>
          <w:b w:val="0"/>
          <w:i w:val="0"/>
          <w:sz w:val="28"/>
          <w:szCs w:val="28"/>
        </w:rPr>
        <w:fldChar w:fldCharType="begin"/>
      </w:r>
      <w:r>
        <w:rPr>
          <w:rFonts w:ascii="B Nazanin" w:hAnsi="B Nazanin" w:cs="B Nazanin" w:eastAsia="B Nazanin"/>
          <w:b w:val="0"/>
          <w:i w:val="0"/>
          <w:sz w:val="28"/>
          <w:szCs w:val="28"/>
        </w:rPr>
        <w:instrText xml:space="preserve"> TOC \o "1-4" \h \z \u </w:instrText>
      </w:r>
      <w:r>
        <w:rPr>
          <w:rFonts w:ascii="B Nazanin" w:hAnsi="B Nazanin" w:cs="B Nazanin" w:eastAsia="B Nazanin"/>
          <w:b w:val="0"/>
          <w:i w:val="0"/>
          <w:sz w:val="28"/>
          <w:szCs w:val="28"/>
        </w:rPr>
        <w:fldChar w:fldCharType="separate"/>
      </w:r>
    </w:p>
    <w:p>
      <w:pPr>
        <w:pStyle w:val="TOC2"/>
        <w:widowControl w:val="1"/>
        <w:bidi w:val="1"/>
      </w:pPr>
      <w:r>
        <w:rPr>
          <w:rFonts w:ascii="B Nazanin" w:hAnsi="B Nazanin" w:cs="B Nazanin" w:eastAsia="B Nazanin"/>
          <w:b w:val="1"/>
          <w:bCs w:val="1"/>
          <w:i w:val="0"/>
          <w:color w:val="26384A"/>
          <w:sz w:val="26"/>
          <w:szCs w:val="26"/>
          <w:rtl w:val="1"/>
          <w:lang w:val="fa-IR" w:bidi="fa-IR"/>
        </w:rPr>
        <w:t>چکیده</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_Toc000001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۶</w:t>
      </w:r>
      <w:r>
        <w:rPr>
          <w:rFonts w:ascii="B Nazanin" w:hAnsi="B Nazanin" w:cs="B Nazanin" w:eastAsia="B Nazanin"/>
          <w:b w:val="1"/>
          <w:bCs w:val="1"/>
          <w:i w:val="0"/>
          <w:color w:val="26384A"/>
          <w:sz w:val="26"/>
          <w:szCs w:val="26"/>
          <w:rtl w:val="1"/>
          <w:lang w:val="fa-IR" w:bidi="fa-IR"/>
        </w:rPr>
        <w:fldChar w:fldCharType="end"/>
      </w:r>
    </w:p>
    <w:p>
      <w:pPr>
        <w:pStyle w:val="TOC2"/>
        <w:widowControl w:val="1"/>
        <w:bidi w:val="1"/>
      </w:pPr>
      <w:r>
        <w:rPr>
          <w:rFonts w:ascii="B Nazanin" w:hAnsi="B Nazanin" w:cs="B Nazanin" w:eastAsia="B Nazanin"/>
          <w:b w:val="1"/>
          <w:bCs w:val="1"/>
          <w:i w:val="0"/>
          <w:color w:val="26384A"/>
          <w:sz w:val="26"/>
          <w:szCs w:val="26"/>
          <w:rtl w:val="1"/>
          <w:lang w:val="fa-IR" w:bidi="fa-IR"/>
        </w:rPr>
        <w:t>پیشگفتار</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_Toc000002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۷</w:t>
      </w:r>
      <w:r>
        <w:rPr>
          <w:rFonts w:ascii="B Nazanin" w:hAnsi="B Nazanin" w:cs="B Nazanin" w:eastAsia="B Nazanin"/>
          <w:b w:val="1"/>
          <w:bCs w:val="1"/>
          <w:i w:val="0"/>
          <w:color w:val="26384A"/>
          <w:sz w:val="26"/>
          <w:szCs w:val="26"/>
          <w:rtl w:val="1"/>
          <w:lang w:val="fa-IR" w:bidi="fa-IR"/>
        </w:rPr>
        <w:fldChar w:fldCharType="end"/>
      </w:r>
    </w:p>
    <w:p>
      <w:pPr>
        <w:pStyle w:val="TOC2"/>
        <w:widowControl w:val="1"/>
        <w:bidi w:val="1"/>
      </w:pPr>
      <w:r>
        <w:rPr>
          <w:rFonts w:ascii="B Nazanin" w:hAnsi="B Nazanin" w:cs="B Nazanin" w:eastAsia="B Nazanin"/>
          <w:b w:val="1"/>
          <w:bCs w:val="1"/>
          <w:i w:val="0"/>
          <w:color w:val="26384A"/>
          <w:sz w:val="26"/>
          <w:szCs w:val="26"/>
          <w:rtl w:val="1"/>
          <w:lang w:val="fa-IR" w:bidi="fa-IR"/>
        </w:rPr>
        <w:t>مقدمه: کلیات تحقیق</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_Toc000003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۱</w:t>
      </w:r>
      <w:r>
        <w:rPr>
          <w:rFonts w:ascii="B Nazanin" w:hAnsi="B Nazanin" w:cs="B Nazanin" w:eastAsia="B Nazanin"/>
          <w:b w:val="1"/>
          <w:bCs w:val="1"/>
          <w:i w:val="0"/>
          <w:color w:val="26384A"/>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بیان مسئله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_Toc000004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ضرورت و اهمیت تحقیق</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_Toc000005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اهداف تحقیق</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_Toc000006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سؤالات تحقیق</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_Toc000007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فرضیه تحقیق</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_Toc000008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پیشینه تحقیق</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_Toc000009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روش تحقیق</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_Toc000010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ساماندهی تحقیق</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_Toc000011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قلمرو، محدودیت‌ها و اصطلاحات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_Toc000012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w:t>
      </w:r>
      <w:r>
        <w:rPr>
          <w:rFonts w:ascii="B Nazanin" w:hAnsi="B Nazanin" w:cs="B Nazanin" w:eastAsia="B Nazanin"/>
          <w:b w:val="0"/>
          <w:bCs w:val="0"/>
          <w:i w:val="0"/>
          <w:color w:val="202020"/>
          <w:sz w:val="26"/>
          <w:szCs w:val="26"/>
          <w:rtl w:val="1"/>
          <w:lang w:val="fa-IR" w:bidi="fa-IR"/>
        </w:rPr>
        <w:fldChar w:fldCharType="end"/>
      </w:r>
    </w:p>
    <w:p>
      <w:pPr>
        <w:pStyle w:val="TOC1"/>
        <w:widowControl w:val="1"/>
        <w:bidi w:val="1"/>
      </w:pPr>
      <w:r>
        <w:rPr>
          <w:rFonts w:ascii="B Nazanin" w:hAnsi="B Nazanin" w:cs="B Nazanin" w:eastAsia="B Nazanin"/>
          <w:b w:val="1"/>
          <w:bCs w:val="1"/>
          <w:i w:val="0"/>
          <w:color w:val="26384A"/>
          <w:sz w:val="26"/>
          <w:szCs w:val="26"/>
          <w:rtl w:val="1"/>
          <w:lang w:val="fa-IR" w:bidi="fa-IR"/>
        </w:rPr>
        <w:t>بخش اول: مبانی و کلیات</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_Toc000013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۸</w:t>
      </w:r>
      <w:r>
        <w:rPr>
          <w:rFonts w:ascii="B Nazanin" w:hAnsi="B Nazanin" w:cs="B Nazanin" w:eastAsia="B Nazanin"/>
          <w:b w:val="1"/>
          <w:bCs w:val="1"/>
          <w:i w:val="0"/>
          <w:color w:val="26384A"/>
          <w:sz w:val="26"/>
          <w:szCs w:val="26"/>
          <w:rtl w:val="1"/>
          <w:lang w:val="fa-IR" w:bidi="fa-IR"/>
        </w:rPr>
        <w:fldChar w:fldCharType="end"/>
      </w:r>
    </w:p>
    <w:p>
      <w:pPr>
        <w:pStyle w:val="TOC2"/>
        <w:widowControl w:val="1"/>
        <w:bidi w:val="1"/>
      </w:pPr>
      <w:r>
        <w:rPr>
          <w:rFonts w:ascii="B Nazanin" w:hAnsi="B Nazanin" w:cs="B Nazanin" w:eastAsia="B Nazanin"/>
          <w:b w:val="1"/>
          <w:bCs w:val="1"/>
          <w:i w:val="0"/>
          <w:color w:val="26384A"/>
          <w:sz w:val="26"/>
          <w:szCs w:val="26"/>
          <w:rtl w:val="1"/>
          <w:lang w:val="fa-IR" w:bidi="fa-IR"/>
        </w:rPr>
        <w:t>فصل اول: مفهوم‌شناسی و چارچوب نظری</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_Toc000014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۱۰</w:t>
      </w:r>
      <w:r>
        <w:rPr>
          <w:rFonts w:ascii="B Nazanin" w:hAnsi="B Nazanin" w:cs="B Nazanin" w:eastAsia="B Nazanin"/>
          <w:b w:val="1"/>
          <w:bCs w:val="1"/>
          <w:i w:val="0"/>
          <w:color w:val="26384A"/>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اول: مفهوم معاهده و تعهد بین‌المللی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_Toc000015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تعریف لغوی و اصطلاحی معاهده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_Toc000016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اقسام معاهدات و محل بحث</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_Toc000017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۱۲</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مفهوم تعهد و ارکان آن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_Toc000018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۱۲</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دوم: مفهوم ولی فقیه و گستره اختیارات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_Toc000019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تعریف ولی فقیه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_Toc000020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تفکیک تحلیلی اختیار؛ صریح، ضمنی، ولایی و حکومتی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_Toc000021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۱۴</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سوم: مفهوم عدول و مفاهیم خویشاوند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_Toc000022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۱۵</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تعریف عدول</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_Toc000023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۱۵</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تمایز از مفاهیم خویشاوند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_Toc000024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۱۶</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صورت‌بندی پنج‌گانه تغییر وضعیت تعهد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_Toc000025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۱۷</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چهارم: مفهوم مصلحت و چارچوب نظری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_Toc000026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۱۸</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مصلحت در لغت و اصطلاح</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_Toc000027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۱۸</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نسبت مصلحت با ضرورت بین‌المللی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_Toc000028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چارچوب نظری پژوهش</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_Toc000029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۲۰</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پنجم: پیشینه مفهومی عهد در فقه؛ هدنه، امان، ذمه و صلح</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_Toc000030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۲۱</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چرا پیشینه فقهی لازم است؟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_Toc000031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۲۱</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هدنه؛ آتش‌بس موقت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_Toc000032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۲۱</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امان؛ تأمین فردی و جمعی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_Toc000033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۲۲</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چهارم: ذمه و صلح؛ پیمان‌های دائم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_Toc000034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۲۲</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پنجم: جمع‌بندی؛ از نهادهای کهن تا معاهده مدرن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_Toc000035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۲۳</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حاصل فصل اول</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_Toc000036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۲۳</w:t>
      </w:r>
      <w:r>
        <w:rPr>
          <w:rFonts w:ascii="B Nazanin" w:hAnsi="B Nazanin" w:cs="B Nazanin" w:eastAsia="B Nazanin"/>
          <w:b w:val="0"/>
          <w:bCs w:val="0"/>
          <w:i w:val="0"/>
          <w:color w:val="202020"/>
          <w:sz w:val="26"/>
          <w:szCs w:val="26"/>
          <w:rtl w:val="1"/>
          <w:lang w:val="fa-IR" w:bidi="fa-IR"/>
        </w:rPr>
        <w:fldChar w:fldCharType="end"/>
      </w:r>
    </w:p>
    <w:p>
      <w:pPr>
        <w:pStyle w:val="TOC2"/>
        <w:widowControl w:val="1"/>
        <w:bidi w:val="1"/>
      </w:pPr>
      <w:r>
        <w:rPr>
          <w:rFonts w:ascii="B Nazanin" w:hAnsi="B Nazanin" w:cs="B Nazanin" w:eastAsia="B Nazanin"/>
          <w:b w:val="1"/>
          <w:bCs w:val="1"/>
          <w:i w:val="0"/>
          <w:color w:val="26384A"/>
          <w:sz w:val="26"/>
          <w:szCs w:val="26"/>
          <w:rtl w:val="1"/>
          <w:lang w:val="fa-IR" w:bidi="fa-IR"/>
        </w:rPr>
        <w:t>فصل دوم: کلیات حقوق معاهدات و قانون اساسی</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_Toc000037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۲۴</w:t>
      </w:r>
      <w:r>
        <w:rPr>
          <w:rFonts w:ascii="B Nazanin" w:hAnsi="B Nazanin" w:cs="B Nazanin" w:eastAsia="B Nazanin"/>
          <w:b w:val="1"/>
          <w:bCs w:val="1"/>
          <w:i w:val="0"/>
          <w:color w:val="26384A"/>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اول: تاریخچه و اصول حقوق معاهدات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_Toc000038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۲۴</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از عرف تا وین؛ تاریخچه‌ای کوتاه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_Toc000039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۲۴</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اصل بنیادین؛ پاکتا سونت سرواندا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_Toc000040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۲۵</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ماده ۲۷؛ تفکیک حقوق داخلی و تعهد خارجی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_Toc000041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۲۵</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دوم: سازوکارهای تعلیق و خاتمه موجه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_Toc000042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۲۶</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منطق کلی؛ خاتمه فقط از مجرای قانون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_Toc000043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۲۶</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توافق اطراف و حق مندرج در متن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_Toc000044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۲۷</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نقض اساسی طرف مقابل</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_Toc000045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۲۷</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چهارم: تغییر بنیادین اوضاع</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_Toc000046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۲۷</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پنجم: عدم امکان اجرا و آیین ادعا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_Toc000047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۲۸</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ششم: حق شرط و اعلامیه تفسیری؛ انعطافِ هنگامِ پذیرش</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_Toc000048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۲۸</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سوم: قواعد تفسیر معاهدات؛ فهم متن پیش از عمل</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_Toc000049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قاعده عام تفسیر؛ متن، سیاق، هدف</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_Toc000050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۲۹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نقش سوابق انعقاد و رفتار بعدی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_Toc000051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۳۰</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چهارم: اعتبار معاهدات؛ اهلیت، رضایت و عیوب اراده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_Toc000052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شرایط اعتبار؛ چرا بحث اعتبار به مسئله ما مربوط است؟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_Toc000053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اهلیت و صلاحیت انعقاد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_Toc000054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۳۱</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عیوب اراده؛ اشتباه، فریب و اجبار</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_Toc000055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۳۱</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چهارم: ثبت معاهدات و اثر آن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_Toc000056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۳۲</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پنجم: اصول قانون اساسی مرتبط</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_Toc000057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۳۲</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اصل ۵؛ تثبیت مرجعیت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_Toc000058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۳۲</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اصل ۵۷؛ ولایت مطلقه و قید آن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_Toc000059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اصول ۷۷ و ۱۲۵؛ ورود به التزام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_Toc000060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چهارم: اصول ۱۱۰ و ۱۱۲؛ اختیارات و مصلحت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_Toc000061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۳۴</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پنجم: اصول ۱۵۲ تا ۱۵۴ و ۱۷۶؛ جهت‌گیری سیاست خارجی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_Toc000062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۳۵</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حاصل فصل دوم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_Toc000063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۳۶</w:t>
      </w:r>
      <w:r>
        <w:rPr>
          <w:rFonts w:ascii="B Nazanin" w:hAnsi="B Nazanin" w:cs="B Nazanin" w:eastAsia="B Nazanin"/>
          <w:b w:val="0"/>
          <w:bCs w:val="0"/>
          <w:i w:val="0"/>
          <w:color w:val="202020"/>
          <w:sz w:val="26"/>
          <w:szCs w:val="26"/>
          <w:rtl w:val="1"/>
          <w:lang w:val="fa-IR" w:bidi="fa-IR"/>
        </w:rPr>
        <w:fldChar w:fldCharType="end"/>
      </w:r>
    </w:p>
    <w:p>
      <w:pPr>
        <w:pStyle w:val="TOC1"/>
        <w:widowControl w:val="1"/>
        <w:bidi w:val="1"/>
      </w:pPr>
      <w:r>
        <w:rPr>
          <w:rFonts w:ascii="B Nazanin" w:hAnsi="B Nazanin" w:cs="B Nazanin" w:eastAsia="B Nazanin"/>
          <w:b w:val="1"/>
          <w:bCs w:val="1"/>
          <w:i w:val="0"/>
          <w:color w:val="26384A"/>
          <w:sz w:val="26"/>
          <w:szCs w:val="26"/>
          <w:rtl w:val="1"/>
          <w:lang w:val="fa-IR" w:bidi="fa-IR"/>
        </w:rPr>
        <w:t>بخش دوم: تحلیل فقهی مسئله</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_Toc000064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۳۷</w:t>
      </w:r>
      <w:r>
        <w:rPr>
          <w:rFonts w:ascii="B Nazanin" w:hAnsi="B Nazanin" w:cs="B Nazanin" w:eastAsia="B Nazanin"/>
          <w:b w:val="1"/>
          <w:bCs w:val="1"/>
          <w:i w:val="0"/>
          <w:color w:val="26384A"/>
          <w:sz w:val="26"/>
          <w:szCs w:val="26"/>
          <w:rtl w:val="1"/>
          <w:lang w:val="fa-IR" w:bidi="fa-IR"/>
        </w:rPr>
        <w:fldChar w:fldCharType="end"/>
      </w:r>
    </w:p>
    <w:p>
      <w:pPr>
        <w:pStyle w:val="TOC2"/>
        <w:widowControl w:val="1"/>
        <w:bidi w:val="1"/>
      </w:pPr>
      <w:r>
        <w:rPr>
          <w:rFonts w:ascii="B Nazanin" w:hAnsi="B Nazanin" w:cs="B Nazanin" w:eastAsia="B Nazanin"/>
          <w:b w:val="1"/>
          <w:bCs w:val="1"/>
          <w:i w:val="0"/>
          <w:color w:val="26384A"/>
          <w:sz w:val="26"/>
          <w:szCs w:val="26"/>
          <w:rtl w:val="1"/>
          <w:lang w:val="fa-IR" w:bidi="fa-IR"/>
        </w:rPr>
        <w:t>فصل سوم: ادله وجوب وفای به عهد</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_Toc000065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۳۹</w:t>
      </w:r>
      <w:r>
        <w:rPr>
          <w:rFonts w:ascii="B Nazanin" w:hAnsi="B Nazanin" w:cs="B Nazanin" w:eastAsia="B Nazanin"/>
          <w:b w:val="1"/>
          <w:bCs w:val="1"/>
          <w:i w:val="0"/>
          <w:color w:val="26384A"/>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اول: آیات عام وجوب وفا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_Toc000066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آیه «أوفوا بالعقود»؛ دلیل عام وفا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_Toc000067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۳۹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آیات نحل و اسراء و رعد و مؤمنون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_Toc000068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عموم، اطلاق و جایگاه تزاحم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_Toc000069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۴۲</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دوم: آیات خاص جهاد و عهدنامه‌ها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_Toc000070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۴۲</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آیات توبه؛ وفا در برابر استقامت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_Toc000071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۴۲</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آیات انفال؛ انباذ و یاری مظلوم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_Toc000072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۴۳</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سوم: روایات وفای به عهد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_Toc000073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حدیث شروط؛ التزام در حدود مشروع</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_Toc000074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عهدنامه مالک اشتر؛ منشور حکومتی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_Toc000075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۴۴</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دیگر روایات نکوهش عهدشکنی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_Toc000076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۴۵</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چهارم: سیره معصومان در عهدنامه‌ها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_Toc000077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۴۵</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صلح حدیبیه؛ الگوی صبر حکومتی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_Toc000078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۴۵</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فتح مکه و اعلام برائت؛ تفکیک دو واقعه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_Toc000079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۴۶</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سیره امیرالمؤمنین؛ از صفین تا حکمیت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_Toc000080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۴۶</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چهارم: جمع‌بندی سیره؛ سه الگو</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_Toc000081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۴۷</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پنجم: دلیل عقل و بنای عقلا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_Toc000082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۴۷</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حکم عقل به قبح نقض عهد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_Toc000083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۴۷</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بنای عقلا؛ از بازار تا سازمان ملل</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_Toc000084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۴۷</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ششم: قواعد فقهی مؤید وجوب وفا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_Toc000085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۴۸</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اصالة اللزوم در عقود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_Toc000086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۴۸</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حرمت غدر و خیانت؛ مرز اخلاقی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_Toc000087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۴۸</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قاعده نفی سبیل؛ مرز دیگر وفا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_Toc000088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۴۹</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هفتم: ادله تکمیلی؛ امانت، سوگند و آرای فقها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_Toc000089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ادای امانت؛ نساء/۵۸</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_Toc000090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۴۹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حفظ سوگند؛ مائده/۸۹</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_Toc000091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خلف وعده در روایات اخلاقی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_Toc000092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چهارم: میثاق مدینه و عهدنامه نجران؛ دو الگوی حکومتی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_Toc000093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۵۱</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پنجم: آرای فقها؛ از جواهر تا تحریر</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_Toc000094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۵۲</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هشتم: واژه‌شناسی قرآنی؛ عهد، عقد، میثاق و وعد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_Toc000095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چرا واژه‌شناسی؟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_Toc000096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عهد و عقد؛ التزام و گره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_Toc000097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میثاق و وعد؛ پیمانِ محکم و وعده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_Toc000098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چهارم: أیمان و ذمه؛ سوگند و عهده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_Toc000099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۵۴</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حاصل فصل سوم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_Toc000100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۵۴</w:t>
      </w:r>
      <w:r>
        <w:rPr>
          <w:rFonts w:ascii="B Nazanin" w:hAnsi="B Nazanin" w:cs="B Nazanin" w:eastAsia="B Nazanin"/>
          <w:b w:val="0"/>
          <w:bCs w:val="0"/>
          <w:i w:val="0"/>
          <w:color w:val="202020"/>
          <w:sz w:val="26"/>
          <w:szCs w:val="26"/>
          <w:rtl w:val="1"/>
          <w:lang w:val="fa-IR" w:bidi="fa-IR"/>
        </w:rPr>
        <w:fldChar w:fldCharType="end"/>
      </w:r>
    </w:p>
    <w:p>
      <w:pPr>
        <w:pStyle w:val="TOC2"/>
        <w:widowControl w:val="1"/>
        <w:bidi w:val="1"/>
      </w:pPr>
      <w:r>
        <w:rPr>
          <w:rFonts w:ascii="B Nazanin" w:hAnsi="B Nazanin" w:cs="B Nazanin" w:eastAsia="B Nazanin"/>
          <w:b w:val="1"/>
          <w:bCs w:val="1"/>
          <w:i w:val="0"/>
          <w:color w:val="26384A"/>
          <w:sz w:val="26"/>
          <w:szCs w:val="26"/>
          <w:rtl w:val="1"/>
          <w:lang w:val="fa-IR" w:bidi="fa-IR"/>
        </w:rPr>
        <w:t>فصل چهارم: مبانی جواز عدول و ضوابط آن</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_Toc000101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۵۵</w:t>
      </w:r>
      <w:r>
        <w:rPr>
          <w:rFonts w:ascii="B Nazanin" w:hAnsi="B Nazanin" w:cs="B Nazanin" w:eastAsia="B Nazanin"/>
          <w:b w:val="1"/>
          <w:bCs w:val="1"/>
          <w:i w:val="0"/>
          <w:color w:val="26384A"/>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اول: قاعده تزاحم؛ چارچوب اصلی استدلال</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_Toc000102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۵۵</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تمایز تعارض ادله و تزاحم تکالیف</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_Toc000103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۵۵</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شرایط تحقق تزاحم در مسئله ما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_Toc000104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۵۶</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پاسخ به اشکال مقدّر؛ آیا تزاحم در احکام حکومتی جاری است؟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_Toc000105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۵۷</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دوم: حکم حکومتی؛ ابزار حل تزاحم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_Toc000106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۵۷</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نظریه حکم حکومتی امام خمینی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_Toc000107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۵۷</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شرایط حکم حکومتی در مسئله ما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_Toc000108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۵۸</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پاسخ به اشکال مقدّر؛ آیا حکم حکومتی شامل تعهدات بین‌المللی می‌شود؟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_Toc000109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۵۸</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سوم: قواعد نفی ضرر و حرج و مصلحت نظام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_Toc000110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قاعده لاضرر و حدود استناد به آن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_Toc000111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قاعده لاحرج و تشخیص مشقت معتبر</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_Toc000112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۵۹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حفظ نظام و لزوم احراز موضوع و اهمیت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_Toc000113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۶۰</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چهارم: ضوابط هشت‌گانه عدول حکومتی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_Toc000114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ضابطه اول تا سوم؛ تزاحم، تقدم راه حقوقی، تشخیص ولی فقیه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_Toc000115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ضابطه چهارم تا ششم؛ تناسب، موقت بودن، انباذ</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_Toc000116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۶۱</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ضابطه هفتم و هشتم؛ قواعد آمره و لحاظ آثار</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_Toc000117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۶۲</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پنجم: دفع اشکالات مقدّر؛ آزمون استحکام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_Toc000118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۶۲</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آیا تقدیم مصلحت بر نص، تعطیل نص نیست؟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_Toc000119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آیا این راه به توجیه هر عهدشکنی نمی‌انجامد؟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_Toc000120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آیا حاکم در دعوای خودش داور است؟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_Toc000121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۶۳</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ششم: پیشینه نظری؛ از نراقی تا امام خمینی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_Toc000122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۶۴</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نراقی و صورت‌بندی ولایت فقیه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_Toc000123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۶۴</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نائینی و تحدید قدرت سیاسی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_Toc000124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۶۴</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امام خمینی؛ از کشف اسرار تا صحیفه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_Toc000125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۶۵</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چهارم: صلح امام حسن؛ حدود دلالت یک شاهد تاریخی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_Toc000126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۶۵</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پنجم: مراتب تزاحم؛ اهم، مهم و محتمل‌الاهمیه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_Toc000127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۶۶</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حاصل فصل چهارم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_Toc000128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۶۷</w:t>
      </w:r>
      <w:r>
        <w:rPr>
          <w:rFonts w:ascii="B Nazanin" w:hAnsi="B Nazanin" w:cs="B Nazanin" w:eastAsia="B Nazanin"/>
          <w:b w:val="0"/>
          <w:bCs w:val="0"/>
          <w:i w:val="0"/>
          <w:color w:val="202020"/>
          <w:sz w:val="26"/>
          <w:szCs w:val="26"/>
          <w:rtl w:val="1"/>
          <w:lang w:val="fa-IR" w:bidi="fa-IR"/>
        </w:rPr>
        <w:fldChar w:fldCharType="end"/>
      </w:r>
    </w:p>
    <w:p>
      <w:pPr>
        <w:pStyle w:val="TOC1"/>
        <w:widowControl w:val="1"/>
        <w:bidi w:val="1"/>
      </w:pPr>
      <w:r>
        <w:rPr>
          <w:rFonts w:ascii="B Nazanin" w:hAnsi="B Nazanin" w:cs="B Nazanin" w:eastAsia="B Nazanin"/>
          <w:b w:val="1"/>
          <w:bCs w:val="1"/>
          <w:i w:val="0"/>
          <w:color w:val="26384A"/>
          <w:sz w:val="26"/>
          <w:szCs w:val="26"/>
          <w:rtl w:val="1"/>
          <w:lang w:val="fa-IR" w:bidi="fa-IR"/>
        </w:rPr>
        <w:t>بخش سوم: تحلیل حقوقی مسئله</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_Toc000129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۶۸</w:t>
      </w:r>
      <w:r>
        <w:rPr>
          <w:rFonts w:ascii="B Nazanin" w:hAnsi="B Nazanin" w:cs="B Nazanin" w:eastAsia="B Nazanin"/>
          <w:b w:val="1"/>
          <w:bCs w:val="1"/>
          <w:i w:val="0"/>
          <w:color w:val="26384A"/>
          <w:sz w:val="26"/>
          <w:szCs w:val="26"/>
          <w:rtl w:val="1"/>
          <w:lang w:val="fa-IR" w:bidi="fa-IR"/>
        </w:rPr>
        <w:fldChar w:fldCharType="end"/>
      </w:r>
    </w:p>
    <w:p>
      <w:pPr>
        <w:pStyle w:val="TOC2"/>
        <w:widowControl w:val="1"/>
        <w:bidi w:val="1"/>
      </w:pPr>
      <w:r>
        <w:rPr>
          <w:rFonts w:ascii="B Nazanin" w:hAnsi="B Nazanin" w:cs="B Nazanin" w:eastAsia="B Nazanin"/>
          <w:b w:val="1"/>
          <w:bCs w:val="1"/>
          <w:i w:val="0"/>
          <w:color w:val="26384A"/>
          <w:sz w:val="26"/>
          <w:szCs w:val="26"/>
          <w:rtl w:val="1"/>
          <w:lang w:val="fa-IR" w:bidi="fa-IR"/>
        </w:rPr>
        <w:t>فصل پنجم: مسئولیت بین‌المللی دولت و جایگاه حقوق اساسی تصمیم</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_Toc000130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۷۰</w:t>
      </w:r>
      <w:r>
        <w:rPr>
          <w:rFonts w:ascii="B Nazanin" w:hAnsi="B Nazanin" w:cs="B Nazanin" w:eastAsia="B Nazanin"/>
          <w:b w:val="1"/>
          <w:bCs w:val="1"/>
          <w:i w:val="0"/>
          <w:color w:val="26384A"/>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اول: چارچوب مسئولیت بین‌المللی دولت‌ها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_Toc000131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تاریخچه تدوین؛ از آگو تا کرافورد</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_Toc000132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۷۰</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جایگاه عرفی کنوانسیون وین و رویه دیوان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_Toc000133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۷۱</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ارکان عمل متخلفانه؛ انتساب و نقض</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_Toc000134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۷۱</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دوم: انتساب تصمیم ولی فقیه به دولت ایران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_Toc000135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۷۲</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قاعده انتساب رفتار ارکان دولت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_Toc000136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۷۲</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تطبیق قاعده بر تصمیم ولی فقیه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_Toc000137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۷۳</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سوم: نقض تعهد و تفکیک سه‌گانه سطوح تحلیل</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_Toc000138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۷۴</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تحقق نقض و اقسام آن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_Toc000139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۷۴</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تفکیک جواز فقهی، مشروعیت داخلی و مسئولیت بین‌المللی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_Toc000140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۷۵</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چهارم: اسباب رافع، آثار مسئولیت و راهبردهای کاهش آن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_Toc000141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۷۶</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اسباب رافع وصف متخلفانه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_Toc000142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۷۶</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آثار مسئولیت؛ توقف، جبران و حل‌وفصل اختلاف</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_Toc000143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۷۷</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راهبردهای حقوقی کاهش مسئولیت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_Toc000144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۷۸</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چهارم: شرایط اقدام متقابل و جبران در رویه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_Toc000145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۷۹</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پنجم: نمونه تحلیلی؛ تجربه برجام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_Toc000146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۸۱</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ششم: تجربه تطبیقی؛ خروج از معاهدات در عمل دولت‌ها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_Toc000147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۸۱</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گفتار پنجم: جایگاه حقوق اساسی تصمیم ولی فقیه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_Toc000148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۸۳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اول: تحلیل اصول ۵، ۵۷، ۷۷، ۱۱۲ و ۱۲۵</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_Toc000149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۸۳</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دوم: اصول ۱۰۷ تا ۱۱۱؛ نصب، شرایط و نظارت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_Toc000150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۸۴</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سوم: سیاست‌های کلی نظام؛ حلقه واسطِ رهبری و معاهدات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_Toc000151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۸۵</w:t>
      </w:r>
      <w:r>
        <w:rPr>
          <w:rFonts w:ascii="B Nazanin" w:hAnsi="B Nazanin" w:cs="B Nazanin" w:eastAsia="B Nazanin"/>
          <w:b w:val="0"/>
          <w:bCs w:val="0"/>
          <w:i w:val="0"/>
          <w:color w:val="202020"/>
          <w:sz w:val="26"/>
          <w:szCs w:val="26"/>
          <w:rtl w:val="1"/>
          <w:lang w:val="fa-IR" w:bidi="fa-IR"/>
        </w:rPr>
        <w:fldChar w:fldCharType="end"/>
      </w:r>
    </w:p>
    <w:p>
      <w:pPr>
        <w:pStyle w:val="TOC4"/>
        <w:widowControl w:val="1"/>
        <w:bidi w:val="1"/>
      </w:pPr>
      <w:r>
        <w:rPr>
          <w:rFonts w:ascii="B Nazanin" w:hAnsi="B Nazanin" w:cs="B Nazanin" w:eastAsia="B Nazanin"/>
          <w:b w:val="0"/>
          <w:bCs w:val="0"/>
          <w:i w:val="0"/>
          <w:color w:val="202020"/>
          <w:sz w:val="26"/>
          <w:szCs w:val="26"/>
          <w:rtl w:val="1"/>
          <w:lang w:val="fa-IR" w:bidi="fa-IR"/>
        </w:rPr>
        <w:t>بند چهارم: تحلیل اصل ۱۱۰؛ نقد ادعای حصر و تفکیک انواع اختیار</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_Toc000152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۸۶</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حاصل فصل پنجم</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_Toc000153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۸۸</w:t>
      </w:r>
      <w:r>
        <w:rPr>
          <w:rFonts w:ascii="B Nazanin" w:hAnsi="B Nazanin" w:cs="B Nazanin" w:eastAsia="B Nazanin"/>
          <w:b w:val="0"/>
          <w:bCs w:val="0"/>
          <w:i w:val="0"/>
          <w:color w:val="202020"/>
          <w:sz w:val="26"/>
          <w:szCs w:val="26"/>
          <w:rtl w:val="1"/>
          <w:lang w:val="fa-IR" w:bidi="fa-IR"/>
        </w:rPr>
        <w:fldChar w:fldCharType="end"/>
      </w:r>
    </w:p>
    <w:p>
      <w:pPr>
        <w:pStyle w:val="TOC2"/>
        <w:widowControl w:val="1"/>
        <w:bidi w:val="1"/>
      </w:pPr>
      <w:r>
        <w:rPr>
          <w:rFonts w:ascii="B Nazanin" w:hAnsi="B Nazanin" w:cs="B Nazanin" w:eastAsia="B Nazanin"/>
          <w:b w:val="1"/>
          <w:bCs w:val="1"/>
          <w:i w:val="0"/>
          <w:color w:val="26384A"/>
          <w:sz w:val="26"/>
          <w:szCs w:val="26"/>
          <w:rtl w:val="1"/>
          <w:lang w:val="fa-IR" w:bidi="fa-IR"/>
        </w:rPr>
        <w:t>نتیجه‌گیری</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_Toc000154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۸۹</w:t>
      </w:r>
      <w:r>
        <w:rPr>
          <w:rFonts w:ascii="B Nazanin" w:hAnsi="B Nazanin" w:cs="B Nazanin" w:eastAsia="B Nazanin"/>
          <w:b w:val="1"/>
          <w:bCs w:val="1"/>
          <w:i w:val="0"/>
          <w:color w:val="26384A"/>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دستاورد اول: قاعده اولی، وجوب وفاست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_Toc000155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۸۹</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دستاورد دوم: امکان استثنا، وابسته به احراز مبنا و موضوع است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_Toc000156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۸۹</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دستاورد سوم: ضوابط هشت‌گانه، مهار جواز است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_Toc000157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۹۰</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دستاورد چهارم: تفکیک سه سطح تحلیل و حفظ ارتباط آن‌ها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_Toc000158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۹۰</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دستاورد پنجم: اختیار فوق‌العاده، نیازمند مستند و مجرای مشخص است</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_Toc000159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۹۰</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نوآوری‌ها و پیشنهادها</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_Toc000160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۹۰</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پاسخ کوتاه به سؤال‌های فرعی؛ جمع‌بندی برای دفاع</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_Toc000161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۹۱</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مسیر آینده؛ از رساله تا نظام‌سازی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_Toc000162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۹۲</w:t>
      </w:r>
      <w:r>
        <w:rPr>
          <w:rFonts w:ascii="B Nazanin" w:hAnsi="B Nazanin" w:cs="B Nazanin" w:eastAsia="B Nazanin"/>
          <w:b w:val="0"/>
          <w:bCs w:val="0"/>
          <w:i w:val="0"/>
          <w:color w:val="202020"/>
          <w:sz w:val="26"/>
          <w:szCs w:val="26"/>
          <w:rtl w:val="1"/>
          <w:lang w:val="fa-IR" w:bidi="fa-IR"/>
        </w:rPr>
        <w:fldChar w:fldCharType="end"/>
      </w:r>
    </w:p>
    <w:p>
      <w:pPr>
        <w:pStyle w:val="TOC2"/>
        <w:widowControl w:val="1"/>
        <w:bidi w:val="1"/>
      </w:pPr>
      <w:r>
        <w:rPr>
          <w:rFonts w:ascii="B Nazanin" w:hAnsi="B Nazanin" w:cs="B Nazanin" w:eastAsia="B Nazanin"/>
          <w:b w:val="1"/>
          <w:bCs w:val="1"/>
          <w:i w:val="0"/>
          <w:color w:val="26384A"/>
          <w:sz w:val="26"/>
          <w:szCs w:val="26"/>
          <w:rtl w:val="1"/>
          <w:lang w:val="fa-IR" w:bidi="fa-IR"/>
        </w:rPr>
        <w:t>فهرست منابع</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_Toc000163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۹۴</w:t>
      </w:r>
      <w:r>
        <w:rPr>
          <w:rFonts w:ascii="B Nazanin" w:hAnsi="B Nazanin" w:cs="B Nazanin" w:eastAsia="B Nazanin"/>
          <w:b w:val="1"/>
          <w:bCs w:val="1"/>
          <w:i w:val="0"/>
          <w:color w:val="26384A"/>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قرآن کریم و تفاسیر</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_Toc000164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۹۴</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جوامع حدیثی و نهج‌البلاغه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_Toc000165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۹۵</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کتب فقهی و اصولی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_Toc000166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۹۵</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فقه سیاسی، ولایت فقیه و حکومت اسلامی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_Toc000167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۹۷</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قانون اساسی و اسناد حقوقی داخلی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_Toc000168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۹۷</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اسناد بین‌المللی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_Toc000169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۹۸</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کتب و مقالات حقوقی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_Toc000170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۹۹</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یادداشت‌های کتاب‌شناختی؛ راهنمای خواننده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_Toc000171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۱۰۰</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پایگاه‌های اینترنتی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_Toc000172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۱۰۱</w:t>
      </w:r>
      <w:r>
        <w:rPr>
          <w:rFonts w:ascii="B Nazanin" w:hAnsi="B Nazanin" w:cs="B Nazanin" w:eastAsia="B Nazanin"/>
          <w:b w:val="0"/>
          <w:bCs w:val="0"/>
          <w:i w:val="0"/>
          <w:color w:val="202020"/>
          <w:sz w:val="26"/>
          <w:szCs w:val="26"/>
          <w:rtl w:val="1"/>
          <w:lang w:val="fa-IR" w:bidi="fa-IR"/>
        </w:rPr>
        <w:fldChar w:fldCharType="end"/>
      </w:r>
    </w:p>
    <w:p>
      <w:pPr>
        <w:pStyle w:val="TOC2"/>
        <w:widowControl w:val="1"/>
        <w:bidi w:val="1"/>
      </w:pPr>
      <w:r>
        <w:rPr>
          <w:rFonts w:ascii="B Nazanin" w:hAnsi="B Nazanin" w:cs="B Nazanin" w:eastAsia="B Nazanin"/>
          <w:b w:val="1"/>
          <w:bCs w:val="1"/>
          <w:i w:val="0"/>
          <w:color w:val="26384A"/>
          <w:sz w:val="26"/>
          <w:szCs w:val="26"/>
          <w:rtl w:val="1"/>
          <w:lang w:val="fa-IR" w:bidi="fa-IR"/>
        </w:rPr>
        <w:t>پیوست‌ها</w:t>
      </w:r>
      <w:r>
        <w:rPr>
          <w:rFonts w:ascii="B Nazanin" w:hAnsi="B Nazanin" w:cs="B Nazanin" w:eastAsia="B Nazanin"/>
          <w:b w:val="1"/>
          <w:bCs w:val="1"/>
          <w:i w:val="0"/>
          <w:color w:val="26384A"/>
          <w:sz w:val="26"/>
          <w:szCs w:val="26"/>
          <w:rtl w:val="1"/>
          <w:lang w:val="fa-IR" w:bidi="fa-IR"/>
        </w:rPr>
        <w:tab/>
      </w:r>
      <w:r>
        <w:rPr>
          <w:rFonts w:ascii="B Nazanin" w:hAnsi="B Nazanin" w:cs="B Nazanin" w:eastAsia="B Nazanin"/>
          <w:b w:val="1"/>
          <w:bCs w:val="1"/>
          <w:i w:val="0"/>
          <w:color w:val="26384A"/>
          <w:sz w:val="26"/>
          <w:szCs w:val="26"/>
          <w:rtl w:val="1"/>
          <w:lang w:val="fa-IR" w:bidi="fa-IR"/>
        </w:rPr>
        <w:fldChar w:fldCharType="begin" w:dirty="true"/>
      </w:r>
      <w:r>
        <w:rPr>
          <w:rFonts w:ascii="B Nazanin" w:hAnsi="B Nazanin" w:cs="B Nazanin" w:eastAsia="B Nazanin"/>
          <w:b w:val="1"/>
          <w:bCs w:val="1"/>
          <w:i w:val="0"/>
          <w:color w:val="26384A"/>
          <w:sz w:val="26"/>
          <w:szCs w:val="26"/>
          <w:rtl w:val="1"/>
          <w:lang w:val="fa-IR" w:bidi="fa-IR"/>
        </w:rPr>
        <w:instrText xml:space="preserve"> PAGEREF _Toc000173 \h </w:instrText>
      </w:r>
      <w:r>
        <w:rPr>
          <w:rFonts w:ascii="B Nazanin" w:hAnsi="B Nazanin" w:cs="B Nazanin" w:eastAsia="B Nazanin"/>
          <w:b w:val="1"/>
          <w:bCs w:val="1"/>
          <w:i w:val="0"/>
          <w:color w:val="26384A"/>
          <w:sz w:val="26"/>
          <w:szCs w:val="26"/>
          <w:rtl w:val="1"/>
          <w:lang w:val="fa-IR" w:bidi="fa-IR"/>
        </w:rPr>
        <w:fldChar w:fldCharType="separate"/>
      </w:r>
      <w:r>
        <w:rPr>
          <w:rFonts w:ascii="B Nazanin" w:hAnsi="B Nazanin" w:cs="B Nazanin" w:eastAsia="B Nazanin"/>
          <w:b w:val="1"/>
          <w:bCs w:val="1"/>
          <w:color w:val="26384A"/>
          <w:sz w:val="26"/>
          <w:szCs w:val="26"/>
          <w:rtl w:val="1"/>
          <w:lang w:val="fa-IR" w:bidi="fa-IR"/>
        </w:rPr>
        <w:t xml:space="preserve">۱۰۳</w:t>
      </w:r>
      <w:r>
        <w:rPr>
          <w:rFonts w:ascii="B Nazanin" w:hAnsi="B Nazanin" w:cs="B Nazanin" w:eastAsia="B Nazanin"/>
          <w:b w:val="1"/>
          <w:bCs w:val="1"/>
          <w:i w:val="0"/>
          <w:color w:val="26384A"/>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پیوست اول: چک‌لیست عملی تصمیم‌گیری درباره عدول از تعهد بین‌المللی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_Toc000174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۱۰۳</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پیوست دوم: گزیده اصول قانون اساسی مرتبط</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_Toc000175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۱۰۵</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پیوست سوم: ترجمه و خلاصه مواد کلیدی کنوانسیون وین</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_Toc000176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۱۰۷</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پیوست چهارم: گاه‌شمار تحولات حقوق معاهدات و موضوع پژوهش</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_Toc000177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۱۰۸</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پیوست پنجم: گزیده عهدنامه مالک اشتر (متن و ترجمه)</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_Toc000178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۱۰۹</w:t>
      </w:r>
      <w:r>
        <w:rPr>
          <w:rFonts w:ascii="B Nazanin" w:hAnsi="B Nazanin" w:cs="B Nazanin" w:eastAsia="B Nazanin"/>
          <w:b w:val="0"/>
          <w:bCs w:val="0"/>
          <w:i w:val="0"/>
          <w:color w:val="202020"/>
          <w:sz w:val="26"/>
          <w:szCs w:val="26"/>
          <w:rtl w:val="1"/>
          <w:lang w:val="fa-IR" w:bidi="fa-IR"/>
        </w:rPr>
        <w:fldChar w:fldCharType="end"/>
      </w:r>
    </w:p>
    <w:p>
      <w:pPr>
        <w:pStyle w:val="TOC3"/>
        <w:widowControl w:val="1"/>
        <w:bidi w:val="1"/>
      </w:pPr>
      <w:r>
        <w:rPr>
          <w:rFonts w:ascii="B Nazanin" w:hAnsi="B Nazanin" w:cs="B Nazanin" w:eastAsia="B Nazanin"/>
          <w:b w:val="0"/>
          <w:bCs w:val="0"/>
          <w:i w:val="0"/>
          <w:color w:val="202020"/>
          <w:sz w:val="26"/>
          <w:szCs w:val="26"/>
          <w:rtl w:val="1"/>
          <w:lang w:val="fa-IR" w:bidi="fa-IR"/>
        </w:rPr>
        <w:t>پیوست ششم: واژه‌نامه فارسی ـ عربی ـ انگلیسی</w:t>
      </w:r>
      <w:r>
        <w:rPr>
          <w:rFonts w:ascii="B Nazanin" w:hAnsi="B Nazanin" w:cs="B Nazanin" w:eastAsia="B Nazanin"/>
          <w:b w:val="0"/>
          <w:bCs w:val="0"/>
          <w:i w:val="0"/>
          <w:color w:val="202020"/>
          <w:sz w:val="26"/>
          <w:szCs w:val="26"/>
          <w:rtl w:val="1"/>
          <w:lang w:val="fa-IR" w:bidi="fa-IR"/>
        </w:rPr>
        <w:tab/>
      </w:r>
      <w:r>
        <w:rPr>
          <w:rFonts w:ascii="B Nazanin" w:hAnsi="B Nazanin" w:cs="B Nazanin" w:eastAsia="B Nazanin"/>
          <w:b w:val="0"/>
          <w:bCs w:val="0"/>
          <w:i w:val="0"/>
          <w:color w:val="202020"/>
          <w:sz w:val="26"/>
          <w:szCs w:val="26"/>
          <w:rtl w:val="1"/>
          <w:lang w:val="fa-IR" w:bidi="fa-IR"/>
        </w:rPr>
        <w:fldChar w:fldCharType="begin" w:dirty="true"/>
      </w:r>
      <w:r>
        <w:rPr>
          <w:rFonts w:ascii="B Nazanin" w:hAnsi="B Nazanin" w:cs="B Nazanin" w:eastAsia="B Nazanin"/>
          <w:b w:val="0"/>
          <w:bCs w:val="0"/>
          <w:i w:val="0"/>
          <w:color w:val="202020"/>
          <w:sz w:val="26"/>
          <w:szCs w:val="26"/>
          <w:rtl w:val="1"/>
          <w:lang w:val="fa-IR" w:bidi="fa-IR"/>
        </w:rPr>
        <w:instrText xml:space="preserve"> PAGEREF _Toc000179 \h </w:instrText>
      </w:r>
      <w:r>
        <w:rPr>
          <w:rFonts w:ascii="B Nazanin" w:hAnsi="B Nazanin" w:cs="B Nazanin" w:eastAsia="B Nazanin"/>
          <w:b w:val="0"/>
          <w:bCs w:val="0"/>
          <w:i w:val="0"/>
          <w:color w:val="202020"/>
          <w:sz w:val="26"/>
          <w:szCs w:val="26"/>
          <w:rtl w:val="1"/>
          <w:lang w:val="fa-IR" w:bidi="fa-IR"/>
        </w:rPr>
        <w:fldChar w:fldCharType="separate"/>
      </w:r>
      <w:r>
        <w:rPr>
          <w:rFonts w:ascii="B Nazanin" w:hAnsi="B Nazanin" w:cs="B Nazanin" w:eastAsia="B Nazanin"/>
          <w:b w:val="0"/>
          <w:bCs w:val="0"/>
          <w:color w:val="202020"/>
          <w:sz w:val="26"/>
          <w:szCs w:val="26"/>
          <w:rtl w:val="1"/>
          <w:lang w:val="fa-IR" w:bidi="fa-IR"/>
        </w:rPr>
        <w:t xml:space="preserve">۱۱۰</w:t>
      </w:r>
      <w:r>
        <w:rPr>
          <w:rFonts w:ascii="B Nazanin" w:hAnsi="B Nazanin" w:cs="B Nazanin" w:eastAsia="B Nazanin"/>
          <w:b w:val="0"/>
          <w:bCs w:val="0"/>
          <w:i w:val="0"/>
          <w:color w:val="202020"/>
          <w:sz w:val="26"/>
          <w:szCs w:val="26"/>
          <w:rtl w:val="1"/>
          <w:lang w:val="fa-IR" w:bidi="fa-IR"/>
        </w:rPr>
        <w:fldChar w:fldCharType="end"/>
      </w:r>
    </w:p>
    <w:p>
      <w:pPr>
        <w:widowControl/>
        <w:bidi w:val="1"/>
        <w:spacing w:before="0" w:after="200" w:line="336" w:lineRule="auto"/>
        <w:jc w:val="start"/>
      </w:pPr>
      <w:r>
        <w:rPr>
          <w:rFonts w:ascii="B Nazanin" w:hAnsi="B Nazanin" w:cs="B Nazanin" w:eastAsia="B Nazanin"/>
          <w:b w:val="0"/>
          <w:i w:val="0"/>
          <w:sz w:val="28"/>
          <w:szCs w:val="28"/>
        </w:rPr>
        <w:fldChar w:fldCharType="end"/>
      </w:r>
    </w:p>
    <w:p>
      <w:pPr>
        <w:widowControl w:val="1"/>
        <w:bidi w:val="1"/>
        <w:spacing w:before="100" w:after="0" w:line="240" w:lineRule="auto"/>
        <w:jc w:val="start"/>
      </w:pPr>
      <w:r>
        <w:rPr>
          <w:rFonts w:ascii="B Nazanin" w:hAnsi="B Nazanin" w:cs="B Nazanin" w:eastAsia="B Nazanin"/>
          <w:b w:val="0"/>
          <w:bCs w:val="0"/>
          <w:i w:val="0"/>
          <w:color w:val="677483"/>
          <w:sz w:val="21"/>
          <w:szCs w:val="21"/>
          <w:rtl w:val="1"/>
          <w:lang w:val="fa-IR" w:bidi="fa-IR"/>
        </w:rPr>
        <w:t xml:space="preserve">برای به‌روزرسانی شماره صفحات، در </w:t>
      </w:r>
      <w:r>
        <w:rPr>
          <w:rFonts w:ascii="Times New Roman" w:hAnsi="Times New Roman" w:cs="B Nazanin" w:eastAsia="B Nazanin"/>
          <w:b w:val="0"/>
          <w:bCs w:val="0"/>
          <w:i w:val="0"/>
          <w:color w:val="677483"/>
          <w:sz w:val="21"/>
          <w:szCs w:val="21"/>
          <w:rtl w:val="0"/>
          <w:lang w:val="en-US" w:bidi="fa-IR"/>
        </w:rPr>
        <w:t xml:space="preserve">Word</w:t>
      </w:r>
      <w:r>
        <w:rPr>
          <w:rFonts w:ascii="B Nazanin" w:hAnsi="B Nazanin" w:cs="B Nazanin" w:eastAsia="B Nazanin"/>
          <w:b w:val="0"/>
          <w:bCs w:val="0"/>
          <w:i w:val="0"/>
          <w:color w:val="677483"/>
          <w:sz w:val="21"/>
          <w:szCs w:val="21"/>
          <w:rtl w:val="1"/>
          <w:lang w:val="fa-IR" w:bidi="fa-IR"/>
        </w:rPr>
        <w:t xml:space="preserve"> روی فهرست کلیک راست کنید و گزینه «</w:t>
      </w:r>
      <w:r>
        <w:rPr>
          <w:rFonts w:ascii="Times New Roman" w:hAnsi="Times New Roman" w:cs="B Nazanin" w:eastAsia="B Nazanin"/>
          <w:b w:val="0"/>
          <w:bCs w:val="0"/>
          <w:i w:val="0"/>
          <w:color w:val="677483"/>
          <w:sz w:val="21"/>
          <w:szCs w:val="21"/>
          <w:rtl w:val="0"/>
          <w:lang w:val="en-US" w:bidi="fa-IR"/>
        </w:rPr>
        <w:t xml:space="preserve">Update Field</w:t>
      </w:r>
      <w:r>
        <w:rPr>
          <w:rFonts w:ascii="B Nazanin" w:hAnsi="B Nazanin" w:cs="B Nazanin" w:eastAsia="B Nazanin"/>
          <w:b w:val="0"/>
          <w:bCs w:val="0"/>
          <w:i w:val="0"/>
          <w:color w:val="677483"/>
          <w:sz w:val="21"/>
          <w:szCs w:val="21"/>
          <w:rtl w:val="1"/>
          <w:lang w:val="fa-IR" w:bidi="fa-IR"/>
        </w:rPr>
        <w:t xml:space="preserve">» و سپس «</w:t>
      </w:r>
      <w:r>
        <w:rPr>
          <w:rFonts w:ascii="Times New Roman" w:hAnsi="Times New Roman" w:cs="B Nazanin" w:eastAsia="B Nazanin"/>
          <w:b w:val="0"/>
          <w:bCs w:val="0"/>
          <w:i w:val="0"/>
          <w:color w:val="677483"/>
          <w:sz w:val="21"/>
          <w:szCs w:val="21"/>
          <w:rtl w:val="0"/>
          <w:lang w:val="en-US" w:bidi="fa-IR"/>
        </w:rPr>
        <w:t xml:space="preserve">Update entire table</w:t>
      </w:r>
      <w:r>
        <w:rPr>
          <w:rFonts w:ascii="B Nazanin" w:hAnsi="B Nazanin" w:cs="B Nazanin" w:eastAsia="B Nazanin"/>
          <w:b w:val="0"/>
          <w:bCs w:val="0"/>
          <w:i w:val="0"/>
          <w:color w:val="677483"/>
          <w:sz w:val="21"/>
          <w:szCs w:val="21"/>
          <w:rtl w:val="1"/>
          <w:lang w:val="fa-IR" w:bidi="fa-IR"/>
        </w:rPr>
        <w:t xml:space="preserve">» را انتخاب کنید.</w:t>
      </w:r>
    </w:p>
    <w:p>
      <w:pPr>
        <w:sectPr>
          <w:pgSz w:w="11906" w:h="16838"/>
          <w:pgMar w:top="1417" w:right="1701" w:bottom="1417" w:left="1134" w:header="680" w:footer="680" w:gutter="0"/>
          <w:cols w:space="720"/>
          <w:docGrid w:linePitch="360"/>
        </w:sectPr>
      </w:pPr>
    </w:p>
    <w:p/>
    <w:p/>
    <w:p>
      <w:pPr>
        <w:pStyle w:val="TH-Fasl"/>
        <w:keepNext w:val="1"/>
        <w:keepLines w:val="1"/>
        <w:widowControl w:val="1"/>
        <w:pBdr>
          <w:top w:val="single" w:sz="8" w:space="8" w:color="243B53"/>
          <w:bottom w:val="single" w:sz="8" w:space="8" w:color="243B53"/>
        </w:pBdr>
        <w:bidi w:val="1"/>
        <w:spacing w:before="120" w:after="180" w:line="300" w:lineRule="auto"/>
        <w:ind w:firstLine="0"/>
        <w:jc w:val="center"/>
      </w:pPr>
      <w:bookmarkStart w:id="3" w:name="_Toc000003"/>
      <w:r>
        <w:rPr>
          <w:rFonts w:ascii="B Nazanin" w:hAnsi="B Nazanin" w:cs="B Nazanin" w:eastAsia="B Nazanin"/>
          <w:b w:val="1"/>
          <w:bCs w:val="1"/>
          <w:i w:val="0"/>
          <w:color w:val="243B53"/>
          <w:sz w:val="40"/>
          <w:szCs w:val="40"/>
          <w:rtl w:val="1"/>
          <w:lang w:val="fa-IR" w:bidi="fa-IR"/>
        </w:rPr>
        <w:t>مقدمه: کلیات تحقیق</w:t>
      </w:r>
      <w:bookmarkEnd w:id="3"/>
    </w:p>
    <w:p>
      <w:pPr>
        <w:pStyle w:val="TH-Goftar"/>
        <w:keepNext w:val="1"/>
        <w:keepLines w:val="1"/>
        <w:widowControl w:val="1"/>
        <w:shd w:val="clear" w:fill="F0F3F6"/>
        <w:bidi w:val="1"/>
        <w:spacing w:before="240" w:after="180" w:line="300" w:lineRule="auto"/>
        <w:ind w:firstLine="0"/>
        <w:jc w:val="start"/>
      </w:pPr>
      <w:bookmarkStart w:id="4" w:name="_Toc000004"/>
      <w:r>
        <w:rPr>
          <w:rFonts w:ascii="B Nazanin" w:hAnsi="B Nazanin" w:cs="B Nazanin" w:eastAsia="B Nazanin"/>
          <w:b w:val="1"/>
          <w:bCs w:val="1"/>
          <w:i w:val="0"/>
          <w:color w:val="243B53"/>
          <w:sz w:val="32"/>
          <w:szCs w:val="32"/>
          <w:rtl w:val="1"/>
          <w:lang w:val="fa-IR" w:bidi="fa-IR"/>
        </w:rPr>
        <w:t>بیان مسئله</w:t>
      </w:r>
      <w:bookmarkEnd w:id="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دولتی ممکن است معاهده‌ای را به‌طور معتبر منعقد کند، اما در مرحله اجرا با تغییر شرایط، نقض طرف مقابل یا خطری جدی برای مصالح عمومی روبه‌رو شود. در این وضعیت، پرسش تنها درباره سودمندی ادامه همکاری نیست؛ باید روشن شود آیا تعهد حقوقی همچنان برقرار است، چه راه‌های قانونی برای اصلاح یا پایان آن وجود دارد و در فرض ناکافی بودن این راه‌ها، تصمیم به عدم اجرا چه حکمی دارد. مسئله رساله، بررسی همین فرض استثنایی در ارتباط با اختیار ولی فقیه 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موضوع در محل تلاقی سه نظام هنجاری قرار دارد. در فقه امامیه، ادله وفای به عهد و حرمت غدر، مبنای الزام به پیمان معتبرند. در حقوق اساسی، صلاحیت نهادهای دخیل در انعقاد، اجرا و تغییر وضعیت معاهده باید مشخص شود. در حقوق بین‌الملل نیز وجود تعهد، انتساب رفتار و شرایط تحقق عمل متخلفانه اهمیت دارد. هیچ‌یک از این سه مجموعه، صرفاً با استناد به نتیجه مجموعه دیگر قابل حذف نیست؛ به‌ویژه، مجوز داخلی لزوماً در برابر طرف خارجی قابل استناد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گره اصلی پژوهش، نسبت میان الزام به وفا، تکلیف حاکم نسبت به مصالح عمومی و آثار عدم اجرای تعهد است. تحلیل صرفاً فقهی ممکن است پیامدهای حقوقی اقدام را نادیده بگیرد؛ همان‌گونه که تحلیل صرفاً بین‌المللی، به‌تنهایی پاسخ‌گوی پرسش از مبنای شرعی یا صلاحیت داخلی نیست. راه‌حل روشی، تفکیک معیارهای هر سطح و سپس بررسی ارتباط آن‌هاست. این تفکیک به معنای بی‌ارتباطی سطوح نیست: آثار خارجی تصمیم، در شناخت موضوع و ارزیابی مصلحت نیز دخالت دارند.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سؤال اصلی چنین صورت‌بندی می‌شود: «عدول ولی فقیه از تعهدات معاهده‌ای دولت اسلامی از منظر فقه امامیه، با لحاظ حقوق اساسی ایران و حقوق بین‌الملل، چه مبانی، شرایط و آثاری دارد؟» پاسخ، مستلزم بررسی مسئولیت دولت، راه‌های قانونی خاتمه و تعلیق، قلمرو ادله وفا، نسبت تزاحم و حکم حکومتی، صلاحیت‌های قانون اساسی، دلالت سیره و پیامدهای اجرایی تصمیم است. این محورها در هفت سؤال فرعی دنبال می‌شوند.</w:t>
      </w:r>
    </w:p>
    <w:p>
      <w:pPr>
        <w:pStyle w:val="TH-Goftar"/>
        <w:keepNext w:val="1"/>
        <w:keepLines w:val="1"/>
        <w:widowControl w:val="1"/>
        <w:shd w:val="clear" w:fill="F0F3F6"/>
        <w:bidi w:val="1"/>
        <w:spacing w:before="240" w:after="180" w:line="300" w:lineRule="auto"/>
        <w:ind w:firstLine="0"/>
        <w:jc w:val="start"/>
      </w:pPr>
      <w:bookmarkStart w:id="5" w:name="_Toc000005"/>
      <w:r>
        <w:rPr>
          <w:rFonts w:ascii="B Nazanin" w:hAnsi="B Nazanin" w:cs="B Nazanin" w:eastAsia="B Nazanin"/>
          <w:b w:val="1"/>
          <w:bCs w:val="1"/>
          <w:i w:val="0"/>
          <w:color w:val="243B53"/>
          <w:sz w:val="32"/>
          <w:szCs w:val="32"/>
          <w:rtl w:val="1"/>
          <w:lang w:val="fa-IR" w:bidi="fa-IR"/>
        </w:rPr>
        <w:t>ضرورت و اهمیت تحقیق</w:t>
      </w:r>
      <w:bookmarkEnd w:id="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اهمیت عملی موضوع از آن‌جاست که اختلاف درباره تداوم یا توقف اجرای تعهدات، می‌تواند هم‌زمان بر امنیت حقوقی، اقتصاد، اعتبار کشور و حقوق اشخاص اثر بگذارد. تجربه‌های معاصر ایران، از بیانیه‌های الجزایر تا مناقشات پیرامون برجام، ضرورت تفکیک تعهد حقوقی، تعهد سیاسی و تصمیم داخلی را آشکار می‌کنند. این نمونه‌ها در رساله، نشانه نیاز به چارچوب تحلیلی‌اند، نه دلیل اثبات حکم یکسان برای همه آن‌ها.</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اهمیت نظری پژوهش در پیوند دادن بحث‌های پراکنده فقهی و حقوقی است. فقه عهدنامه‌ها در ابواب متعددی مطرح شده و حقوق معاهدات نیز میان اعتبار، تفسیر، اجرا، خاتمه و مسئولیت تمایز می‌گذارد. مطالعه میان‌رشته‌ای باید این تفاوت‌ها را حفظ کند و از فروکاستن همه مسائل به عنوان عام «مصلحت» بپرهیزد. ادعای فقدان پژوهش پیشین یا شمار اندک آثار، بدون مرور مستند ادبیات قابل دفاع نیست؛ ضرورت این رساله بر اهمیت مسئله استوار است، نه بر چنین ادعاهایی.</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مخاطبان کاربردی پژوهش، افزون بر پژوهشگران، مشاوران فقهی و حقوقی نهادهای تصمیم‌گیرند. برای این گروه، نتیجه سودمند صرفاً اعلام جواز یا عدم جواز نیست؛ باید مسیر احراز موضوع، گزینه‌های جایگزین، مرجع صلاحیت‌دار، شیوه ابلاغ و آثار تصمیم روشن شود. به همین دلیل، در پایان رساله چارچوبی عملی برای ثبت و ارزیابی این عناصر ارائه شده است.</w:t>
      </w:r>
    </w:p>
    <w:p>
      <w:pPr>
        <w:pStyle w:val="TH-Goftar"/>
        <w:keepNext w:val="1"/>
        <w:keepLines w:val="1"/>
        <w:widowControl w:val="1"/>
        <w:shd w:val="clear" w:fill="F0F3F6"/>
        <w:bidi w:val="1"/>
        <w:spacing w:before="240" w:after="180" w:line="300" w:lineRule="auto"/>
        <w:ind w:firstLine="0"/>
        <w:jc w:val="start"/>
      </w:pPr>
      <w:bookmarkStart w:id="6" w:name="_Toc000006"/>
      <w:r>
        <w:rPr>
          <w:rFonts w:ascii="B Nazanin" w:hAnsi="B Nazanin" w:cs="B Nazanin" w:eastAsia="B Nazanin"/>
          <w:b w:val="1"/>
          <w:bCs w:val="1"/>
          <w:i w:val="0"/>
          <w:color w:val="243B53"/>
          <w:sz w:val="32"/>
          <w:szCs w:val="32"/>
          <w:rtl w:val="1"/>
          <w:lang w:val="fa-IR" w:bidi="fa-IR"/>
        </w:rPr>
        <w:t>اهداف تحقیق</w:t>
      </w:r>
      <w:bookmarkEnd w:id="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هدف اصلی، ارائه تحلیلی منسجم از مبانی و حدود عدول حکومتی است؛ تحلیلی که از یک سو الزام به وفای به عهد را جدی بگیرد و از سوی دیگر، امکان وضعیت‌های استثنایی را بدون پیش‌داوری بررسی کند. مقصود آن است که حکم فقهی، اعتبار داخلی و آثار بین‌المللی تصمیم در جایگاه خود روشن شوند و نتیجه هیچ‌یک، بی‌دلیل به دیگری تسری نیابد.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سه هدف میانی پژوهش عبارت‌اند از: نخست، رفع خلط میان سطوح تحلیل؛ دوم، تبیین ضوابطی که استناد به مصلحت را از ادعای فاقد دلیل متمایز کند؛ و سوم، تبدیل نتیجه نظری به پرسش‌های قابل بررسی در تصمیم‌گیری. چارچوب پیشنهادی زمانی ارزش عملی دارد که برای هر ادعا، مستند و مرجع ارزیابی مشخص شود؛ نه آن‌که صرفاً فهرستی از عناوین کلی فراهم آورد.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اهداف فرعی شامل تحلیل ارکان مسئولیت بین‌المللی؛ شناسایی راه‌های معتبر خاتمه و تعلیق؛ بررسی قلمرو ادله وفای به عهد؛ تبیین شرایط تزاحم و حکم حکومتی؛ ارزیابی اصول مرتبط قانون اساسی؛ تحلیل محتاطانه شواهد سیره؛ و روشن کردن آثار تصمیم در مراحل پیش از اجرا، اجرا و بازبینی است. نسبت هر هدف با سؤال متناظر، مبنای سازمان‌دهی مطالب رساله قرار می‌گیرد.</w:t>
      </w:r>
    </w:p>
    <w:p>
      <w:pPr>
        <w:pStyle w:val="TH-Goftar"/>
        <w:keepNext w:val="1"/>
        <w:keepLines w:val="1"/>
        <w:widowControl w:val="1"/>
        <w:shd w:val="clear" w:fill="F0F3F6"/>
        <w:bidi w:val="1"/>
        <w:spacing w:before="240" w:after="180" w:line="300" w:lineRule="auto"/>
        <w:ind w:firstLine="0"/>
        <w:jc w:val="start"/>
      </w:pPr>
      <w:bookmarkStart w:id="7" w:name="_Toc000007"/>
      <w:r>
        <w:rPr>
          <w:rFonts w:ascii="B Nazanin" w:hAnsi="B Nazanin" w:cs="B Nazanin" w:eastAsia="B Nazanin"/>
          <w:b w:val="1"/>
          <w:bCs w:val="1"/>
          <w:i w:val="0"/>
          <w:color w:val="243B53"/>
          <w:sz w:val="32"/>
          <w:szCs w:val="32"/>
          <w:rtl w:val="1"/>
          <w:lang w:val="fa-IR" w:bidi="fa-IR"/>
        </w:rPr>
        <w:t>سؤالات تحقیق</w:t>
      </w:r>
      <w:bookmarkEnd w:id="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سؤال اصلی: «عدول ولی فقیه از تعهدات معاهده‌ای دولت اسلامی از منظر فقه امامیه، با لحاظ حقوق اساسی ایران و حقوق بین‌الملل، چه مبانی، شرایط و آثاری دارد؟»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سؤال‌های فرعی: ۱. تصمیم در چه شرایطی به دولت منتسب و موجب مسئولیت بین‌المللی می‌شود؟ ۲. راه‌های معتبر تعلیق و خاتمه چه نسبتی با عدول حکومتی دارند؟ ۳. قلمرو ادله وجوب وفا و حدود استثناهای آن چیست؟ ۴. تزاحم و حکم حکومتی تحت چه شرایطی قابل استنادند؟ ۵. اصول قانون اساسی چه دلالتی بر صلاحیت تصمیم‌گیر دارند؟ ۶. از سیره معصومان چه شواهدی، با چه حدودی، می‌توان به دست آورد؟ ۷. آثار عملی تصمیم چگونه باید ارزیابی و مدیریت شود؟</w:t>
      </w:r>
    </w:p>
    <w:p>
      <w:pPr>
        <w:pStyle w:val="TH-Goftar"/>
        <w:keepNext w:val="1"/>
        <w:keepLines w:val="1"/>
        <w:widowControl w:val="1"/>
        <w:shd w:val="clear" w:fill="F0F3F6"/>
        <w:bidi w:val="1"/>
        <w:spacing w:before="240" w:after="180" w:line="300" w:lineRule="auto"/>
        <w:ind w:firstLine="0"/>
        <w:jc w:val="start"/>
      </w:pPr>
      <w:bookmarkStart w:id="8" w:name="_Toc000008"/>
      <w:r>
        <w:rPr>
          <w:rFonts w:ascii="B Nazanin" w:hAnsi="B Nazanin" w:cs="B Nazanin" w:eastAsia="B Nazanin"/>
          <w:b w:val="1"/>
          <w:bCs w:val="1"/>
          <w:i w:val="0"/>
          <w:color w:val="243B53"/>
          <w:sz w:val="32"/>
          <w:szCs w:val="32"/>
          <w:rtl w:val="1"/>
          <w:lang w:val="fa-IR" w:bidi="fa-IR"/>
        </w:rPr>
        <w:t>فرضیه تحقیق</w:t>
      </w:r>
      <w:bookmarkEnd w:id="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فرضیه اصلی آن است که بر مبنای نظریه حکومتی پذیرفته‌شده در رساله، در صورت احراز تزاحم واقعی میان وفای به عهد و تکلیفی اهم، و با رعایت صلاحیت و تشریفات معتبر، امکان جواز استثنایی عدم اجرا قابل بررسی است؛ اما صرف زیان‌بار شدن تعهد برای اثبات آن کافی نیست. آثار داخلی و خارجی اقدام نیز باید در تشخیص موضوع و اهمیت تکلیف لحاظ شوند. این فرضیه، گزاره‌ای قابل نقد است و اعتبار آن به اثبات مقدمات و پاسخ به ادله مخالف وابسته خواهد بود.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فرضیه‌های فرعی چنین‌اند: تصمیم رسمی مقام رهبری اصولاً به دولت منتسب است؛ راه‌های قانونی اصلاح یا پایان تعهد، هرگاه کافی و قابل استفاده باشند، بر اقدام فاقد مجوز بین‌المللی تقدم دارند؛ تزاحم، بحثی در مقام امتثال است و نباید با انصراف یا تخصیص ادله وفا یکسان شود؛ و قانون اساسی اختیار عام و صریحی برای عدول از همه معاهدات مقرر نکرده است. بنابراین، استدلال به اختیار ضمنی یا ولایی، نیازمند تبیین مستند قانونی، شرایط اعمال و نسبت آن با صلاحیت مجلس و دولت است.</w:t>
      </w:r>
    </w:p>
    <w:p>
      <w:pPr>
        <w:pStyle w:val="TH-Goftar"/>
        <w:keepNext w:val="1"/>
        <w:keepLines w:val="1"/>
        <w:widowControl w:val="1"/>
        <w:shd w:val="clear" w:fill="F0F3F6"/>
        <w:bidi w:val="1"/>
        <w:spacing w:before="240" w:after="180" w:line="300" w:lineRule="auto"/>
        <w:ind w:firstLine="0"/>
        <w:jc w:val="start"/>
      </w:pPr>
      <w:bookmarkStart w:id="9" w:name="_Toc000009"/>
      <w:r>
        <w:rPr>
          <w:rFonts w:ascii="B Nazanin" w:hAnsi="B Nazanin" w:cs="B Nazanin" w:eastAsia="B Nazanin"/>
          <w:b w:val="1"/>
          <w:bCs w:val="1"/>
          <w:i w:val="0"/>
          <w:color w:val="243B53"/>
          <w:sz w:val="32"/>
          <w:szCs w:val="32"/>
          <w:rtl w:val="1"/>
          <w:lang w:val="fa-IR" w:bidi="fa-IR"/>
        </w:rPr>
        <w:t>پیشینه تحقیق</w:t>
      </w:r>
      <w:bookmarkEnd w:id="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پیشینه مسئله را می‌توان در سه حوزه فقه عهدنامه‌ها، حقوق اساسی سیاست خارجی و حقوق بین‌الملل معاهدات و مسئولیت دولت‌ها جست‌وجو کرد. این رساله بر ترکیب تحلیلی این حوزه‌ها تمرکز دارد؛ بااین‌حال، در نسخه حاضر، مرور نظام‌مند و مستند همه پژوهش‌های مرتبط ارائه نشده است. ازاین‌رو، نمی‌توان فقدان مطلق سابقه یا تقدم تاریخی این صورت‌بندی را قطعی دانست. گزارش پیشینه باید از معرفی منابع عمومی فراتر رود و موضوع، روش و نتیجه آثار مشخص را مقایسه 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حوزه فقه، مباحث لزوم و شروط در آثار شیخ انصاری، نائینی و بجنوردی؛ احکام هدنه و امان در جواهر الکلام؛ و آثار مربوط به ولایت فقیه و حکومت، زمینه نظری بحث را فراهم می‌کنند. این منابع یکسان نیستند: برخی درباره قواعد عمومی معاملات‌اند و برخی درباره شئون حاکم یا عهدنامه‌های جنگی. نسبت دادن حکم معاهدات معاصر به هر مؤلف، تنها با احراز عبارت و استدلال او موجه است؛ استفاده تحلیلی از مبانی یک فقیه، با انتساب فتوای صریح به وی تفاوت دارد.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حقوق اساسی، متن اصول مرتبط، نظریات تفسیری احراز‌شده شورای نگهبان، مذاکرات تدوین و بازنگری و آثار حقوق‌دانان، منابع بررسی‌اند. در این میان، باید میان متن قانون، تفسیر رسمی و دیدگاه دانشگاهی تمایز گذاشت. آثار قاضی شریعت‌پناهی و سیدمحمد هاشمی برای شناخت ادبیات حقوق اساسی قابل مراجعه‌اند؛ اما انتساب رأی خاص درباره خروج از معاهدات، به نشانی دقیق در اثر مربوط نیاز دارد.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حقوق بین‌الملل، متن کنوانسیون وین ۱۹۶۹، مواد مسئولیت دولت‌ها ۲۰۰۱ و آرای مرتبط دیوان بین‌المللی دادگستری، شالوده تحلیل را تشکیل می‌دهند. رأی گابچیکوو ـ ناگیماروش برای تمایز ضرورت از خاتمه معاهده و رأی کارکنان دیپلماتیک و کنسولی آمریکا در تهران برای انتساب رفتار اهمیت دارند. منابع آموزشی فارسی و غیرفارسی، در مرتبه شرح و تحلیل قرار می‌گیرند و نباید جای متن اصلی سند یا رأی را بگیرند.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دو دسته منبع تکمیلی نیز قابل استفاده‌اند: ادبیات فقهی عربی درباره جنگ، صلح و روابط بین‌الملل، از جمله آثار وهبه زحیلی؛</w:t>
      </w:r>
      <w:r>
        <w:rPr>
          <w:rFonts w:ascii="B Nazanin" w:hAnsi="B Nazanin" w:cs="B Nazanin" w:eastAsia="B Nazanin"/>
          <w:b w:val="0"/>
          <w:bCs w:val="0"/>
          <w:i w:val="0"/>
          <w:sz w:val="20"/>
          <w:szCs w:val="20"/>
          <w:vertAlign w:val="superscript"/>
          <w:rtl w:val="1"/>
          <w:lang w:val="fa-IR" w:bidi="fa-IR"/>
        </w:rPr>
        <w:footnoteReference w:id="3"/>
      </w:r>
      <w:r>
        <w:rPr>
          <w:rFonts w:ascii="B Nazanin" w:hAnsi="B Nazanin" w:cs="B Nazanin" w:eastAsia="B Nazanin"/>
          <w:b w:val="0"/>
          <w:bCs w:val="0"/>
          <w:i w:val="0"/>
          <w:sz w:val="28"/>
          <w:szCs w:val="28"/>
          <w:rtl w:val="1"/>
          <w:lang w:val="fa-IR" w:bidi="fa-IR"/>
        </w:rPr>
        <w:t xml:space="preserve"> و آثار مرجع حقوق بین‌الملل، از جمله نوشته‌های مالکوم شاو و جیمز کرافورد.</w:t>
      </w:r>
      <w:r>
        <w:rPr>
          <w:rFonts w:ascii="B Nazanin" w:hAnsi="B Nazanin" w:cs="B Nazanin" w:eastAsia="B Nazanin"/>
          <w:b w:val="0"/>
          <w:bCs w:val="0"/>
          <w:i w:val="0"/>
          <w:sz w:val="20"/>
          <w:szCs w:val="20"/>
          <w:vertAlign w:val="superscript"/>
          <w:rtl w:val="1"/>
          <w:lang w:val="fa-IR" w:bidi="fa-IR"/>
        </w:rPr>
        <w:footnoteReference w:id="4"/>
      </w:r>
      <w:r>
        <w:rPr>
          <w:rFonts w:ascii="B Nazanin" w:hAnsi="B Nazanin" w:cs="B Nazanin" w:eastAsia="B Nazanin"/>
          <w:b w:val="0"/>
          <w:bCs w:val="0"/>
          <w:i w:val="0"/>
          <w:sz w:val="28"/>
          <w:szCs w:val="28"/>
          <w:rtl w:val="1"/>
          <w:lang w:val="fa-IR" w:bidi="fa-IR"/>
        </w:rPr>
        <w:t xml:space="preserve"> استفاده از دسته نخست مستلزم توجه به تفاوت مبانی مذاهب است؛ استفاده از دسته دوم نیز برای تبیین قواعد حقوق بین‌الملل صورت می‌گیرد، نه برای اثبات مستقیم حکم شرعی. مشخصات نسخه و موضع مورد استناد باید پیش از انتساب رأی تکمیل 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سهم پیشنهادی این پژوهش در سه محور قابل بیان است: صورت‌بندی مسئله در سه سطح متمایز؛ تنظیم مجموعه‌ای از ضوابط برای بررسی تصمیم فوق‌العاده؛ و تفکیک منبع صلاحیت، مبنای فقهی و شیوه اعمال اختیار. این محورها «پیشنهاد تحلیلی» رساله‌اند. اثبات نوآوری نسبت به همه آثار پیشین، نیازمند تکمیل مرور ادبیات و مقایسه مستند است و صرف نام‌گذاری یک چارچوب، برای اثبات تازگی آن کفایت نمی‌کند.</w:t>
      </w:r>
    </w:p>
    <w:p>
      <w:pPr>
        <w:pStyle w:val="TH-Goftar"/>
        <w:keepNext w:val="1"/>
        <w:keepLines w:val="1"/>
        <w:widowControl w:val="1"/>
        <w:shd w:val="clear" w:fill="F0F3F6"/>
        <w:bidi w:val="1"/>
        <w:spacing w:before="240" w:after="180" w:line="300" w:lineRule="auto"/>
        <w:ind w:firstLine="0"/>
        <w:jc w:val="start"/>
      </w:pPr>
      <w:bookmarkStart w:id="10" w:name="_Toc000010"/>
      <w:r>
        <w:rPr>
          <w:rFonts w:ascii="B Nazanin" w:hAnsi="B Nazanin" w:cs="B Nazanin" w:eastAsia="B Nazanin"/>
          <w:b w:val="1"/>
          <w:bCs w:val="1"/>
          <w:i w:val="0"/>
          <w:color w:val="243B53"/>
          <w:sz w:val="32"/>
          <w:szCs w:val="32"/>
          <w:rtl w:val="1"/>
          <w:lang w:val="fa-IR" w:bidi="fa-IR"/>
        </w:rPr>
        <w:t>روش تحقیق</w:t>
      </w:r>
      <w:bookmarkEnd w:id="1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روش پژوهش، کتابخانه‌ای و تحلیلی ـ استدلالی است. داده‌های اصلی از متون دینی، آثار فقهی، اسناد حقوقی و آرای قضایی به دست می‌آیند. ترتیب بررسی عبارت است از: تعریف مسئله؛ شناسایی دلیل؛ تفکیک نقل از تحلیل؛ طرح اشکال؛ و ارائه نتیجه متناسب با قوت شواهد. هر نتیجه باید به مقدمه مشخص بازگردد و از تعمیمی که متن یا استدلال پشتیبان آن نیست، پرهیز 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بخش فقهی، دلالت ادله و شرایط کاربرد قواعد بررسی می‌شود؛ با این قید که صرف نقل روایت، به معنای احراز سند یا انجام تحقیق رجالی مستقل نیست. در حقوق بین‌الملل، متن سند و زمینه رأی مبناست؛ و در حقوق اساسی، تفسیر پیشنهادی از تفسیر رسمی تفکیک می‌شود. موارد دارای ارجاع ناقص، با عنوان نیازمند تطبیق مشخص می‌شوند و تا تکمیل مستند، نباید تنها پایه یک نتیجه قطعی باشند.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شیوه استدلال بر روشن کردن مقدمات و بررسی اعتراض‌های مؤثر استوار است. در هر بحث باید پرسید: آیا موضوع و تکلیف مقابل احراز شده‌اند؟ آیا دلیل ناظر به همین فرض است؟ آیا نتیجه از مقدمات به دست می‌آید؟ و آیا راه‌حل کم‌محدودیت‌تری وجود دارد؟ این پرسش‌ها به‌ویژه در استفاده از مفاهیم مصلحت، حفظ نظام و ضرورت اهمیت دارند؛ زیرا گستردگی لفظی این عناوین، جایگزین ضابطه اثبات نیست.</w:t>
      </w:r>
    </w:p>
    <w:p>
      <w:pPr>
        <w:pStyle w:val="TH-Goftar"/>
        <w:keepNext w:val="1"/>
        <w:keepLines w:val="1"/>
        <w:widowControl w:val="1"/>
        <w:shd w:val="clear" w:fill="F0F3F6"/>
        <w:bidi w:val="1"/>
        <w:spacing w:before="240" w:after="180" w:line="300" w:lineRule="auto"/>
        <w:ind w:firstLine="0"/>
        <w:jc w:val="start"/>
      </w:pPr>
      <w:bookmarkStart w:id="11" w:name="_Toc000011"/>
      <w:r>
        <w:rPr>
          <w:rFonts w:ascii="B Nazanin" w:hAnsi="B Nazanin" w:cs="B Nazanin" w:eastAsia="B Nazanin"/>
          <w:b w:val="1"/>
          <w:bCs w:val="1"/>
          <w:i w:val="0"/>
          <w:color w:val="243B53"/>
          <w:sz w:val="32"/>
          <w:szCs w:val="32"/>
          <w:rtl w:val="1"/>
          <w:lang w:val="fa-IR" w:bidi="fa-IR"/>
        </w:rPr>
        <w:t>ساماندهی تحقیق</w:t>
      </w:r>
      <w:bookmarkEnd w:id="1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رساله در سه بخش و پنج فصل، به ترتیب مفهوم‌شناسی، تبیین مبانی و ارزیابی آثار تنظیم شده است. مقدمه، پرسش‌ها، فرضیه و حدود روش را مشخص می‌کند و نتیجه‌گیری، پاسخ‌ها را با همان حدود و قیود جمع‌بندی خواهد کرد.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بخش نخست، «مبانی و کلیات»، دو فصل دارد: فصل اول به معاهده، ولی فقیه، عدول، مصلحت و نهادهای فقهی مرتبط اختصاص دارد؛ فصل دوم، اصول حقوق معاهدات و مواد مرتبط قانون اساسی را بررسی می‌کند. وظیفه این بخش، روشن کردن موضوع و جلوگیری از خلط اصطلاحات در استدلال‌های بعدی 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بخش دوم، «تحلیل فقهی مسئله»، شامل فصل سوم درباره ادله وجوب وفای به عهد و فصل چهارم درباره مبانی احتمالی جواز عدول و ضوابط آن است. در این بخش، ادله الزام پیش از استثنا بررسی می‌شوند و میان تزاحم، حکم حکومتی، قواعد ضرر و حرج و شواهد سیره تفکیک صورت می‌گیرد.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بخش سوم، «تحلیل حقوقی مسئله»، فصل پنجم را در بر می‌گیرد: مسئولیت بین‌المللی، انتساب، نقض تعهد، اسباب رافع وصف متخلفانه، راهبردهای حقوقی و جایگاه قانون اساسی تصمیم. پس از آن، نتیجه‌گیری، فهرست منابع و شش پیوست، به ترتیب مقرر آمده‌اند.</w:t>
      </w:r>
    </w:p>
    <w:p>
      <w:pPr>
        <w:pStyle w:val="TH-Goftar"/>
        <w:keepNext w:val="1"/>
        <w:keepLines w:val="1"/>
        <w:widowControl w:val="1"/>
        <w:shd w:val="clear" w:fill="F0F3F6"/>
        <w:bidi w:val="1"/>
        <w:spacing w:before="240" w:after="180" w:line="300" w:lineRule="auto"/>
        <w:ind w:firstLine="0"/>
        <w:jc w:val="start"/>
      </w:pPr>
      <w:bookmarkStart w:id="12" w:name="_Toc000012"/>
      <w:r>
        <w:rPr>
          <w:rFonts w:ascii="B Nazanin" w:hAnsi="B Nazanin" w:cs="B Nazanin" w:eastAsia="B Nazanin"/>
          <w:b w:val="1"/>
          <w:bCs w:val="1"/>
          <w:i w:val="0"/>
          <w:color w:val="243B53"/>
          <w:sz w:val="32"/>
          <w:szCs w:val="32"/>
          <w:rtl w:val="1"/>
          <w:lang w:val="fa-IR" w:bidi="fa-IR"/>
        </w:rPr>
        <w:t>قلمرو، محدودیت‌ها و اصطلاحات</w:t>
      </w:r>
      <w:bookmarkEnd w:id="12"/>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قلمرو موضوعی پژوهش، تعهدات ناشی از معاهدات دولت اسلامی است؛ قراردادهای خصوصی و تعهدات صرفاً سیاسی، جز برای تمایز مفهومی، موضوع اصلی نیستند. نظام داخلی مورد بررسی، جمهوری اسلامی ایران است. مثال‌های تاریخی و معاصر در حدود اسناد معرفی‌شده و عمدتاً تا سال ۲۰۲۵ به کار می‌روند؛ از آن‌ها گزارش جامع تحولات سیاسی روز اراده نشده است. تاریخ بازبینی متن، ۲۱ سپتامبر ۲۰۲۶ است و به‌روزرسانی همه پرونده‌های معاصر، نیازمند پژوهشی مستقل خواهد بود.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محدودیت‌ها شامل دسترسی نداشتن به همه اسناد تصمیم‌های معاصر، نیاز برخی ارجاعات به تطبیق با چاپ اصلی، نبود بررسی رجالی تفصیلی برای همه نقل‌ها و اختلاف در مبانی فقهی و تفاسیر حقوقی است. این محدودیت‌ها بر درجه قطعیت نتیجه اثر دارند. به همین دلیل، چارچوب پیشنهادی برای ارزیابی موردی ارائه می‌شود و نباید به‌جای فتوا، تفسیر رسمی قانون اساسی یا رأی قضایی در یک پرونده مشخص به کار رود.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سراسر رساله، «ولی فقیه» ناظر به مقام رهبری در نظام حقوقی ایران؛ «تعهد بین‌المللی» در قلمرو اصلی، ناظر به تعهد معاهده‌ای؛ و «عدول حکومتی» ناظر به تصمیم فوق‌العاده برای عدم اجراست. «مصلحت» نیز منفعت عمومی قابل احراز در چارچوب مبانی شرعی است، نه ترجیح شخصی یا جناحی. حق خروج قراردادی و خاتمه توافقی، برای مقایسه و ارزیابی راه جایگزین بررسی می‌شوند و با عدول استثنایی یکسان نیستند.</w:t>
      </w:r>
    </w:p>
    <w:p>
      <w:r>
        <w:br w:type="page"/>
      </w:r>
    </w:p>
    <w:p/>
    <w:p/>
    <w:p/>
    <w:p>
      <w:pPr>
        <w:widowControl/>
        <w:pBdr>
          <w:bottom w:val="single" w:sz="12" w:space="6" w:color="1F3864"/>
        </w:pBdr>
        <w:bidi w:val="1"/>
        <w:spacing w:before="0" w:after="240" w:line="336" w:lineRule="auto"/>
        <w:ind w:right="2268" w:left="2268"/>
        <w:jc w:val="center"/>
      </w:pPr>
    </w:p>
    <w:p>
      <w:pPr>
        <w:pStyle w:val="TH-Bakhsh"/>
        <w:keepNext w:val="1"/>
        <w:keepLines w:val="1"/>
        <w:widowControl w:val="1"/>
        <w:bidi w:val="1"/>
        <w:spacing w:before="120" w:after="180" w:line="300" w:lineRule="auto"/>
        <w:ind w:firstLine="0"/>
        <w:jc w:val="center"/>
      </w:pPr>
      <w:bookmarkStart w:id="13" w:name="_Toc000013"/>
      <w:r>
        <w:rPr>
          <w:rFonts w:ascii="B Nazanin" w:hAnsi="B Nazanin" w:cs="B Nazanin" w:eastAsia="B Nazanin"/>
          <w:b w:val="1"/>
          <w:bCs w:val="1"/>
          <w:i w:val="0"/>
          <w:color w:val="243B53"/>
          <w:sz w:val="48"/>
          <w:szCs w:val="48"/>
          <w:rtl w:val="1"/>
          <w:lang w:val="fa-IR" w:bidi="fa-IR"/>
        </w:rPr>
        <w:t>بخش اول: مبانی و کلیات</w:t>
      </w:r>
      <w:bookmarkEnd w:id="13"/>
    </w:p>
    <w:p>
      <w:pPr>
        <w:widowControl/>
        <w:pBdr>
          <w:bottom w:val="single" w:sz="12" w:space="6" w:color="1F3864"/>
        </w:pBdr>
        <w:bidi w:val="1"/>
        <w:spacing w:before="0" w:after="200" w:line="336" w:lineRule="auto"/>
        <w:ind w:right="2268" w:left="2268"/>
        <w:jc w:val="center"/>
      </w:pPr>
    </w:p>
    <w:p>
      <w:r>
        <w:br w:type="page"/>
      </w:r>
    </w:p>
    <w:p>
      <w:r>
        <w:br w:type="page"/>
      </w:r>
    </w:p>
    <w:p/>
    <w:p/>
    <w:p>
      <w:pPr>
        <w:pStyle w:val="TH-Fasl"/>
        <w:keepNext w:val="1"/>
        <w:keepLines w:val="1"/>
        <w:widowControl w:val="1"/>
        <w:pBdr>
          <w:top w:val="single" w:sz="8" w:space="8" w:color="243B53"/>
          <w:bottom w:val="single" w:sz="8" w:space="8" w:color="243B53"/>
        </w:pBdr>
        <w:bidi w:val="1"/>
        <w:spacing w:before="120" w:after="180" w:line="300" w:lineRule="auto"/>
        <w:ind w:firstLine="0"/>
        <w:jc w:val="center"/>
      </w:pPr>
      <w:bookmarkStart w:id="14" w:name="_Toc000014"/>
      <w:r>
        <w:rPr>
          <w:rFonts w:ascii="B Nazanin" w:hAnsi="B Nazanin" w:cs="B Nazanin" w:eastAsia="B Nazanin"/>
          <w:b w:val="1"/>
          <w:bCs w:val="1"/>
          <w:i w:val="0"/>
          <w:color w:val="243B53"/>
          <w:sz w:val="40"/>
          <w:szCs w:val="40"/>
          <w:rtl w:val="1"/>
          <w:lang w:val="fa-IR" w:bidi="fa-IR"/>
        </w:rPr>
        <w:t>فصل اول: مفهوم‌شناسی و چارچوب نظری</w:t>
      </w:r>
      <w:bookmarkEnd w:id="1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تحلیل حکم، به تصور روشن موضوع وابسته است. در این پژوهش، اصطلاحات فقهی و حقوقی در کنار یکدیگر قرار می‌گیرند، اما الزاماً بر موضوعی واحد دلالت ندارند. معاهده در حقوق بین‌الملل، مصلحت در فقه حکومتی و عدول در معنای تحلیلی این رساله، هر یک قیود خاص دارند. این فصل ابتدا مفاهیم اصلی را تعریف می‌کند و سپس نسبت آن‌ها را با نهادهای تاریخی هدنه، امان، ذمه و صلح توضیح می‌دهد. چنین تفکیکی، مقدمه ارزیابی درست ادله در فصل‌های بعد است.</w:t>
      </w:r>
    </w:p>
    <w:p>
      <w:pPr>
        <w:pStyle w:val="TH-Goftar"/>
        <w:keepNext w:val="1"/>
        <w:keepLines w:val="1"/>
        <w:widowControl w:val="1"/>
        <w:shd w:val="clear" w:fill="F0F3F6"/>
        <w:bidi w:val="1"/>
        <w:spacing w:before="240" w:after="180" w:line="300" w:lineRule="auto"/>
        <w:ind w:firstLine="0"/>
        <w:jc w:val="start"/>
      </w:pPr>
      <w:bookmarkStart w:id="15" w:name="_Toc000015"/>
      <w:r>
        <w:rPr>
          <w:rFonts w:ascii="B Nazanin" w:hAnsi="B Nazanin" w:cs="B Nazanin" w:eastAsia="B Nazanin"/>
          <w:b w:val="1"/>
          <w:bCs w:val="1"/>
          <w:i w:val="0"/>
          <w:color w:val="243B53"/>
          <w:sz w:val="32"/>
          <w:szCs w:val="32"/>
          <w:rtl w:val="1"/>
          <w:lang w:val="fa-IR" w:bidi="fa-IR"/>
        </w:rPr>
        <w:t>گفتار اول: مفهوم معاهده و تعهد بین‌المللی</w:t>
      </w:r>
      <w:bookmarkEnd w:id="15"/>
    </w:p>
    <w:p>
      <w:pPr>
        <w:pStyle w:val="TH-Band"/>
        <w:keepNext w:val="1"/>
        <w:keepLines w:val="1"/>
        <w:widowControl w:val="1"/>
        <w:bidi w:val="1"/>
        <w:spacing w:before="240" w:after="100" w:line="300" w:lineRule="auto"/>
        <w:ind w:firstLine="0"/>
        <w:jc w:val="start"/>
      </w:pPr>
      <w:bookmarkStart w:id="16" w:name="_Toc000016"/>
      <w:r>
        <w:rPr>
          <w:rFonts w:ascii="B Nazanin" w:hAnsi="B Nazanin" w:cs="B Nazanin" w:eastAsia="B Nazanin"/>
          <w:b w:val="1"/>
          <w:bCs w:val="1"/>
          <w:i w:val="0"/>
          <w:color w:val="243B53"/>
          <w:sz w:val="29"/>
          <w:szCs w:val="29"/>
          <w:rtl w:val="1"/>
          <w:lang w:val="fa-IR" w:bidi="fa-IR"/>
        </w:rPr>
        <w:t>بند اول: تعریف لغوی و اصطلاحی معاهده</w:t>
      </w:r>
      <w:bookmarkEnd w:id="1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«معاهده» از ریشه «عهد» و ناظر به پیمان بستن است. ساخت مفاعله در این استعمال، بر رابطه متقابل طرف‌ها دلالت دارد. بااین‌حال، تحلیل لغوی به‌تنهایی برای تعیین آثار حقوقی کافی نیست؛ الزام‌آوری، دامنه تعهد و شیوه پایان رابطه باید بر اساس تعریف اصطلاحی و قواعد نظام حقوقی مربوط بررسی شوند. در این رساله، تعریف حقوق بین‌المللی معاهده، نقطه آغاز تحدید موضوع است و کاربردهای فقهی عهد و عقد، جداگانه مطالعه می‌شوند.</w:t>
      </w:r>
      <w:r>
        <w:rPr>
          <w:rFonts w:ascii="B Nazanin" w:hAnsi="B Nazanin" w:cs="B Nazanin" w:eastAsia="B Nazanin"/>
          <w:b w:val="0"/>
          <w:bCs w:val="0"/>
          <w:i w:val="0"/>
          <w:sz w:val="20"/>
          <w:szCs w:val="20"/>
          <w:vertAlign w:val="superscript"/>
          <w:rtl w:val="1"/>
          <w:lang w:val="fa-IR" w:bidi="fa-IR"/>
        </w:rPr>
        <w:footnoteReference w:id="5"/>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تعریف مورد استفاده، بند ۱، جزء «الف» ماده ۲ کنوانسیون وین ۱۹۶۹ است؛ ترجمه آن چنین است:</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«معاهده» یعنی توافق بین‌المللی که میان دولت‌ها به‌صورت کتبی منعقد شده و تابع حقوق بین‌الملل باشد، خواه در سندی واحد، خواه در دو یا چند سند مرتبط؛ و با هر عنوان و نامی.</w:t>
      </w:r>
      <w:r>
        <w:rPr>
          <w:rFonts w:ascii="B Nazanin" w:hAnsi="B Nazanin" w:cs="B Nazanin" w:eastAsia="B Nazanin"/>
          <w:b w:val="0"/>
          <w:bCs w:val="0"/>
          <w:i w:val="0"/>
          <w:color w:val="202A35"/>
          <w:sz w:val="20"/>
          <w:szCs w:val="20"/>
          <w:vertAlign w:val="superscript"/>
          <w:rtl w:val="1"/>
          <w:lang w:val="ar-SA" w:bidi="ar-SA"/>
        </w:rPr>
        <w:footnoteReference w:id="6"/>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تعریف یادشده چهار مؤلفه دارد: توافق میان دولت‌ها، صورت کتبی، حکومت حقوق بین‌الملل بر توافق و بی‌تأثیر بودن عنوان سند در ماهیت آن. هر مؤلفه بخشی از قلمرو کنوانسیون را روشن می‌کند؛ خارج بودن یک توافق از این قلمرو نیز لزوماً به معنای بی‌اعتباری آن در حقوق بین‌الملل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مؤلفه نخست، «میان دولت‌ها» است. این قید به قلمرو کنوانسیون ۱۹۶۹ مربوط می‌شود، نه به انکار اهلیت سایر تابعان حقوق بین‌الملل. معاهدات سازمان‌های بین‌المللی موضوع قواعد و اسناد دیگری، از جمله کنوانسیون وین ۱۹۸۶، هستند؛ اهلیت این سازمان‌ها را نباید صرفاً مخلوق آن کنوانسیون دانست. قرارداد دولت با شخص خصوصی نیز، صرف دولتی بودن یک طرف، معاهده میان دولت‌ها محسوب نمی‌شود. قواعد خاص سرمایه‌گذاری و قراردادهای بین‌المللی باید در جای خود بررسی شوند.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مؤلفه دوم، «کتبی بودن» است. مطابق ماده ۳ کنوانسیون، خارج بودن توافق‌های غیرکتبی یا توافق با دیگر تابعان از قلمرو این سند، به اعتبار آن‌ها یا اجرای قواعد مستقل حقوق بین‌الملل لطمه نمی‌زند. بنابراین، محدود کردن این رساله به معاهدات کتبی، تحدیدی پژوهشی است؛ از آن نمی‌توان نتیجه گرفت که توافق شفاهی یا هر تعهد خارج از کنوانسیون، فاقد اثر حقوقی است.</w:t>
      </w:r>
      <w:r>
        <w:rPr>
          <w:rFonts w:ascii="B Nazanin" w:hAnsi="B Nazanin" w:cs="B Nazanin" w:eastAsia="B Nazanin"/>
          <w:b w:val="0"/>
          <w:bCs w:val="0"/>
          <w:i w:val="0"/>
          <w:sz w:val="20"/>
          <w:szCs w:val="20"/>
          <w:vertAlign w:val="superscript"/>
          <w:rtl w:val="1"/>
          <w:lang w:val="fa-IR" w:bidi="fa-IR"/>
        </w:rPr>
        <w:footnoteReference w:id="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مؤلفه سوم، «تابع حقوق بین‌الملل بودن» است. احراز قصد ایجاد تعهد حقوقی، با توجه به متن، زمینه انعقاد، صلاحیت نمایندگان و قرائن مربوط انجام می‌شود. عنوان‌هایی مانند بیانیه مشترک یا یادداشت تفاهم، به‌تنهایی تعیین‌کننده نیستند؛ چنین اسنادی ممکن است حقوقی یا صرفاً سیاسی باشند. در مطالعه برجام نیز ابتدا باید ماهیت هر تعهد و نسبت آن با قطعنامه شورای امنیت احراز شود، نه آن‌که حکم معاهده از پیش بر همه اجزای آن اعمال گردد.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مؤلفه چهارم، استقلال ماهیت از نام سند است. عهدنامه، موافقت‌نامه، پیمان، پروتکل و مبادله یادداشت، اگر شرایط تعریف را داشته باشند، می‌توانند معاهده محسوب شوند. در مقابل، نام‌گذاری سند به «معاهده» نیز جایگزین بررسی ماهیت آن نیست. ملاک، توافق التزام‌آور تابع حقوق بین‌الملل است؛ نه صرف واژه‌ای که طرف‌ها بر عنوان سند نهاده‌اند.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فقه امامیه، مفاهیم عهد، عقد و میثاق در بسترهای متعددی مطرح شده‌اند: معاملات خصوصی، روابط حکومتی و جنگی، و خطاب‌های عام قرآنی. این کاربردها با مفهوم جدید معاهده هم‌پوشانی دارند، اما عین آن نیستند. استفاده از قواعد عام وفا یا احکام خاص هدنه، مستلزم تعیین جهت اشتراک و احتمال تفاوت مؤثر است. ازاین‌رو، فصل سوم میان شمول عمومات و تعمیم حکم یک نهاد خاص تفکیک می‌کند.</w:t>
      </w:r>
    </w:p>
    <w:p>
      <w:pPr>
        <w:pStyle w:val="TH-Band"/>
        <w:keepNext w:val="1"/>
        <w:keepLines w:val="1"/>
        <w:widowControl w:val="1"/>
        <w:bidi w:val="1"/>
        <w:spacing w:before="240" w:after="100" w:line="300" w:lineRule="auto"/>
        <w:ind w:firstLine="0"/>
        <w:jc w:val="start"/>
      </w:pPr>
      <w:bookmarkStart w:id="17" w:name="_Toc000017"/>
      <w:r>
        <w:rPr>
          <w:rFonts w:ascii="B Nazanin" w:hAnsi="B Nazanin" w:cs="B Nazanin" w:eastAsia="B Nazanin"/>
          <w:b w:val="1"/>
          <w:bCs w:val="1"/>
          <w:i w:val="0"/>
          <w:color w:val="243B53"/>
          <w:sz w:val="29"/>
          <w:szCs w:val="29"/>
          <w:rtl w:val="1"/>
          <w:lang w:val="fa-IR" w:bidi="fa-IR"/>
        </w:rPr>
        <w:t>بند دوم: اقسام معاهدات و محل بحث</w:t>
      </w:r>
      <w:bookmarkEnd w:id="1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معاهدات از جهت تعداد طرف‌ها به دوجانبه و چندجانبه؛ از جهت موضوع به سیاسی، اقتصادی، امنیتی، مرزی و مانند آن؛ و از جهت مدت به موقت و نامعین تقسیم می‌شوند. از حیث موضوع رساله، وجود شرط خروج، بازنگری یا تعلیق نیز اهمیت دارد. آثار هر دسته باید بر اساس متن سند و قواعد خاص آن تعیین شود؛ یک تقسیم موضوعی، به‌تنهایی حکم جواز خروج را مشخص نمی‌کند.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برای تحدید بحث، سه وضعیت از یکدیگر متمایز می‌شوند: نخست، معاهدات دارای رژیم ویژه ثبات، مانند معاهدات مرزی که استناد به تغییر بنیادین اوضاع درباره آن‌ها با منع خاص ماده ۶۲ روبه‌روست؛ دوم، معاهدات مدت‌دار یا دارای شرط پایان که خاتمه آن‌ها تابع همان شرط و مدت است؛ و سوم، تعهدات معتبری که ادعا می‌شود ادامه اجرای آن‌ها با تکلیفی اهم تزاحم یافته است. محل اصلی پژوهش، وضعیت سوم است. تغییر مصلحت در وضعیت دوم، خودبه‌خود موجب زوال معاهده نمی‌شود و ثبات مرز نیز به معنای تغییرناپذیری همه منافع مرتبط نیست.</w:t>
      </w:r>
    </w:p>
    <w:p>
      <w:pPr>
        <w:pStyle w:val="TH-Band"/>
        <w:keepNext w:val="1"/>
        <w:keepLines w:val="1"/>
        <w:widowControl w:val="1"/>
        <w:bidi w:val="1"/>
        <w:spacing w:before="240" w:after="100" w:line="300" w:lineRule="auto"/>
        <w:ind w:firstLine="0"/>
        <w:jc w:val="start"/>
      </w:pPr>
      <w:bookmarkStart w:id="18" w:name="_Toc000018"/>
      <w:r>
        <w:rPr>
          <w:rFonts w:ascii="B Nazanin" w:hAnsi="B Nazanin" w:cs="B Nazanin" w:eastAsia="B Nazanin"/>
          <w:b w:val="1"/>
          <w:bCs w:val="1"/>
          <w:i w:val="0"/>
          <w:color w:val="243B53"/>
          <w:sz w:val="29"/>
          <w:szCs w:val="29"/>
          <w:rtl w:val="1"/>
          <w:lang w:val="fa-IR" w:bidi="fa-IR"/>
        </w:rPr>
        <w:t>بند سوم: مفهوم تعهد و ارکان آن</w:t>
      </w:r>
      <w:bookmarkEnd w:id="1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تعهد بین‌المللی، الزام حقوقی به فعل یا ترک فعل است. در روابط دوجانبه می‌توان متعهد، طرف ذی‌حق و موضوع تعهد را از هم تفکیک کرد؛ اما همه تعهدات به رابطه ساده طلبکار و بدهکار فروکاستنی نیستند. برخی تعهدات در برابر مجموعه دولت‌های عضو یا جامعه بین‌المللی قرار دارند و ممکن است حقوق اشخاص را نیز حمایت کنند. رساله بر تعهدات معاهده‌ای دولت تمرکز دارد، بدون آن‌که دیگر منابع یا ساختارهای تعهد را انکار 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تمایز تعهد حقوقی از انتظار سیاسی یا تکلیف اخلاقی، در تحلیل مسئولیت ضروری است. نقض وعده‌ای صرفاً سیاسی، به‌خودی‌خود نقض همان تعهد حقوقی نیست؛ اما ممکن است با تعهد مستقلی هم‌زمان شود. همچنین الزام حقوقی همیشه محتاج قالب معاهده نیست و در شرایط خاص، اعلام یک‌جانبه نیز می‌تواند اثر التزام‌آور داشته باشد. بنابراین، پیش از بررسی مسئولیت باید منشأ و محتوای تعهد احراز شود؛ وجود یا فقدان عنوان رسمی سند، به‌تنهایی کافی نیست.</w:t>
      </w:r>
    </w:p>
    <w:p>
      <w:pPr>
        <w:pStyle w:val="TH-Goftar"/>
        <w:keepNext w:val="1"/>
        <w:keepLines w:val="1"/>
        <w:widowControl w:val="1"/>
        <w:shd w:val="clear" w:fill="F0F3F6"/>
        <w:bidi w:val="1"/>
        <w:spacing w:before="240" w:after="180" w:line="300" w:lineRule="auto"/>
        <w:ind w:firstLine="0"/>
        <w:jc w:val="start"/>
      </w:pPr>
      <w:bookmarkStart w:id="19" w:name="_Toc000019"/>
      <w:r>
        <w:rPr>
          <w:rFonts w:ascii="B Nazanin" w:hAnsi="B Nazanin" w:cs="B Nazanin" w:eastAsia="B Nazanin"/>
          <w:b w:val="1"/>
          <w:bCs w:val="1"/>
          <w:i w:val="0"/>
          <w:color w:val="243B53"/>
          <w:sz w:val="32"/>
          <w:szCs w:val="32"/>
          <w:rtl w:val="1"/>
          <w:lang w:val="fa-IR" w:bidi="fa-IR"/>
        </w:rPr>
        <w:t>گفتار دوم: مفهوم ولی فقیه و گستره اختیارات</w:t>
      </w:r>
      <w:bookmarkEnd w:id="19"/>
    </w:p>
    <w:p>
      <w:pPr>
        <w:pStyle w:val="TH-Band"/>
        <w:keepNext w:val="1"/>
        <w:keepLines w:val="1"/>
        <w:widowControl w:val="1"/>
        <w:bidi w:val="1"/>
        <w:spacing w:before="240" w:after="100" w:line="300" w:lineRule="auto"/>
        <w:ind w:firstLine="0"/>
        <w:jc w:val="start"/>
      </w:pPr>
      <w:bookmarkStart w:id="20" w:name="_Toc000020"/>
      <w:r>
        <w:rPr>
          <w:rFonts w:ascii="B Nazanin" w:hAnsi="B Nazanin" w:cs="B Nazanin" w:eastAsia="B Nazanin"/>
          <w:b w:val="1"/>
          <w:bCs w:val="1"/>
          <w:i w:val="0"/>
          <w:color w:val="243B53"/>
          <w:sz w:val="29"/>
          <w:szCs w:val="29"/>
          <w:rtl w:val="1"/>
          <w:lang w:val="fa-IR" w:bidi="fa-IR"/>
        </w:rPr>
        <w:t>بند اول: تعریف ولی فقیه</w:t>
      </w:r>
      <w:bookmarkEnd w:id="2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مراد از ولی فقیه در این رساله، مقام رهبری موضوع اصول ۵ و ۱۰۷ قانون اساسی جمهوری اسلامی ایران است. این کاربرد نهادی با مرجعیت در فتوا، صلاحیت سایر مقامات اجرایی و جایگاه امام معصوم یکسان نیست. فقیه جامع‌الشرایط بودن، به‌تنهایی شخص را عهده‌دار همه صلاحیت‌های نهاد رهبری نمی‌کند. از سوی دیگر، حدود اختیار امام و فقیه نیز نباید بدون توجه به مبانی کلامی و فقهی، یکسان و نامقید توصیف شود.</w:t>
      </w:r>
      <w:r>
        <w:rPr>
          <w:rFonts w:ascii="B Nazanin" w:hAnsi="B Nazanin" w:cs="B Nazanin" w:eastAsia="B Nazanin"/>
          <w:b w:val="0"/>
          <w:bCs w:val="0"/>
          <w:i w:val="0"/>
          <w:sz w:val="20"/>
          <w:szCs w:val="20"/>
          <w:vertAlign w:val="superscript"/>
          <w:rtl w:val="1"/>
          <w:lang w:val="fa-IR" w:bidi="fa-IR"/>
        </w:rPr>
        <w:footnoteReference w:id="8"/>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رساله، نظریه ولایت حکومتی فقیه در اندیشه امام خمینی را مبنای بحث قرار می‌دهد و اثبات مستقل اصل این نظریه را بر عهده نمی‌گیرد. در این چارچوب، اختیار اداره امور عمومی از مقام معنوی یا ویژگی‌های اختصاصی معصوم تفکیک می‌شود. اختلاف‌نظرهای فقهی درباره مبنا و گستره ولایت همچنان مؤثرند؛ بنابراین، نتیجه این پژوهش باید «بر مبنای نظریه پذیرفته‌شده» خوانده شود، نه به‌عنوان رأی مورد اتفاق همه فقهای امامیه.</w:t>
      </w:r>
      <w:r>
        <w:rPr>
          <w:rFonts w:ascii="B Nazanin" w:hAnsi="B Nazanin" w:cs="B Nazanin" w:eastAsia="B Nazanin"/>
          <w:b w:val="0"/>
          <w:bCs w:val="0"/>
          <w:i w:val="0"/>
          <w:sz w:val="20"/>
          <w:szCs w:val="20"/>
          <w:vertAlign w:val="superscript"/>
          <w:rtl w:val="1"/>
          <w:lang w:val="fa-IR" w:bidi="fa-IR"/>
        </w:rPr>
        <w:footnoteReference w:id="9"/>
      </w:r>
    </w:p>
    <w:p>
      <w:pPr>
        <w:pStyle w:val="TH-Band"/>
        <w:keepNext w:val="1"/>
        <w:keepLines w:val="1"/>
        <w:widowControl w:val="1"/>
        <w:bidi w:val="1"/>
        <w:spacing w:before="240" w:after="100" w:line="300" w:lineRule="auto"/>
        <w:ind w:firstLine="0"/>
        <w:jc w:val="start"/>
      </w:pPr>
      <w:bookmarkStart w:id="21" w:name="_Toc000021"/>
      <w:r>
        <w:rPr>
          <w:rFonts w:ascii="B Nazanin" w:hAnsi="B Nazanin" w:cs="B Nazanin" w:eastAsia="B Nazanin"/>
          <w:b w:val="1"/>
          <w:bCs w:val="1"/>
          <w:i w:val="0"/>
          <w:color w:val="243B53"/>
          <w:sz w:val="29"/>
          <w:szCs w:val="29"/>
          <w:rtl w:val="1"/>
          <w:lang w:val="fa-IR" w:bidi="fa-IR"/>
        </w:rPr>
        <w:t xml:space="preserve">بند دوم: تفکیک تحلیلی اختیار؛ صریح، ضمنی، ولایی و حکومتی</w:t>
      </w:r>
      <w:bookmarkEnd w:id="2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برای جلوگیری از خلط، چهار عنوان اختیار صریح، اختیار ضمنی، مبنای ولایی و حکم حکومتی به کار می‌روند. این عنوان‌ها چهار مرتبه مستقل و هم‌عرض نیستند: دو عنوان نخست به دلالت متن قانون بر صلاحیت؛ عنوان سوم به مبنای فقهی و تفسیر حقوق اساسی؛ و عنوان چهارم به صورت اعمال اختیار اشاره دارد. این تفکیک پیشنهادی، ابزار تحلیل است و خود نمی‌تواند صلاحیتی را که دلیل ندارد ایجاد 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«اختیار صریح» صلاحیتی است که متن قانون اساسی آن را مقرر کرده است؛ مانند فرماندهی کل نیروهای مسلح یا اعلان جنگ و صلح. وجود نص، اصل صلاحیت را روشن می‌کند، اما حدود و شرایط اعمال آن همچنان نیازمند تفسیر است. ازاین‌رو، حتی صلاحیت صریح را نیز نمی‌توان فارغ از دیگر اصول و قیود قانونی بررسی کرد.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«اختیار ضمنی» صلاحیتی است که ادعا می‌شود لازمه قابل دفاع یک اختیار مقرر است. اثبات آن نیازمند بیان رابطه ضرورت یا ملازمه حقوقی است؛ صرف ارتباط موضوع با سیاست‌های کلی یا امنیت ملی کفایت نمی‌کند. در حوزه معاهدات باید نشان داد چرا صلاحیت مورد ادعا از متن استنباط می‌شود و چگونه با صلاحیت مجلس، رئیس‌جمهور و دیگر نهادها جمع خواهد شد.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«مبنای ولایی» به نظریه فقهی ولایت و برداشت از اصل ۵۷ اشاره دارد. درباره نسبت ولایت مطلقه و اختیارات مصرح قانون اساسی، دیدگاه‌های متفاوتی وجود دارد. استناد به این عنوان نباید به گزاره بدیهی درباره اختیار نامحدود تبدیل شود؛ لازم است دلیل، قلمرو وضعیت فوق‌العاده و سازوکار نهادی آن توضیح داده شود. نتیجه این بحث در فصل پنجم به‌صورت نظر تحلیلی رساله، نه تفسیر رسمی، ارائه می‌شود.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«حکم حکومتی» صورت تصمیم الزام‌آور مقام صلاحیت‌دار در امور عمومی است. این مفهوم با منبع صلاحیت یکی نیست: برای ارزیابی حکم باید ابتدا صلاحیت صادرکننده و سپس موضوع، مبنا، حدود و نحوه ابلاغ آن بررسی شود. صدور دستور با عنوان حکومتی، به‌تنهایی نه دلیل تحقق تزاحم است و نه مجوز تغییر تعهد در سطح بین‌المللی.</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فایده این تفکیک آن است که بحث از اختیار، به دوگانه نادرست «حصر اداری» و «قدرت بی‌ضابطه» محدود نشود. تفسیر قانونی باید هم ظرفیت مواجهه با وضعیت استثنایی را بررسی کند و هم قواعد صلاحیت و پاسخ‌گویی را حفظ نماید. تعبیر کلی «قانون اساسی کف است نه سقف» بدون تعیین مستند و حدود، برای اثبات اختیار خاص کفایت ندارد. نظر رساله باید در هر مورد با متن اصول و سازوکارهای نهادی سنجیده شود.</w:t>
      </w:r>
    </w:p>
    <w:p>
      <w:pPr>
        <w:pStyle w:val="TH-Goftar"/>
        <w:keepNext w:val="1"/>
        <w:keepLines w:val="1"/>
        <w:widowControl w:val="1"/>
        <w:shd w:val="clear" w:fill="F0F3F6"/>
        <w:bidi w:val="1"/>
        <w:spacing w:before="240" w:after="180" w:line="300" w:lineRule="auto"/>
        <w:ind w:firstLine="0"/>
        <w:jc w:val="start"/>
      </w:pPr>
      <w:bookmarkStart w:id="22" w:name="_Toc000022"/>
      <w:r>
        <w:rPr>
          <w:rFonts w:ascii="B Nazanin" w:hAnsi="B Nazanin" w:cs="B Nazanin" w:eastAsia="B Nazanin"/>
          <w:b w:val="1"/>
          <w:bCs w:val="1"/>
          <w:i w:val="0"/>
          <w:color w:val="243B53"/>
          <w:sz w:val="32"/>
          <w:szCs w:val="32"/>
          <w:rtl w:val="1"/>
          <w:lang w:val="fa-IR" w:bidi="fa-IR"/>
        </w:rPr>
        <w:t>گفتار سوم: مفهوم عدول و مفاهیم خویشاوند</w:t>
      </w:r>
      <w:bookmarkEnd w:id="22"/>
    </w:p>
    <w:p>
      <w:pPr>
        <w:pStyle w:val="TH-Band"/>
        <w:keepNext w:val="1"/>
        <w:keepLines w:val="1"/>
        <w:widowControl w:val="1"/>
        <w:bidi w:val="1"/>
        <w:spacing w:before="240" w:after="100" w:line="300" w:lineRule="auto"/>
        <w:ind w:firstLine="0"/>
        <w:jc w:val="start"/>
      </w:pPr>
      <w:bookmarkStart w:id="23" w:name="_Toc000023"/>
      <w:r>
        <w:rPr>
          <w:rFonts w:ascii="B Nazanin" w:hAnsi="B Nazanin" w:cs="B Nazanin" w:eastAsia="B Nazanin"/>
          <w:b w:val="1"/>
          <w:bCs w:val="1"/>
          <w:i w:val="0"/>
          <w:color w:val="243B53"/>
          <w:sz w:val="29"/>
          <w:szCs w:val="29"/>
          <w:rtl w:val="1"/>
          <w:lang w:val="fa-IR" w:bidi="fa-IR"/>
        </w:rPr>
        <w:t>بند اول: تعریف عدول</w:t>
      </w:r>
      <w:bookmarkEnd w:id="2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عدول در معنای لغوی، روی‌گرداندن یا بازگشتن است. در این پژوهش، «عدول حکومتی» عنوانی تحلیلی برای تصمیم یک‌جانبه و فوق‌العاده مقام صلاحیت‌دار به توقف تمام یا بخشی از اجرای تعهد معاهده‌ای است. مبنای ادعایی آن، تزاحم با تکلیفی اهم است؛ اما گنجاندن این ادعا در تعریف، مشروعیت تصمیم را اثبات نمی‌کند. در مراحل بعد باید تحقق موضوع، اعتبار مبنا و آثار اقدام جداگانه احراز شوند.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قید یک‌جانبه، تصمیم مورد بحث را از توافق طرف‌ها برای خاتمه یا تعلیق متمایز می‌کند. اعمال حق خروج مندرج نیز، گرچه از لحاظ شکلی می‌تواند یک‌جانبه باشد، از سنخ عدول فاقد مجوز قراردادی نیست. بنابراین، «یک‌جانبه بودن» مساوی «نامشروع بودن» نیست؛ ملاک، وجود مبنای معتبر و رعایت شرایط آن است. این راه‌های قانونی در رساله به‌عنوان گزینه‌های مقدم بررسی می‌شوند.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قید فوق‌العاده، محدوده پرسش را به مواردی معطوف می‌کند که ادعا می‌شود راه‌های عادی پاسخ کافی نمی‌دهند. این قید وصف وضعیت مورد بررسی است، نه دلیل جواز. تصمیمی ممکن است فوق‌العاده باشد، اما موضوع یا صلاحیت آن احراز نشده باشد؛ در آن صورت، عنوان استثنایی نمی‌تواند نقص استدلال را جبران 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قید تزاحم، ناظر به فرض ناتوانی واقعی از جمع میان دو تکلیف معتبر است. ترجیح سیاسی، افزایش هزینه یا فشار جناحی، بدون اثبات تکلیف مقابل و اهمیت آن، تزاحم اصولی ایجاد نمی‌کند. ازاین‌رو، در فصل چهارم میان «تعارض منافع»، «دشواری اجرا» و «تزاحم تکالیف» تمایز گذاشته می‌شود.</w:t>
      </w:r>
    </w:p>
    <w:p>
      <w:pPr>
        <w:pStyle w:val="TH-Band"/>
        <w:keepNext w:val="1"/>
        <w:keepLines w:val="1"/>
        <w:widowControl w:val="1"/>
        <w:bidi w:val="1"/>
        <w:spacing w:before="240" w:after="100" w:line="300" w:lineRule="auto"/>
        <w:ind w:firstLine="0"/>
        <w:jc w:val="start"/>
      </w:pPr>
      <w:bookmarkStart w:id="24" w:name="_Toc000024"/>
      <w:r>
        <w:rPr>
          <w:rFonts w:ascii="B Nazanin" w:hAnsi="B Nazanin" w:cs="B Nazanin" w:eastAsia="B Nazanin"/>
          <w:b w:val="1"/>
          <w:bCs w:val="1"/>
          <w:i w:val="0"/>
          <w:color w:val="243B53"/>
          <w:sz w:val="29"/>
          <w:szCs w:val="29"/>
          <w:rtl w:val="1"/>
          <w:lang w:val="fa-IR" w:bidi="fa-IR"/>
        </w:rPr>
        <w:t>بند دوم: تمایز از مفاهیم خویشاوند</w:t>
      </w:r>
      <w:bookmarkEnd w:id="2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برای تعیین آثار تصمیم، عدول حکومتی باید از نقض، تعلیق، خاتمه، فسخ و انباذ تفکیک شود. این واژه‌ها به مراحل و نظام‌های متفاوت اشاره دارند و کاربرد مسامحی آن‌ها ممکن است نتیجه فقهی را با اثر حقوقی بین‌المللی درآمیزد.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«نقض» در حقوق مسئولیت، عدم انطباق رفتار با تعهد لازم‌الاجراست. احراز نقض از بررسی اسباب رافع وصف متخلفانه متمایز است. عدولی که بر اساس مبنای فقهی موجه دانسته می‌شود، ممکن است در سطح بین‌المللی همچنان نقض و منشأ مسئولیت باشد. بنابراین، تفاوت این دو را نمی‌توان به‌طور مطلق با عبارت «عدول بامجوز و نقض بی‌مجوز است» توضیح داد؛ باید روشن کرد مجوز در کدام نظام هنجاری معتبر 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«تعلیق» توقف موقت اجرای معاهده یا بخشی از آن در چارچوب حقوق معاهدات است، با بقای رابطه حقوقی مربوط. هر توقف عملی، تعلیق معتبر نیست. همچنین استناد به ضرورتی که وصف متخلفانه را موقتاً رفع می‌کند، لزوماً معاهده را طبق کنوانسیون وین معلق نمی‌سازد. این تمایز در بررسی آثار و تکلیف به ازسرگیری اجرا اهمیت دارد.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«خاتمه» پایان اعتبار اجرایی رابطه معاهده‌ای در حدود مقرر است. خاتمه معتبر، از صرف اعلام عدم اجرا متمایز است و آثار آن، از جمله وضعیت حقوق و تعهدات ایجادشده پیشین، تابع قواعد مربوط خواهد بود. تصمیم حکومتی ممکن است به درخواست خاتمه یا اعمال حق خروج بینجامد؛ اما عنوان حکومتی به‌تنهایی آن اثر بین‌المللی را ایجاد نمی‌کند.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«فسخ» در فقه معاملات، غالباً به انحلال عقد بر اساس اختیار معتبر اشاره دارد. انتقال همه احکام خیارات خصوصی به روابط معاهده‌ای دولت‌ها، نیازمند دلیل است. در بحث هدنه نیز باید میان حق نقضِ شرط‌شده، نقض طرف مقابل، خوف خیانت و ادعای تغییر مصلحت تفکیک کرد. این موارد نه از حیث دلیل و نه از حیث اثر، الزاماً یکسان نیستند.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«انباذ» در آیه ۵۸ انفال، به اعلام پایان عهد در فرض خوف خیانت اشاره دارد: «فَانْبِذْ إِلَیْهِمْ عَلَی سَوَاءٍ». دلالت آیه بر لزوم پرهیز از غدر روشن است؛ اما شرایط موضوع آن نیز باید محفوظ بماند. از این آیه نمی‌توان بدون استدلال، همه تشریفات حقوق معاهدات یا جواز پایان هر پیمان زیان‌بار را استخراج کرد. در رساله، انباذ از جهات مهم بررسی شیوه اعلام تصمیم است.</w:t>
      </w:r>
      <w:r>
        <w:rPr>
          <w:rFonts w:ascii="B Nazanin" w:hAnsi="B Nazanin" w:cs="B Nazanin" w:eastAsia="B Nazanin"/>
          <w:b w:val="0"/>
          <w:bCs w:val="0"/>
          <w:i w:val="0"/>
          <w:sz w:val="20"/>
          <w:szCs w:val="20"/>
          <w:vertAlign w:val="superscript"/>
          <w:rtl w:val="1"/>
          <w:lang w:val="fa-IR" w:bidi="fa-IR"/>
        </w:rPr>
        <w:footnoteReference w:id="10"/>
      </w:r>
    </w:p>
    <w:p>
      <w:pPr>
        <w:pStyle w:val="TH-Band"/>
        <w:keepNext w:val="1"/>
        <w:keepLines w:val="1"/>
        <w:widowControl w:val="1"/>
        <w:bidi w:val="1"/>
        <w:spacing w:before="240" w:after="100" w:line="300" w:lineRule="auto"/>
        <w:ind w:firstLine="0"/>
        <w:jc w:val="start"/>
      </w:pPr>
      <w:bookmarkStart w:id="25" w:name="_Toc000025"/>
      <w:r>
        <w:rPr>
          <w:rFonts w:ascii="B Nazanin" w:hAnsi="B Nazanin" w:cs="B Nazanin" w:eastAsia="B Nazanin"/>
          <w:b w:val="1"/>
          <w:bCs w:val="1"/>
          <w:i w:val="0"/>
          <w:color w:val="243B53"/>
          <w:sz w:val="29"/>
          <w:szCs w:val="29"/>
          <w:rtl w:val="1"/>
          <w:lang w:val="fa-IR" w:bidi="fa-IR"/>
        </w:rPr>
        <w:t xml:space="preserve">بند سوم: صورت‌بندی پنج‌گانه تغییر وضعیت تعهد</w:t>
      </w:r>
      <w:bookmarkEnd w:id="2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برای مقایسه گزینه‌ها، پنج صورت تحلیلی از تغییر وضعیت تعهد معرفی می‌شود. این صورت‌ها رتبه‌بندی قطعی همه تصمیم‌ها نیستند؛ دو صورت نخست اصولاً خارج از عدول استثنایی‌اند و میان صورت‌های دیگر نیز ممکن است هم‌پوشانی وجود داشته باشد. ارزش این تقسیم در روشن کردن مبنای اقدام است، نه در جایگزینی آن با بررسی شرایط هر معاهده.</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صورت نخست، اعمال حق مقرر در معاهده است؛ مانند خروج با اطلاع قبلی یا درخواست بازنگری طبق متن. این اقدام تنها در حدود همان حق و با رعایت شرایط آن قابل دفاع است. وجود عنوان «حق خروج» به معنای معافیت از مهلت، تشریفات یا تعهدات باقی‌مانده پس از خروج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صورت دوم، تغییر وضعیت با توافق معتبر طرف‌هاست؛ مانند خاتمه یا تعلیق توافقی. در این حالت، مبنا رضایت طرف‌های لازم است، نه ادعای اختیار داخلی برای نادیده گرفتن تعهد. حقوق طرف‌های ثالث، قواعد خاص معاهده و حدود توافق باید همچنان رعایت شوند.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صورت سوم، استناد به نهادهای عمومی حقوق بین‌الملل است. در این صورت باید دو مسیر جدا بماند: موجبات معتبر خاتمه یا تعلیق، مانند تغییر بنیادین اوضاع با شرایط ماده ۶۲؛ و اسباب رافع وصف متخلفانه، مانند ضرورت موضوع ماده ۲۵ مواد مسئولیت. ضرورت، به‌خودی‌خود موجب خاتمه معاهده نیست و آثار ماده ۲۷ مواد مسئولیت، از جمله مسئله جبران زیان مادی، نیز باید بررسی 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صورت چهارم، واکنش به تخلف طرف مقابل است. تعلیق یا خاتمه به استناد نقض اساسی در ماده ۶۰ وین، با اقدام متقابل در حقوق مسئولیت دو نهاد متفاوت‌اند. اولی بر وضعیت معاهده و دومی بر عدم اجرای موقت برخی تعهدات در برابر دولت مسئول اثر دارد. شرایط، تشریفات و استثناهای هر یک باید مستقلاً احراز 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صورت پنجم، عدم اجرای فاقد مبنای احراز‌شده است؛ یعنی تصمیمی که نه حق قراردادی یا توافق معتبر پشتیبان آن است و نه شرایط یک سبب قانونی یا مبنای فقهی ادعاشده برای آن اثبات شده است. صرف عنوان مصلحت، ضرورت یا واکنش، این نقیصه را برطرف نمی‌کند. چنین تصمیمی باید از عدول استثناییِ قابل دفاع متمایز بماند.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مقام عمل، تصمیم‌گیر باید برای هر گزینه، مبنای حقوقی، شرایط تحقق، هزینه، محدودیت زمانی و حقوق اشخاص متأثر را ثبت کند. «کم‌هزینه‌تر» بودن یک راه، معادل «قانونی‌تر» بودن آن نیست؛ همان‌گونه که راه قانونی نیز ممکن است هزینه سیاسی یا اقتصادی داشته باشد. هدف این تقسیم، فراهم کردن مقایسه‌ای مستند است، نه مشروعیت‌بخشی با نام‌گذاری.</w:t>
      </w:r>
    </w:p>
    <w:p>
      <w:pPr>
        <w:pStyle w:val="TH-Goftar"/>
        <w:keepNext w:val="1"/>
        <w:keepLines w:val="1"/>
        <w:widowControl w:val="1"/>
        <w:shd w:val="clear" w:fill="F0F3F6"/>
        <w:bidi w:val="1"/>
        <w:spacing w:before="240" w:after="180" w:line="300" w:lineRule="auto"/>
        <w:ind w:firstLine="0"/>
        <w:jc w:val="start"/>
      </w:pPr>
      <w:bookmarkStart w:id="26" w:name="_Toc000026"/>
      <w:r>
        <w:rPr>
          <w:rFonts w:ascii="B Nazanin" w:hAnsi="B Nazanin" w:cs="B Nazanin" w:eastAsia="B Nazanin"/>
          <w:b w:val="1"/>
          <w:bCs w:val="1"/>
          <w:i w:val="0"/>
          <w:color w:val="243B53"/>
          <w:sz w:val="32"/>
          <w:szCs w:val="32"/>
          <w:rtl w:val="1"/>
          <w:lang w:val="fa-IR" w:bidi="fa-IR"/>
        </w:rPr>
        <w:t>گفتار چهارم: مفهوم مصلحت و چارچوب نظری</w:t>
      </w:r>
      <w:bookmarkEnd w:id="26"/>
    </w:p>
    <w:p>
      <w:pPr>
        <w:pStyle w:val="TH-Band"/>
        <w:keepNext w:val="1"/>
        <w:keepLines w:val="1"/>
        <w:widowControl w:val="1"/>
        <w:bidi w:val="1"/>
        <w:spacing w:before="240" w:after="100" w:line="300" w:lineRule="auto"/>
        <w:ind w:firstLine="0"/>
        <w:jc w:val="start"/>
      </w:pPr>
      <w:bookmarkStart w:id="27" w:name="_Toc000027"/>
      <w:r>
        <w:rPr>
          <w:rFonts w:ascii="B Nazanin" w:hAnsi="B Nazanin" w:cs="B Nazanin" w:eastAsia="B Nazanin"/>
          <w:b w:val="1"/>
          <w:bCs w:val="1"/>
          <w:i w:val="0"/>
          <w:color w:val="243B53"/>
          <w:sz w:val="29"/>
          <w:szCs w:val="29"/>
          <w:rtl w:val="1"/>
          <w:lang w:val="fa-IR" w:bidi="fa-IR"/>
        </w:rPr>
        <w:t>بند اول: مصلحت در لغت و اصطلاح</w:t>
      </w:r>
      <w:bookmarkEnd w:id="2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مصلحت در لغت با صلاح و سامان‌یافتگی ارتباط دارد. در بحث حاضر، مراد منفعت عمومی قابل احراز در چارچوب مبانی شرعی و مسئولیت حکومت است. این مفهوم نباید با هر سود کوتاه‌مدت یا ترجیح صاحب قدرت یکسان شود. سه وصف واقعی بودن، عمومی بودن و اهمیت، برای بررسی ادعای مصلحت مطرح می‌شوند؛ بااین‌حال، در استدلال تزاحمی باید افزون بر منفعت، تکلیف معتبرِ متناظر نیز اثبات شود.</w:t>
      </w:r>
      <w:r>
        <w:rPr>
          <w:rFonts w:ascii="B Nazanin" w:hAnsi="B Nazanin" w:cs="B Nazanin" w:eastAsia="B Nazanin"/>
          <w:b w:val="0"/>
          <w:bCs w:val="0"/>
          <w:i w:val="0"/>
          <w:sz w:val="20"/>
          <w:szCs w:val="20"/>
          <w:vertAlign w:val="superscript"/>
          <w:rtl w:val="1"/>
          <w:lang w:val="fa-IR" w:bidi="fa-IR"/>
        </w:rPr>
        <w:footnoteReference w:id="1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«واقعی بودن» در مقام تصمیم‌گیری به احراز از راه معتبر وابسته است؛ نه به ادعای دستیابی قطعی و خطاناپذیر به آینده. داده‌های قابل اعتماد، نظر کارشناسان، سناریوهای رقیب و میزان عدم‌قطعیت باید بررسی شوند. خطای احتمالی کارشناسی با تصمیم خودسرانه یکسان نیست، اما حسن نیت نیز جایگزین رعایت روش معتبر تشخیص موضوع نمی‌شود.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«عمومی بودن» اقتضا دارد که حقوق و منافع جامعه، از منفعت شخصی مقام یا گروه سیاسی جدا شود. ارزیابی مصلحت باید توزیع هزینه‌ها میان گروه‌های اجتماعی و آثار بلندمدت تصمیم را نیز در نظر بگیرد. سود یک نهاد یا یک دوره مدیریتی، بدون اثبات نسبت آن با خیر عمومی، مبنای کافی برای کنار گذاشتن تعهد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«اهمیت» در استدلال تزاحمی، ناظر به ترجیح تکلیف مقابل بر وفای به عهد است. خود وفا نیز حامل مصالح عمومی، از جمله اعتماد و ثبات حقوقی است. در فرض احراز دو تکلیف هم‌سنگ، بحث تخییر اصولی مطرح می‌شود؛ بنابراین، نمی‌توان حکم همه موارد تساوی را صرفاً با ادعای تقدم وفا بیان کرد. در فرض شک در اصل تکلیف یا تحقق تزاحم، وضعیت متفاوت است و دلیل معتبر بر رفع الزام به وفا لازم خواهد بود.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این اوصاف، چارچوب اولیه بررسی مصلحت را فراهم می‌کنند؛ اما معیار عملی باید روشن‌تر باشد: چه خطری، متوجه چه حقی، با چه احتمال و شدتی است؛ چه راه‌های جایگزینی وجود دارد؛ و چرا اقدام پیشنهادی برای رفع آن لازم است؟ پاسخ مستند به این پرسش‌ها، مرز میان مصلحت‌سنجی روشمند و کاربرد صرف یک عنوان کلی است.</w:t>
      </w:r>
    </w:p>
    <w:p>
      <w:pPr>
        <w:pStyle w:val="TH-Band"/>
        <w:keepNext w:val="1"/>
        <w:keepLines w:val="1"/>
        <w:widowControl w:val="1"/>
        <w:bidi w:val="1"/>
        <w:spacing w:before="240" w:after="100" w:line="300" w:lineRule="auto"/>
        <w:ind w:firstLine="0"/>
        <w:jc w:val="start"/>
      </w:pPr>
      <w:bookmarkStart w:id="28" w:name="_Toc000028"/>
      <w:r>
        <w:rPr>
          <w:rFonts w:ascii="B Nazanin" w:hAnsi="B Nazanin" w:cs="B Nazanin" w:eastAsia="B Nazanin"/>
          <w:b w:val="1"/>
          <w:bCs w:val="1"/>
          <w:i w:val="0"/>
          <w:color w:val="243B53"/>
          <w:sz w:val="29"/>
          <w:szCs w:val="29"/>
          <w:rtl w:val="1"/>
          <w:lang w:val="fa-IR" w:bidi="fa-IR"/>
        </w:rPr>
        <w:t>بند دوم: نسبت مصلحت با ضرورت بین‌المللی</w:t>
      </w:r>
      <w:bookmarkEnd w:id="2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«ضرورت» در ماده ۲۵ مواد مسئولیت، نهادی استثنایی برای رفع وصف متخلفانه است: اقدام باید تنها راه حفاظت از منفعتی اساسی در برابر خطری شدید و قریب‌الوقوع باشد و دیگر شرایط و موانع ماده نیز رعایت شوند. این نهاد با مصلحت یا تزاحم فقهی هم‌معنا نیست. تعیین نسبت منطقی ثابت میان آن‌ها، بدون تعریف جامع و بررسی مصادیق ممکن نیست؛ اشتراک در برخی کارکردها، نه تساوی را اثبات می‌کند و نه عموم و خصوص را.</w:t>
      </w:r>
      <w:r>
        <w:rPr>
          <w:rFonts w:ascii="B Nazanin" w:hAnsi="B Nazanin" w:cs="B Nazanin" w:eastAsia="B Nazanin"/>
          <w:b w:val="0"/>
          <w:bCs w:val="0"/>
          <w:i w:val="0"/>
          <w:sz w:val="20"/>
          <w:szCs w:val="20"/>
          <w:vertAlign w:val="superscript"/>
          <w:rtl w:val="1"/>
          <w:lang w:val="fa-IR" w:bidi="fa-IR"/>
        </w:rPr>
        <w:footnoteReference w:id="12"/>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نتیجه عملی این تمایز، عدم ملازمه میان مجوز فقهی و پذیرش ضرورت در حقوق بین‌الملل است. دولت باید شرایط ماده ۲۵ را با ادله مستقل اثبات کند؛ ذکر مصلحت عمومی یا حکم حکومتی کافی نیست. در جهت معکوس نیز پذیرش یک دفاع حقوقی بین‌المللی، خودبه‌خود همه شرایط جواز شرعی یا صلاحیت داخلی را محقق نمی‌سازد.</w:t>
      </w:r>
    </w:p>
    <w:p>
      <w:pPr>
        <w:pStyle w:val="TH-Band"/>
        <w:keepNext w:val="1"/>
        <w:keepLines w:val="1"/>
        <w:widowControl w:val="1"/>
        <w:bidi w:val="1"/>
        <w:spacing w:before="240" w:after="100" w:line="300" w:lineRule="auto"/>
        <w:ind w:firstLine="0"/>
        <w:jc w:val="start"/>
      </w:pPr>
      <w:bookmarkStart w:id="29" w:name="_Toc000029"/>
      <w:r>
        <w:rPr>
          <w:rFonts w:ascii="B Nazanin" w:hAnsi="B Nazanin" w:cs="B Nazanin" w:eastAsia="B Nazanin"/>
          <w:b w:val="1"/>
          <w:bCs w:val="1"/>
          <w:i w:val="0"/>
          <w:color w:val="243B53"/>
          <w:sz w:val="29"/>
          <w:szCs w:val="29"/>
          <w:rtl w:val="1"/>
          <w:lang w:val="fa-IR" w:bidi="fa-IR"/>
        </w:rPr>
        <w:t>بند سوم: چارچوب نظری پژوهش</w:t>
      </w:r>
      <w:bookmarkEnd w:id="2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چارچوب نظری رساله سه رکن دارد: تحلیل تزاحم تکالیف، بررسی صلاحیت و حکم حکومتی و تفکیک سطوح هنجاری. این ارکان نقش‌های متفاوتی دارند و نباید به‌عنوان چند دلیل مستقل با نتیجه قطعی واحد معرفی شوند.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رکن نخست، تحلیل تزاحم است. اگر دو تکلیف معتبر در مقام عمل قابل جمع نباشند، ترجیح باید بر اساس قواعد مربوط بررسی شود. درباره معاهده، هم اعتبار الزام به وفا و هم تکلیف مقابل و عدم امکان جمع باید احراز شوند. این رکن، چارچوب بررسی جواز فقهی است، نه دلیل پیشینی بر اهم بودن هر مصلحت حکومتی.</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رکن دوم، نظریه حکم حکومتی است. بر مبنای مورد پذیرش رساله، تصمیم درباره امور عمومی در صلاحیت نهاد معتبر قرار می‌گیرد؛ اما شناسایی مرجع، جایگزین اثبات موضوع و دلیل نمی‌شود. گستره این اختیار و نسبت آن با قواعد قانون اساسی و حقوق طرف‌های پیمان، در فصل‌های چهارم و پنجم بررسی خواهد شد.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رکن سوم، تفکیک جواز فقهی، اعتبار داخلی و مسئولیت بین‌المللی است. این سطوح از حیث معیار ارزیابی متمایزند، ولی در شناخت موضوع و پیامدهای تصمیم با یکدیگر ارتباط دارند. نتیجه مثبت در یک سطح، تنها هنگامی به سطح دیگر اثر می‌گذارد که نظام مربوط چنین اثری را بپذیرد.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برآیند این چارچوب، صورت‌بندی پرسشی مشروط است: آیا در مورد معین، تکلیف اهم و صلاحیت اقدام احراز شده‌اند و اگر تصمیم به عدم اجرا گرفته شود، چه آثار مستقلی در حقوق داخلی و بین‌المللی خواهد داشت؟ بدین ترتیب، پژوهش از گزاره کلی «زیان‌بار شدن، مجوز خروج است» فاصله می‌گیرد و به بررسی عناصر قابل اثبات می‌پردازد.</w:t>
      </w:r>
    </w:p>
    <w:p>
      <w:pPr>
        <w:pStyle w:val="TH-Goftar"/>
        <w:keepNext w:val="1"/>
        <w:keepLines w:val="1"/>
        <w:widowControl w:val="1"/>
        <w:shd w:val="clear" w:fill="F0F3F6"/>
        <w:bidi w:val="1"/>
        <w:spacing w:before="240" w:after="180" w:line="300" w:lineRule="auto"/>
        <w:ind w:firstLine="0"/>
        <w:jc w:val="start"/>
      </w:pPr>
      <w:bookmarkStart w:id="30" w:name="_Toc000030"/>
      <w:r>
        <w:rPr>
          <w:rFonts w:ascii="B Nazanin" w:hAnsi="B Nazanin" w:cs="B Nazanin" w:eastAsia="B Nazanin"/>
          <w:b w:val="1"/>
          <w:bCs w:val="1"/>
          <w:i w:val="0"/>
          <w:color w:val="243B53"/>
          <w:sz w:val="32"/>
          <w:szCs w:val="32"/>
          <w:rtl w:val="1"/>
          <w:lang w:val="fa-IR" w:bidi="fa-IR"/>
        </w:rPr>
        <w:t>گفتار پنجم: پیشینه مفهومی عهد در فقه؛ هدنه، امان، ذمه و صلح</w:t>
      </w:r>
      <w:bookmarkEnd w:id="30"/>
    </w:p>
    <w:p>
      <w:pPr>
        <w:pStyle w:val="TH-Band"/>
        <w:keepNext w:val="1"/>
        <w:keepLines w:val="1"/>
        <w:widowControl w:val="1"/>
        <w:bidi w:val="1"/>
        <w:spacing w:before="240" w:after="100" w:line="300" w:lineRule="auto"/>
        <w:ind w:firstLine="0"/>
        <w:jc w:val="start"/>
      </w:pPr>
      <w:bookmarkStart w:id="31" w:name="_Toc000031"/>
      <w:r>
        <w:rPr>
          <w:rFonts w:ascii="B Nazanin" w:hAnsi="B Nazanin" w:cs="B Nazanin" w:eastAsia="B Nazanin"/>
          <w:b w:val="1"/>
          <w:bCs w:val="1"/>
          <w:i w:val="0"/>
          <w:color w:val="243B53"/>
          <w:sz w:val="29"/>
          <w:szCs w:val="29"/>
          <w:rtl w:val="1"/>
          <w:lang w:val="fa-IR" w:bidi="fa-IR"/>
        </w:rPr>
        <w:t>بند اول: چرا پیشینه فقهی لازم است؟</w:t>
      </w:r>
      <w:bookmarkEnd w:id="3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شناخت هدنه، امان، ذمه و صلح برای فهم متون فقهی ضروری است. هر یک از این نهادها موضوع، طرف‌ها و شرایط تاریخی و حقوقی خاصی دارند. مقایسه آن‌ها با معاهده معاصر باید بر شناسایی اشتراک مؤثر مبتنی باشد؛ شباهت در عنوان پیمان، برای انتقال همه احکام کافی نیست. در ادامه، فقط عناصر مرتبط با وفا، صلاحیت و پایان رابطه بررسی می‌شوند.</w:t>
      </w:r>
    </w:p>
    <w:p>
      <w:pPr>
        <w:pStyle w:val="TH-Band"/>
        <w:keepNext w:val="1"/>
        <w:keepLines w:val="1"/>
        <w:widowControl w:val="1"/>
        <w:bidi w:val="1"/>
        <w:spacing w:before="240" w:after="100" w:line="300" w:lineRule="auto"/>
        <w:ind w:firstLine="0"/>
        <w:jc w:val="start"/>
      </w:pPr>
      <w:bookmarkStart w:id="32" w:name="_Toc000032"/>
      <w:r>
        <w:rPr>
          <w:rFonts w:ascii="B Nazanin" w:hAnsi="B Nazanin" w:cs="B Nazanin" w:eastAsia="B Nazanin"/>
          <w:b w:val="1"/>
          <w:bCs w:val="1"/>
          <w:i w:val="0"/>
          <w:color w:val="243B53"/>
          <w:sz w:val="29"/>
          <w:szCs w:val="29"/>
          <w:rtl w:val="1"/>
          <w:lang w:val="fa-IR" w:bidi="fa-IR"/>
        </w:rPr>
        <w:t>بند دوم: هدنه؛ آتش‌بس موقت</w:t>
      </w:r>
      <w:bookmarkEnd w:id="32"/>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هدنه در مباحث جهاد، توافق بر ترک مخاصمه در مدت و شرایط مقرر است. در جواهر الکلام، مصلحت مسلمانان، مدت و صلاحیت انعقاد از عناصر بحث‌اند. اختلاف درباره مدت و شرایط، نباید به حکمی ساده درباره بطلان همه صلح‌های پایدار امروزی تبدیل شود؛ زیرا موضوع و مبانی آن بحث باید مستقلاً بررسی شوند. همچنین مصلحت در «انعقاد» هدنه، غیر از اختیار «نقض» پیمان منعقدشده است.</w:t>
      </w:r>
      <w:r>
        <w:rPr>
          <w:rFonts w:ascii="B Nazanin" w:hAnsi="B Nazanin" w:cs="B Nazanin" w:eastAsia="B Nazanin"/>
          <w:b w:val="0"/>
          <w:bCs w:val="0"/>
          <w:i w:val="0"/>
          <w:sz w:val="20"/>
          <w:szCs w:val="20"/>
          <w:vertAlign w:val="superscript"/>
          <w:rtl w:val="1"/>
          <w:lang w:val="fa-IR" w:bidi="fa-IR"/>
        </w:rPr>
        <w:footnoteReference w:id="1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دو نکته از متن جواهر برای این رساله اهمیت دارد: نخست، بحث از امکان شرط کردن اختیار نقض در عقد هدنه؛ دوم، تصریح به بقای عهد تا پایان مدت، حتی پس از تغییر عاقد. بنابراین، نسبت دادن جواز عام فسخ هدنه «صرفاً با تغییر مصلحت» به مشهور یا صاحب جواهر، بدون شاهد دقیق موجه نیست. حق شرط‌شده و وفای به مدت باید از ادعای اختیار فوق‌العاده جدا بمانند؛ این ادعا، اگر مطرح شود، محتاج دلیل مستقل است.</w:t>
      </w:r>
      <w:r>
        <w:rPr>
          <w:rFonts w:ascii="B Nazanin" w:hAnsi="B Nazanin" w:cs="B Nazanin" w:eastAsia="B Nazanin"/>
          <w:b w:val="0"/>
          <w:bCs w:val="0"/>
          <w:i w:val="0"/>
          <w:sz w:val="20"/>
          <w:szCs w:val="20"/>
          <w:vertAlign w:val="superscript"/>
          <w:rtl w:val="1"/>
          <w:lang w:val="fa-IR" w:bidi="fa-IR"/>
        </w:rPr>
        <w:footnoteReference w:id="14"/>
      </w:r>
    </w:p>
    <w:p>
      <w:pPr>
        <w:pStyle w:val="TH-Band"/>
        <w:keepNext w:val="1"/>
        <w:keepLines w:val="1"/>
        <w:widowControl w:val="1"/>
        <w:bidi w:val="1"/>
        <w:spacing w:before="240" w:after="100" w:line="300" w:lineRule="auto"/>
        <w:ind w:firstLine="0"/>
        <w:jc w:val="start"/>
      </w:pPr>
      <w:bookmarkStart w:id="33" w:name="_Toc000033"/>
      <w:r>
        <w:rPr>
          <w:rFonts w:ascii="B Nazanin" w:hAnsi="B Nazanin" w:cs="B Nazanin" w:eastAsia="B Nazanin"/>
          <w:b w:val="1"/>
          <w:bCs w:val="1"/>
          <w:i w:val="0"/>
          <w:color w:val="243B53"/>
          <w:sz w:val="29"/>
          <w:szCs w:val="29"/>
          <w:rtl w:val="1"/>
          <w:lang w:val="fa-IR" w:bidi="fa-IR"/>
        </w:rPr>
        <w:t>بند سوم: امان؛ تأمین فردی و جمعی</w:t>
      </w:r>
      <w:bookmarkEnd w:id="3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امان در فقه جهاد، تعهد به تأمین امنیت شخص یا گروه در شرایط معتبر است. با هدنه تفاوت دارد و در برخی صورت‌ها از جانب اشخاص نیز قابل انشا دانسته شده است؛ اما حدود اشخاص مجاز، شمار مشمولان و لزوم رعایت مصلحت، نیازمند مراجعه به تفصیل اقوال است. ارجاع کلی به تحریر الوسیله برای «کتاب الجهاد، احکام امان»، بدون احراز محل، مستند کافی نیست؛ بحث امان در منابعی چون جواهر الکلام باید مستقیماً بررسی شود.</w:t>
      </w:r>
      <w:r>
        <w:rPr>
          <w:rFonts w:ascii="B Nazanin" w:hAnsi="B Nazanin" w:cs="B Nazanin" w:eastAsia="B Nazanin"/>
          <w:b w:val="0"/>
          <w:bCs w:val="0"/>
          <w:i w:val="0"/>
          <w:sz w:val="20"/>
          <w:szCs w:val="20"/>
          <w:vertAlign w:val="superscript"/>
          <w:rtl w:val="1"/>
          <w:lang w:val="fa-IR" w:bidi="fa-IR"/>
        </w:rPr>
        <w:footnoteReference w:id="15"/>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اهمیت امان در بحث حاضر، نشان دادن ارزش حقوقی امنیت ناشی از عهد با غیرمسلمان است. این نهاد می‌تواند مؤید آن باشد که احترام به پیمان، به قرارداد میان مسلمانان محدود نیست. بااین‌حال، تفاوت امان فردی و تعهد حکومتی باید حفظ شود و نتیجه‌ای درباره صلاحیت عدول از معاهده، تنها از قیاس اهمیت این دو به دست نیاید.</w:t>
      </w:r>
    </w:p>
    <w:p>
      <w:pPr>
        <w:pStyle w:val="TH-Band"/>
        <w:keepNext w:val="1"/>
        <w:keepLines w:val="1"/>
        <w:widowControl w:val="1"/>
        <w:bidi w:val="1"/>
        <w:spacing w:before="240" w:after="100" w:line="300" w:lineRule="auto"/>
        <w:ind w:firstLine="0"/>
        <w:jc w:val="start"/>
      </w:pPr>
      <w:bookmarkStart w:id="34" w:name="_Toc000034"/>
      <w:r>
        <w:rPr>
          <w:rFonts w:ascii="B Nazanin" w:hAnsi="B Nazanin" w:cs="B Nazanin" w:eastAsia="B Nazanin"/>
          <w:b w:val="1"/>
          <w:bCs w:val="1"/>
          <w:i w:val="0"/>
          <w:color w:val="243B53"/>
          <w:sz w:val="29"/>
          <w:szCs w:val="29"/>
          <w:rtl w:val="1"/>
          <w:lang w:val="fa-IR" w:bidi="fa-IR"/>
        </w:rPr>
        <w:t>بند چهارم: ذمه و صلح؛ پیمان‌های دائم</w:t>
      </w:r>
      <w:bookmarkEnd w:id="3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عقد ذمه، در فقه کلاسیک، نهاد حمایت از گروه‌های مشمول در برابر تعهدات مقرر، از جمله جزیه، است. صلح نیز در ابواب مختلف کاربرد دارد و نباید همه معانی آن را به یک نوع پیمان جنگی تقلیل داد. تفاوت این نهادها با تابعیت و حقوق شهروندی معاصر، و نیز با رابطه دولت‌های مستقل، در هر تطبیق باید لحاظ شود.</w:t>
      </w:r>
      <w:r>
        <w:rPr>
          <w:rFonts w:ascii="B Nazanin" w:hAnsi="B Nazanin" w:cs="B Nazanin" w:eastAsia="B Nazanin"/>
          <w:b w:val="0"/>
          <w:bCs w:val="0"/>
          <w:i w:val="0"/>
          <w:sz w:val="20"/>
          <w:szCs w:val="20"/>
          <w:vertAlign w:val="superscript"/>
          <w:rtl w:val="1"/>
          <w:lang w:val="fa-IR" w:bidi="fa-IR"/>
        </w:rPr>
        <w:footnoteReference w:id="16"/>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ذمه نشان می‌دهد که در فقه کلاسیک، رابطه عهدیِ غیرموقت با غیرمسلمان نیز شناخته شده است. از این امر نمی‌توان مشروعیت همه معاهدات دائمی یا انطباق آن‌ها با عقد ذمه را نتیجه گرفت؛ اما تعمیم این ادعا که «هر پیمان با غیرمسلمان الزاماً کوتاه‌مدت است» نیز نیازمند دلیل خواهد بود. اعتبار معاهده معاصر باید بر اساس موضوع و ادله مربوط خود بررسی شود.</w:t>
      </w:r>
    </w:p>
    <w:p>
      <w:pPr>
        <w:pStyle w:val="TH-Band"/>
        <w:keepNext w:val="1"/>
        <w:keepLines w:val="1"/>
        <w:widowControl w:val="1"/>
        <w:bidi w:val="1"/>
        <w:spacing w:before="240" w:after="100" w:line="300" w:lineRule="auto"/>
        <w:ind w:firstLine="0"/>
        <w:jc w:val="start"/>
      </w:pPr>
      <w:bookmarkStart w:id="35" w:name="_Toc000035"/>
      <w:r>
        <w:rPr>
          <w:rFonts w:ascii="B Nazanin" w:hAnsi="B Nazanin" w:cs="B Nazanin" w:eastAsia="B Nazanin"/>
          <w:b w:val="1"/>
          <w:bCs w:val="1"/>
          <w:i w:val="0"/>
          <w:color w:val="243B53"/>
          <w:sz w:val="29"/>
          <w:szCs w:val="29"/>
          <w:rtl w:val="1"/>
          <w:lang w:val="fa-IR" w:bidi="fa-IR"/>
        </w:rPr>
        <w:t>بند پنجم: جمع‌بندی؛ از نهادهای کهن تا معاهده مدرن</w:t>
      </w:r>
      <w:bookmarkEnd w:id="3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نهادهای یادشده، مجموعه‌ای از قواعد درباره التزام، حمایت، مدت، صلاحیت و پرهیز از غدر را در اختیار پژوهشگر قرار می‌دهند. سهم آن‌ها در بحث حاضر، روشن کردن سابقه فقهی مسائل است؛ نه اثبات خودکار جواز عدول به هر مصلحت تازه. به‌ویژه، لزوم وفا، امکان شرط معتبر و احکام خوف خیانت باید جداگانه تحلیل شوند تا حکم انعقاد با حکم پایان پیمان خلط نشود.</w:t>
      </w:r>
    </w:p>
    <w:p>
      <w:pPr>
        <w:pStyle w:val="TH-Goftar"/>
        <w:keepNext w:val="1"/>
        <w:keepLines w:val="1"/>
        <w:widowControl w:val="1"/>
        <w:shd w:val="clear" w:fill="F0F3F6"/>
        <w:bidi w:val="1"/>
        <w:spacing w:before="240" w:after="180" w:line="300" w:lineRule="auto"/>
        <w:ind w:firstLine="0"/>
        <w:jc w:val="start"/>
      </w:pPr>
      <w:bookmarkStart w:id="36" w:name="_Toc000036"/>
      <w:r>
        <w:rPr>
          <w:rFonts w:ascii="B Nazanin" w:hAnsi="B Nazanin" w:cs="B Nazanin" w:eastAsia="B Nazanin"/>
          <w:b w:val="1"/>
          <w:bCs w:val="1"/>
          <w:i w:val="0"/>
          <w:color w:val="243B53"/>
          <w:sz w:val="32"/>
          <w:szCs w:val="32"/>
          <w:rtl w:val="1"/>
          <w:lang w:val="fa-IR" w:bidi="fa-IR"/>
        </w:rPr>
        <w:t>حاصل فصل اول</w:t>
      </w:r>
      <w:bookmarkEnd w:id="3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حاصل فصل، تعیین موضوع و حدود اصطلاحات است: معاهده در قلمرو اصلی رساله، توافق کتبی میان دولت‌ها و تابع حقوق بین‌الملل؛ ولی فقیه، مقام رهبری در نظام ایران؛ و عدول حکومتی، تصمیم استثنایی به عدم اجرای تعهد است. مصلحت و ضرورت هم‌معنا نیستند و شواهد نهادهای تاریخی نیز جایگزین دلیل مستقل بر حکم معاصر نمی‌شوند. بر این مبنا، فصل دوم قواعد حقوق معاهدات و اصول قانون اساسی مرتبط را بررسی می‌کند.</w:t>
      </w:r>
    </w:p>
    <w:p>
      <w:r>
        <w:br w:type="page"/>
      </w:r>
    </w:p>
    <w:p/>
    <w:p/>
    <w:p>
      <w:pPr>
        <w:pStyle w:val="TH-Fasl"/>
        <w:keepNext w:val="1"/>
        <w:keepLines w:val="1"/>
        <w:widowControl w:val="1"/>
        <w:pBdr>
          <w:top w:val="single" w:sz="8" w:space="8" w:color="243B53"/>
          <w:bottom w:val="single" w:sz="8" w:space="8" w:color="243B53"/>
        </w:pBdr>
        <w:bidi w:val="1"/>
        <w:spacing w:before="120" w:after="180" w:line="300" w:lineRule="auto"/>
        <w:ind w:firstLine="0"/>
        <w:jc w:val="center"/>
      </w:pPr>
      <w:bookmarkStart w:id="37" w:name="_Toc000037"/>
      <w:r>
        <w:rPr>
          <w:rFonts w:ascii="B Nazanin" w:hAnsi="B Nazanin" w:cs="B Nazanin" w:eastAsia="B Nazanin"/>
          <w:b w:val="1"/>
          <w:bCs w:val="1"/>
          <w:i w:val="0"/>
          <w:color w:val="243B53"/>
          <w:sz w:val="40"/>
          <w:szCs w:val="40"/>
          <w:rtl w:val="1"/>
          <w:lang w:val="fa-IR" w:bidi="fa-IR"/>
        </w:rPr>
        <w:t>فصل دوم: کلیات حقوق معاهدات و قانون اساسی</w:t>
      </w:r>
      <w:bookmarkEnd w:id="3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پس از تعیین مفاهیم، باید قواعد حاکم بر رابطه معاهده‌ای و صلاحیت داخلی تصمیم‌گیر روشن شود. این فصل دو سطح متمایز را بررسی می‌کند: نخست، اصول اعتبار، تفسیر، اجرا و پایان معاهده در حقوق بین‌الملل؛ دوم، اصول مرتبط قانون اساسی جمهوری اسلامی ایران. هدف، فراهم کردن مقدمات تحلیل است؛ نه حل پیشینی اختلاف‌های فقهی یا معرفی تفسیر پیشنهادی رساله به‌عنوان حکم قطعی قانون.</w:t>
      </w:r>
    </w:p>
    <w:p>
      <w:pPr>
        <w:pStyle w:val="TH-Goftar"/>
        <w:keepNext w:val="1"/>
        <w:keepLines w:val="1"/>
        <w:widowControl w:val="1"/>
        <w:shd w:val="clear" w:fill="F0F3F6"/>
        <w:bidi w:val="1"/>
        <w:spacing w:before="240" w:after="180" w:line="300" w:lineRule="auto"/>
        <w:ind w:firstLine="0"/>
        <w:jc w:val="start"/>
      </w:pPr>
      <w:bookmarkStart w:id="38" w:name="_Toc000038"/>
      <w:r>
        <w:rPr>
          <w:rFonts w:ascii="B Nazanin" w:hAnsi="B Nazanin" w:cs="B Nazanin" w:eastAsia="B Nazanin"/>
          <w:b w:val="1"/>
          <w:bCs w:val="1"/>
          <w:i w:val="0"/>
          <w:color w:val="243B53"/>
          <w:sz w:val="32"/>
          <w:szCs w:val="32"/>
          <w:rtl w:val="1"/>
          <w:lang w:val="fa-IR" w:bidi="fa-IR"/>
        </w:rPr>
        <w:t>گفتار اول: تاریخچه و اصول حقوق معاهدات</w:t>
      </w:r>
      <w:bookmarkEnd w:id="38"/>
    </w:p>
    <w:p>
      <w:pPr>
        <w:pStyle w:val="TH-Band"/>
        <w:keepNext w:val="1"/>
        <w:keepLines w:val="1"/>
        <w:widowControl w:val="1"/>
        <w:bidi w:val="1"/>
        <w:spacing w:before="240" w:after="100" w:line="300" w:lineRule="auto"/>
        <w:ind w:firstLine="0"/>
        <w:jc w:val="start"/>
      </w:pPr>
      <w:bookmarkStart w:id="39" w:name="_Toc000039"/>
      <w:r>
        <w:rPr>
          <w:rFonts w:ascii="B Nazanin" w:hAnsi="B Nazanin" w:cs="B Nazanin" w:eastAsia="B Nazanin"/>
          <w:b w:val="1"/>
          <w:bCs w:val="1"/>
          <w:i w:val="0"/>
          <w:color w:val="243B53"/>
          <w:sz w:val="29"/>
          <w:szCs w:val="29"/>
          <w:rtl w:val="1"/>
          <w:lang w:val="fa-IR" w:bidi="fa-IR"/>
        </w:rPr>
        <w:t>بند اول: از عرف تا وین؛ تاریخچه‌ای کوتاه</w:t>
      </w:r>
      <w:bookmarkEnd w:id="3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قواعد حقوق معاهدات، پیش از تدوین کنوانسیون وین نیز در عرف و رویه دولت‌ها مطرح بودند. کمیسیون حقوق بین‌الملل، پس از آغاز فعالیت در ۱۹۴۹، تدوین این حوزه را پی گرفت. کنفرانس وین متن کنوانسیون را در ۲۲ مه ۱۹۶۹ تصویب کرد و سند در ۲۳ مه برای امضا گشوده شد؛ لازم‌الاجرا شدن آن در ۲۷ ژانویه ۱۹۸۰ بود. این فرایند، هم تدوین قواعد موجود و هم توسعه تدریجی حقوق را در بر می‌گرفت؛ بنابراین، عرفی بودن همه جزئیات کنوانسیون را نمی‌توان از تاریخ تدوین آن نتیجه گرفت.</w:t>
      </w:r>
      <w:r>
        <w:rPr>
          <w:rFonts w:ascii="B Nazanin" w:hAnsi="B Nazanin" w:cs="B Nazanin" w:eastAsia="B Nazanin"/>
          <w:b w:val="0"/>
          <w:bCs w:val="0"/>
          <w:i w:val="0"/>
          <w:sz w:val="20"/>
          <w:szCs w:val="20"/>
          <w:vertAlign w:val="superscript"/>
          <w:rtl w:val="1"/>
          <w:lang w:val="fa-IR" w:bidi="fa-IR"/>
        </w:rPr>
        <w:footnoteReference w:id="1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کنوانسیون ۸۵ ماده دارد و بسیاری از مسائل اصلی معاهدات را تنظیم می‌کند. ایران در ۲۳ مه ۱۹۶۹ آن را امضا کرده، اما در وضعیت ثبت‌شده نزد امین معاهده تا تاریخ بازبینی، سند تصویب یا الحاق برای آن درج نشده است. ازاین‌رو، استناد علیه ایران باید میان تعهد قراردادی ناشی از عضویت و قاعده عرفی مستقل تفکیک کند. مواد کنوانسیون در این رساله، الگوی تحلیلی مهم‌اند؛ الزام‌آوری هر حکم برای دولت غیرعضو، به احراز مبنای مستقل آن نیاز دارد.</w:t>
      </w:r>
    </w:p>
    <w:p>
      <w:pPr>
        <w:pStyle w:val="TH-Band"/>
        <w:keepNext w:val="1"/>
        <w:keepLines w:val="1"/>
        <w:widowControl w:val="1"/>
        <w:bidi w:val="1"/>
        <w:spacing w:before="240" w:after="100" w:line="300" w:lineRule="auto"/>
        <w:ind w:firstLine="0"/>
        <w:jc w:val="start"/>
      </w:pPr>
      <w:bookmarkStart w:id="40" w:name="_Toc000040"/>
      <w:r>
        <w:rPr>
          <w:rFonts w:ascii="B Nazanin" w:hAnsi="B Nazanin" w:cs="B Nazanin" w:eastAsia="B Nazanin"/>
          <w:b w:val="1"/>
          <w:bCs w:val="1"/>
          <w:i w:val="0"/>
          <w:color w:val="243B53"/>
          <w:sz w:val="29"/>
          <w:szCs w:val="29"/>
          <w:rtl w:val="1"/>
          <w:lang w:val="fa-IR" w:bidi="fa-IR"/>
        </w:rPr>
        <w:t>بند دوم: اصل بنیادین؛ پاکتا سونت سرواندا</w:t>
      </w:r>
      <w:bookmarkEnd w:id="4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اصل وفای به عهد در ماده ۲۶ کنوانسیون، با عنوان «</w:t>
      </w:r>
      <w:r>
        <w:rPr>
          <w:rFonts w:ascii="Times New Roman" w:hAnsi="Times New Roman" w:cs="B Nazanin" w:eastAsia="B Nazanin"/>
          <w:b w:val="0"/>
          <w:bCs w:val="0"/>
          <w:i w:val="0"/>
          <w:sz w:val="25"/>
          <w:szCs w:val="25"/>
          <w:rtl w:val="0"/>
          <w:lang w:val="en-US" w:bidi="fa-IR"/>
        </w:rPr>
        <w:t xml:space="preserve">Pacta sunt servanda</w:t>
      </w:r>
      <w:r>
        <w:rPr>
          <w:rFonts w:ascii="B Nazanin" w:hAnsi="B Nazanin" w:cs="B Nazanin" w:eastAsia="B Nazanin"/>
          <w:b w:val="0"/>
          <w:bCs w:val="0"/>
          <w:i w:val="0"/>
          <w:sz w:val="28"/>
          <w:szCs w:val="28"/>
          <w:rtl w:val="1"/>
          <w:lang w:val="fa-IR" w:bidi="fa-IR"/>
        </w:rPr>
        <w:t xml:space="preserve">»، بیان شده است. ترجمه مفاد ماده چنین است:</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 xml:space="preserve">هر معاهده لازم‌الاجرا برای طرف‌های آن الزام‌آور است و باید با حسن نیت اجرا شود.</w:t>
      </w:r>
      <w:r>
        <w:rPr>
          <w:rFonts w:ascii="B Nazanin" w:hAnsi="B Nazanin" w:cs="B Nazanin" w:eastAsia="B Nazanin"/>
          <w:b w:val="0"/>
          <w:bCs w:val="0"/>
          <w:i w:val="0"/>
          <w:color w:val="202A35"/>
          <w:sz w:val="20"/>
          <w:szCs w:val="20"/>
          <w:vertAlign w:val="superscript"/>
          <w:rtl w:val="1"/>
          <w:lang w:val="ar-SA" w:bidi="ar-SA"/>
        </w:rPr>
        <w:footnoteReference w:id="18"/>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این ماده دو عنصر دارد: الزام‌آوری معاهده‌ای که برای طرف‌ها لازم‌الاجراست و ضرورت اجرای آن با حسن نیت. مشابهت آن با قاعده فقهی وفا، امکان مقایسه را فراهم می‌کند، اما به معنای یکسان بودن همه مبانی و استثناها نیست. تشخیص اجرای صحیح نیز باید بر متن و قواعد تفسیر استوار باشد؛ استناد کلی به «روح معاهده» مجوز نادیده گرفتن عبارت یا ایجاد تعهد تازه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وفا مانع استفاده از راه‌های قانونی خاتمه، خروج یا تعلیق نیست؛ زیرا اعمال یک حق معتبر، خود در چارچوب رابطه حقوقی قرار دارد. در مقابل، وجود استثناهای محدود، اختیار آزاد برای کنار گذاشتن تعهد ایجاد نمی‌کند. هر استناد باید با شرایط ماهوی و آیینی نهاد مربوط سنجیده شود و آثار متفاوت خاتمه، تعلیق و رفع وصف متخلفانه محفوظ بماند.</w:t>
      </w:r>
    </w:p>
    <w:p>
      <w:pPr>
        <w:pStyle w:val="TH-Band"/>
        <w:keepNext w:val="1"/>
        <w:keepLines w:val="1"/>
        <w:widowControl w:val="1"/>
        <w:bidi w:val="1"/>
        <w:spacing w:before="240" w:after="100" w:line="300" w:lineRule="auto"/>
        <w:ind w:firstLine="0"/>
        <w:jc w:val="start"/>
      </w:pPr>
      <w:bookmarkStart w:id="41" w:name="_Toc000041"/>
      <w:r>
        <w:rPr>
          <w:rFonts w:ascii="B Nazanin" w:hAnsi="B Nazanin" w:cs="B Nazanin" w:eastAsia="B Nazanin"/>
          <w:b w:val="1"/>
          <w:bCs w:val="1"/>
          <w:i w:val="0"/>
          <w:color w:val="243B53"/>
          <w:sz w:val="29"/>
          <w:szCs w:val="29"/>
          <w:rtl w:val="1"/>
          <w:lang w:val="fa-IR" w:bidi="fa-IR"/>
        </w:rPr>
        <w:t xml:space="preserve">بند سوم: ماده ۲۷؛ تفکیک حقوق داخلی و تعهد خارجی</w:t>
      </w:r>
      <w:bookmarkEnd w:id="4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ماده ۲۷، حدود قابلیت استناد به حقوق داخلی را در برابر تعهد معاهده‌ای روشن می‌کند. متن ماده، همراه با قید پایانی آن، چنین ترجمه می‌شود:</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 xml:space="preserve">هیچ طرفی نمی‌تواند به مقررات حقوق داخلی خود برای توجیه عدم اجرای معاهده استناد کند. این قاعده به ماده ۴۶ لطمه نمی‌زند.</w:t>
      </w:r>
      <w:r>
        <w:rPr>
          <w:rFonts w:ascii="B Nazanin" w:hAnsi="B Nazanin" w:cs="B Nazanin" w:eastAsia="B Nazanin"/>
          <w:b w:val="0"/>
          <w:bCs w:val="0"/>
          <w:i w:val="0"/>
          <w:color w:val="202A35"/>
          <w:sz w:val="20"/>
          <w:szCs w:val="20"/>
          <w:vertAlign w:val="superscript"/>
          <w:rtl w:val="1"/>
          <w:lang w:val="ar-SA" w:bidi="ar-SA"/>
        </w:rPr>
        <w:footnoteReference w:id="19"/>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نتیجه ماده آن است که مجوزی صرفاً داخلی، از جمله حکم حکومتی یا قاعده قانون اساسی، به‌خودی‌خود دفاع معتبر بین‌المللی نیست. ماده ۴۶ مسئله متفاوتی را بررسی می‌کند: عیب رضایت در مرحله انعقاد، هنگامی که نقض قاعده داخلیِ دارای اهمیت بنیادین درباره صلاحیت، آشکار باشد. «آشکار بودن» نیز معیار عینی دارد. این ماده مجوز عام عدم اجرای معاهده معتبر به استناد تغییر قانون داخلی نیست.</w:t>
      </w:r>
      <w:r>
        <w:rPr>
          <w:rFonts w:ascii="B Nazanin" w:hAnsi="B Nazanin" w:cs="B Nazanin" w:eastAsia="B Nazanin"/>
          <w:b w:val="0"/>
          <w:bCs w:val="0"/>
          <w:i w:val="0"/>
          <w:sz w:val="20"/>
          <w:szCs w:val="20"/>
          <w:vertAlign w:val="superscript"/>
          <w:rtl w:val="1"/>
          <w:lang w:val="fa-IR" w:bidi="fa-IR"/>
        </w:rPr>
        <w:footnoteReference w:id="20"/>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ازاین‌رو، باید میان اعتبار تصمیم در داخل و قابلیت استناد آن در خارج تفکیک کرد. البته حقوق داخلی در برخی مسائل، مانند شناسایی ارکان یا حدود نمایندگی، ممکن است به‌موجب قواعد بین‌المللی مرتبط باشد؛ پس تفکیک به معنای بی‌اهمیتی مطلق آن نیست. نکته اصلی، فقدان ملازمه میان مشروعیت داخلیِ اقدام و رفع مسئولیت خارجی آن است.</w:t>
      </w:r>
    </w:p>
    <w:p>
      <w:pPr>
        <w:pStyle w:val="TH-Goftar"/>
        <w:keepNext w:val="1"/>
        <w:keepLines w:val="1"/>
        <w:widowControl w:val="1"/>
        <w:shd w:val="clear" w:fill="F0F3F6"/>
        <w:bidi w:val="1"/>
        <w:spacing w:before="240" w:after="180" w:line="300" w:lineRule="auto"/>
        <w:ind w:firstLine="0"/>
        <w:jc w:val="start"/>
      </w:pPr>
      <w:bookmarkStart w:id="42" w:name="_Toc000042"/>
      <w:r>
        <w:rPr>
          <w:rFonts w:ascii="B Nazanin" w:hAnsi="B Nazanin" w:cs="B Nazanin" w:eastAsia="B Nazanin"/>
          <w:b w:val="1"/>
          <w:bCs w:val="1"/>
          <w:i w:val="0"/>
          <w:color w:val="243B53"/>
          <w:sz w:val="32"/>
          <w:szCs w:val="32"/>
          <w:rtl w:val="1"/>
          <w:lang w:val="fa-IR" w:bidi="fa-IR"/>
        </w:rPr>
        <w:t>گفتار دوم: سازوکارهای تعلیق و خاتمه موجه</w:t>
      </w:r>
      <w:bookmarkEnd w:id="42"/>
    </w:p>
    <w:p>
      <w:pPr>
        <w:pStyle w:val="TH-Band"/>
        <w:keepNext w:val="1"/>
        <w:keepLines w:val="1"/>
        <w:widowControl w:val="1"/>
        <w:bidi w:val="1"/>
        <w:spacing w:before="240" w:after="100" w:line="300" w:lineRule="auto"/>
        <w:ind w:firstLine="0"/>
        <w:jc w:val="start"/>
      </w:pPr>
      <w:bookmarkStart w:id="43" w:name="_Toc000043"/>
      <w:r>
        <w:rPr>
          <w:rFonts w:ascii="B Nazanin" w:hAnsi="B Nazanin" w:cs="B Nazanin" w:eastAsia="B Nazanin"/>
          <w:b w:val="1"/>
          <w:bCs w:val="1"/>
          <w:i w:val="0"/>
          <w:color w:val="243B53"/>
          <w:sz w:val="29"/>
          <w:szCs w:val="29"/>
          <w:rtl w:val="1"/>
          <w:lang w:val="fa-IR" w:bidi="fa-IR"/>
        </w:rPr>
        <w:t>بند اول: منطق کلی؛ خاتمه فقط از مجرای قانون</w:t>
      </w:r>
      <w:bookmarkEnd w:id="4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قاعده عام ماده ۴۲، پایان یا تعلیق معاهده را به مقررات خود معاهده یا کنوانسیون پیوند می‌دهد. مواد ۵۴ و ۵۷، شرط قراردادی و رضایت طرف‌های لازم را بیان می‌کنند؛ مواد دیگر، فروضی مانند خروج از معاهده ساکت با شرایط ماده ۵۶، نقض اساسی، عدم امکان اجرا و تغییر بنیادین اوضاع را تنظیم می‌کنند. این قواعد را باید با قلمرو اجرای کنوانسیون، قواعد مستقل عرفی و مسائل محفوظ در ماده ۷۳ خواند؛ بیان انحصار مطلق، بدون این قیود، دقیق نیست.</w:t>
      </w:r>
      <w:r>
        <w:rPr>
          <w:rFonts w:ascii="B Nazanin" w:hAnsi="B Nazanin" w:cs="B Nazanin" w:eastAsia="B Nazanin"/>
          <w:b w:val="0"/>
          <w:bCs w:val="0"/>
          <w:i w:val="0"/>
          <w:sz w:val="20"/>
          <w:szCs w:val="20"/>
          <w:vertAlign w:val="superscript"/>
          <w:rtl w:val="1"/>
          <w:lang w:val="fa-IR" w:bidi="fa-IR"/>
        </w:rPr>
        <w:footnoteReference w:id="2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ادامه، مهم‌ترین مسیرهای مرتبط با موضوع رساله بررسی می‌شوند. فهرست حاضر گزینشی است و جای بررسی کامل متن معاهده، قواعد خاص آن و همه مقررات قابل اعمال را نمی‌گیرد.</w:t>
      </w:r>
    </w:p>
    <w:p>
      <w:pPr>
        <w:pStyle w:val="TH-Band"/>
        <w:keepNext w:val="1"/>
        <w:keepLines w:val="1"/>
        <w:widowControl w:val="1"/>
        <w:bidi w:val="1"/>
        <w:spacing w:before="240" w:after="100" w:line="300" w:lineRule="auto"/>
        <w:ind w:firstLine="0"/>
        <w:jc w:val="start"/>
      </w:pPr>
      <w:bookmarkStart w:id="44" w:name="_Toc000044"/>
      <w:r>
        <w:rPr>
          <w:rFonts w:ascii="B Nazanin" w:hAnsi="B Nazanin" w:cs="B Nazanin" w:eastAsia="B Nazanin"/>
          <w:b w:val="1"/>
          <w:bCs w:val="1"/>
          <w:i w:val="0"/>
          <w:color w:val="243B53"/>
          <w:sz w:val="29"/>
          <w:szCs w:val="29"/>
          <w:rtl w:val="1"/>
          <w:lang w:val="fa-IR" w:bidi="fa-IR"/>
        </w:rPr>
        <w:t>بند دوم: توافق اطراف و حق مندرج در متن</w:t>
      </w:r>
      <w:bookmarkEnd w:id="4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نخستین مسیر، استفاده از مقررات خود معاهده یا توافق معتبر طرف‌هاست؛ مانند خاتمه در پایان مدت، خروج با اطلاع قبلی، بازنگری یا تعلیق توافقی. ماده ۵۹ نیز تحت شرایط خاص، آثار معاهده بعدی را بر معاهده پیشین بیان می‌کند. پیش‌بینی این سازوکارها در مذاکره می‌تواند انعطاف حقوقی ایجاد کند، اما امکان پذیرش آن‌ها به موضوع سند و توافق طرف‌ها وابسته است؛ نبود شرط خروج، به‌تنهایی نشانه قصور مذاکره‌کننده نیست.</w:t>
      </w:r>
      <w:r>
        <w:rPr>
          <w:rFonts w:ascii="B Nazanin" w:hAnsi="B Nazanin" w:cs="B Nazanin" w:eastAsia="B Nazanin"/>
          <w:b w:val="0"/>
          <w:bCs w:val="0"/>
          <w:i w:val="0"/>
          <w:sz w:val="20"/>
          <w:szCs w:val="20"/>
          <w:vertAlign w:val="superscript"/>
          <w:rtl w:val="1"/>
          <w:lang w:val="fa-IR" w:bidi="fa-IR"/>
        </w:rPr>
        <w:footnoteReference w:id="22"/>
      </w:r>
    </w:p>
    <w:p>
      <w:pPr>
        <w:pStyle w:val="TH-Band"/>
        <w:keepNext w:val="1"/>
        <w:keepLines w:val="1"/>
        <w:widowControl w:val="1"/>
        <w:bidi w:val="1"/>
        <w:spacing w:before="240" w:after="100" w:line="300" w:lineRule="auto"/>
        <w:ind w:firstLine="0"/>
        <w:jc w:val="start"/>
      </w:pPr>
      <w:bookmarkStart w:id="45" w:name="_Toc000045"/>
      <w:r>
        <w:rPr>
          <w:rFonts w:ascii="B Nazanin" w:hAnsi="B Nazanin" w:cs="B Nazanin" w:eastAsia="B Nazanin"/>
          <w:b w:val="1"/>
          <w:bCs w:val="1"/>
          <w:i w:val="0"/>
          <w:color w:val="243B53"/>
          <w:sz w:val="29"/>
          <w:szCs w:val="29"/>
          <w:rtl w:val="1"/>
          <w:lang w:val="fa-IR" w:bidi="fa-IR"/>
        </w:rPr>
        <w:t>بند سوم: نقض اساسی طرف مقابل</w:t>
      </w:r>
      <w:bookmarkEnd w:id="4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ماده ۶۰، «نقض اساسی» را شامل رد نامجاز معاهده یا نقض مقرره‌ای اساسی برای تحقق موضوع و هدف آن می‌داند. در معاهده دوجانبه، طرف دیگر می‌تواند با احراز شرایط، به نقض برای خاتمه یا تعلیق استناد کند؛ در معاهده چندجانبه، آثار به موقعیت طرف زیان‌دیده و شروط بند ۲ وابسته است.</w:t>
      </w:r>
      <w:r>
        <w:rPr>
          <w:rFonts w:ascii="B Nazanin" w:hAnsi="B Nazanin" w:cs="B Nazanin" w:eastAsia="B Nazanin"/>
          <w:b w:val="0"/>
          <w:bCs w:val="0"/>
          <w:i w:val="0"/>
          <w:sz w:val="20"/>
          <w:szCs w:val="20"/>
          <w:vertAlign w:val="superscript"/>
          <w:rtl w:val="1"/>
          <w:lang w:val="fa-IR" w:bidi="fa-IR"/>
        </w:rPr>
        <w:footnoteReference w:id="23"/>
      </w:r>
      <w:r>
        <w:rPr>
          <w:rFonts w:ascii="B Nazanin" w:hAnsi="B Nazanin" w:cs="B Nazanin" w:eastAsia="B Nazanin"/>
          <w:b w:val="0"/>
          <w:bCs w:val="0"/>
          <w:i w:val="0"/>
          <w:sz w:val="28"/>
          <w:szCs w:val="28"/>
          <w:rtl w:val="1"/>
          <w:lang w:val="fa-IR" w:bidi="fa-IR"/>
        </w:rPr>
        <w:t xml:space="preserve"> بنابراین، هر تخلف جزئی مجوز پایان کل رابطه نیست. مقایسه با آیه توبه/۷، صرفاً مقایسه‌ای تحلیلی است.</w:t>
      </w:r>
      <w:r>
        <w:rPr>
          <w:rFonts w:ascii="B Nazanin" w:hAnsi="B Nazanin" w:cs="B Nazanin" w:eastAsia="B Nazanin"/>
          <w:b w:val="0"/>
          <w:bCs w:val="0"/>
          <w:i w:val="0"/>
          <w:sz w:val="20"/>
          <w:szCs w:val="20"/>
          <w:vertAlign w:val="superscript"/>
          <w:rtl w:val="1"/>
          <w:lang w:val="fa-IR" w:bidi="fa-IR"/>
        </w:rPr>
        <w:footnoteReference w:id="24"/>
      </w:r>
      <w:r>
        <w:rPr>
          <w:rFonts w:ascii="B Nazanin" w:hAnsi="B Nazanin" w:cs="B Nazanin" w:eastAsia="B Nazanin"/>
          <w:b w:val="0"/>
          <w:bCs w:val="0"/>
          <w:i w:val="0"/>
          <w:sz w:val="28"/>
          <w:szCs w:val="28"/>
          <w:rtl w:val="1"/>
          <w:lang w:val="fa-IR" w:bidi="fa-IR"/>
        </w:rPr>
        <w:t xml:space="preserve"> افزون بر تشریفات قابل اعمال، استثنای حمایت‌های بشردوستانه در بند ۵ ماده ۶۰ باید رعایت شود؛ قواعد اقدام متقابل نیز نباید با این ماده یکسان انگاشته شوند.</w:t>
      </w:r>
      <w:r>
        <w:rPr>
          <w:rFonts w:ascii="B Nazanin" w:hAnsi="B Nazanin" w:cs="B Nazanin" w:eastAsia="B Nazanin"/>
          <w:b w:val="0"/>
          <w:bCs w:val="0"/>
          <w:i w:val="0"/>
          <w:sz w:val="20"/>
          <w:szCs w:val="20"/>
          <w:vertAlign w:val="superscript"/>
          <w:rtl w:val="1"/>
          <w:lang w:val="fa-IR" w:bidi="fa-IR"/>
        </w:rPr>
        <w:footnoteReference w:id="25"/>
      </w:r>
    </w:p>
    <w:p>
      <w:pPr>
        <w:pStyle w:val="TH-Band"/>
        <w:keepNext w:val="1"/>
        <w:keepLines w:val="1"/>
        <w:widowControl w:val="1"/>
        <w:bidi w:val="1"/>
        <w:spacing w:before="240" w:after="100" w:line="300" w:lineRule="auto"/>
        <w:ind w:firstLine="0"/>
        <w:jc w:val="start"/>
      </w:pPr>
      <w:bookmarkStart w:id="46" w:name="_Toc000046"/>
      <w:r>
        <w:rPr>
          <w:rFonts w:ascii="B Nazanin" w:hAnsi="B Nazanin" w:cs="B Nazanin" w:eastAsia="B Nazanin"/>
          <w:b w:val="1"/>
          <w:bCs w:val="1"/>
          <w:i w:val="0"/>
          <w:color w:val="243B53"/>
          <w:sz w:val="29"/>
          <w:szCs w:val="29"/>
          <w:rtl w:val="1"/>
          <w:lang w:val="fa-IR" w:bidi="fa-IR"/>
        </w:rPr>
        <w:t>بند چهارم: تغییر بنیادین اوضاع</w:t>
      </w:r>
      <w:bookmarkEnd w:id="4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ماده ۶۲ با بیانی استثنایی، استناد به تغییر بنیادین اوضاع را محدود می‌کند: اوضاع پیشین باید مبنای اساسی رضایت بوده باشد؛ تغییر پیش‌بینی نشده باشد؛ و دامنه تعهدات باقی‌مانده را به‌طور اساسی دگرگون کند. درباره معاهده مرزی یا تغییری که ناشی از نقض تعهد توسط دولت مستند است، منع خاص وجود دارد.</w:t>
      </w:r>
      <w:r>
        <w:rPr>
          <w:rFonts w:ascii="B Nazanin" w:hAnsi="B Nazanin" w:cs="B Nazanin" w:eastAsia="B Nazanin"/>
          <w:b w:val="0"/>
          <w:bCs w:val="0"/>
          <w:i w:val="0"/>
          <w:sz w:val="20"/>
          <w:szCs w:val="20"/>
          <w:vertAlign w:val="superscript"/>
          <w:rtl w:val="1"/>
          <w:lang w:val="fa-IR" w:bidi="fa-IR"/>
        </w:rPr>
        <w:footnoteReference w:id="26"/>
      </w:r>
      <w:r>
        <w:rPr>
          <w:rFonts w:ascii="B Nazanin" w:hAnsi="B Nazanin" w:cs="B Nazanin" w:eastAsia="B Nazanin"/>
          <w:b w:val="0"/>
          <w:bCs w:val="0"/>
          <w:i w:val="0"/>
          <w:sz w:val="28"/>
          <w:szCs w:val="28"/>
          <w:rtl w:val="1"/>
          <w:lang w:val="fa-IR" w:bidi="fa-IR"/>
        </w:rPr>
        <w:t xml:space="preserve"> رأی گابچیکوو ـ ناگیماروش بر سخت‌گیرانه بودن این ارزیابی تأکید می‌کند؛ افزایش هزینه یا تغییر سیاسی، بدون احراز مجموع شرایط، کافی نیست.</w:t>
      </w:r>
      <w:r>
        <w:rPr>
          <w:rFonts w:ascii="B Nazanin" w:hAnsi="B Nazanin" w:cs="B Nazanin" w:eastAsia="B Nazanin"/>
          <w:b w:val="0"/>
          <w:bCs w:val="0"/>
          <w:i w:val="0"/>
          <w:sz w:val="20"/>
          <w:szCs w:val="20"/>
          <w:vertAlign w:val="superscript"/>
          <w:rtl w:val="1"/>
          <w:lang w:val="fa-IR" w:bidi="fa-IR"/>
        </w:rPr>
        <w:footnoteReference w:id="2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تغییر بنیادین اوضاع و تزاحم فقهی ممکن است در یک واقعه هم‌زمان مطرح شوند، اما معیارهای آن‌ها متفاوت است. ماده ۶۲ بر مبنای رضایت، پیش‌بینی‌ناپذیری و دگرگونی تعهدات باقی‌مانده متمرکز است؛ تزاحم بر اعتبار دو تکلیف و ناتوانی از جمع در امتثال. از تحقق یکی، تحقق دیگری به‌طور ضروری نتیجه نمی‌شود. بنابراین، ادعای نسبت منطقی ثابت یا تقدم همیشگی آستانه یکی بر دیگری، به استدلالی فراتر از مشابهت کارکردی نیاز دارد.</w:t>
      </w:r>
    </w:p>
    <w:p>
      <w:pPr>
        <w:pStyle w:val="TH-Band"/>
        <w:keepNext w:val="1"/>
        <w:keepLines w:val="1"/>
        <w:widowControl w:val="1"/>
        <w:bidi w:val="1"/>
        <w:spacing w:before="240" w:after="100" w:line="300" w:lineRule="auto"/>
        <w:ind w:firstLine="0"/>
        <w:jc w:val="start"/>
      </w:pPr>
      <w:bookmarkStart w:id="47" w:name="_Toc000047"/>
      <w:r>
        <w:rPr>
          <w:rFonts w:ascii="B Nazanin" w:hAnsi="B Nazanin" w:cs="B Nazanin" w:eastAsia="B Nazanin"/>
          <w:b w:val="1"/>
          <w:bCs w:val="1"/>
          <w:i w:val="0"/>
          <w:color w:val="243B53"/>
          <w:sz w:val="29"/>
          <w:szCs w:val="29"/>
          <w:rtl w:val="1"/>
          <w:lang w:val="fa-IR" w:bidi="fa-IR"/>
        </w:rPr>
        <w:t>بند پنجم: عدم امکان اجرا و آیین ادعا</w:t>
      </w:r>
      <w:bookmarkEnd w:id="4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ماده ۶۱، عدم امکان اجرا را به از بین رفتن یا نابودی موضوعی ضروری برای اجرای معاهده پیوند می‌دهد؛ اگر مانع موقت باشد، فقط استناد برای تعلیق مطرح است و نقش تخلف دولت مستند نیز باید بررسی شود. آیین مواد ۶۵ تا ۶۸، موضوعی جداست: ادعا و دلایل اقدام باید اعلام شود؛ در حالت عادی، مهلت پس از دریافت اخطار نباید کمتر از سه ماه باشد و فوریت خاص استثناست. در صورت اعتراض، مسیر حل مسالمت‌آمیز اختلاف مطرح می‌شود. اخطار یا سند پیش از اثرگذاری قابل استرداد است؛ رعایت شکل، به‌تنهایی نقص مبنای ماهوی را جبران نمی‌کند.</w:t>
      </w:r>
      <w:r>
        <w:rPr>
          <w:rFonts w:ascii="B Nazanin" w:hAnsi="B Nazanin" w:cs="B Nazanin" w:eastAsia="B Nazanin"/>
          <w:b w:val="0"/>
          <w:bCs w:val="0"/>
          <w:i w:val="0"/>
          <w:sz w:val="20"/>
          <w:szCs w:val="20"/>
          <w:vertAlign w:val="superscript"/>
          <w:rtl w:val="1"/>
          <w:lang w:val="fa-IR" w:bidi="fa-IR"/>
        </w:rPr>
        <w:footnoteReference w:id="28"/>
      </w:r>
    </w:p>
    <w:p>
      <w:pPr>
        <w:pStyle w:val="TH-Band"/>
        <w:keepNext w:val="1"/>
        <w:keepLines w:val="1"/>
        <w:widowControl w:val="1"/>
        <w:bidi w:val="1"/>
        <w:spacing w:before="240" w:after="100" w:line="300" w:lineRule="auto"/>
        <w:ind w:firstLine="0"/>
        <w:jc w:val="start"/>
      </w:pPr>
      <w:bookmarkStart w:id="48" w:name="_Toc000048"/>
      <w:r>
        <w:rPr>
          <w:rFonts w:ascii="B Nazanin" w:hAnsi="B Nazanin" w:cs="B Nazanin" w:eastAsia="B Nazanin"/>
          <w:b w:val="1"/>
          <w:bCs w:val="1"/>
          <w:i w:val="0"/>
          <w:color w:val="243B53"/>
          <w:sz w:val="29"/>
          <w:szCs w:val="29"/>
          <w:rtl w:val="1"/>
          <w:lang w:val="fa-IR" w:bidi="fa-IR"/>
        </w:rPr>
        <w:t>بند ششم: حق شرط و اعلامیه تفسیری؛ انعطافِ هنگامِ پذیرش</w:t>
      </w:r>
      <w:bookmarkEnd w:id="4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حق شرط، اعلام یک‌جانبه دولت در هنگام امضا، تصویب، پذیرش، تأیید یا الحاق است که قصد حذف یا تعدیل اثر حقوقی بعضی مقررات را در اجرای آن‌ها نسبت به خود دارد. ماده ۱۹ سه محدودیت را مقرر می‌کند: ممنوعیت حق شرط در معاهده؛ اجازه صرفِ شرط‌های مشخص که شرط موردنظر میان آن‌ها نیست؛ یا ناسازگاری با موضوع و هدف معاهده. پذیرش، اعتراض و تأیید شرط هنگام تصویب نیز تابع مواد ۲۰ تا ۲۳ است. بنابراین، حق شرط اختیار نامحدود برای کاهش تعهد نیست.</w:t>
      </w:r>
      <w:r>
        <w:rPr>
          <w:rFonts w:ascii="B Nazanin" w:hAnsi="B Nazanin" w:cs="B Nazanin" w:eastAsia="B Nazanin"/>
          <w:b w:val="0"/>
          <w:bCs w:val="0"/>
          <w:i w:val="0"/>
          <w:sz w:val="20"/>
          <w:szCs w:val="20"/>
          <w:vertAlign w:val="superscript"/>
          <w:rtl w:val="1"/>
          <w:lang w:val="fa-IR" w:bidi="fa-IR"/>
        </w:rPr>
        <w:footnoteReference w:id="29"/>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فایده پیشگیرانه حق شرط، روشن کردن حدود رضایت دولت در زمان پذیرش است. ارزیابی آن باید پیش از التزام انجام شود و آثار شرط نامعتبر یا اعتراض دولت‌ها نیز بررسی گردد. در معاهدات دوجانبه، پیشنهاد تغییر مفاد معمولاً بخشی از مذاکره بر متن است، نه همان نظام حق شرط چندجانبه. برای تصمیم‌گیر، پرسش درست این است که آیا شرط موردنظر مجاز، روشن و از حیث حقوقی مؤثر است؛ نه صرفاً این‌که چه مقدار از تعهد می‌توان کاست.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اعلامیه تفسیری، بیان برداشت دولت از معنا یا قلمرو یک مقرره است. چنین اعلامیه‌ای، به‌تنهایی تفسیر الزام‌آور برای دیگر طرف‌ها یا مرجع رسیدگی ایجاد نمی‌کند. ماهیت آن نیز از اثر موردنظر شناخته می‌شود؛ اگر در واقع برای حذف یا تعدیل تعهد تنظیم شده باشد، عنوان اعلامیه مانع ارزیابی آن به‌عنوان حق شرط نیست. ثبت دقیق موضع تفسیری مفید است، اما اعتبار و وزن آن به قواعد تفسیر و واکنش دیگر طرف‌ها وابسته خواهد بود.</w:t>
      </w:r>
    </w:p>
    <w:p>
      <w:pPr>
        <w:pStyle w:val="TH-Goftar"/>
        <w:keepNext w:val="1"/>
        <w:keepLines w:val="1"/>
        <w:widowControl w:val="1"/>
        <w:shd w:val="clear" w:fill="F0F3F6"/>
        <w:bidi w:val="1"/>
        <w:spacing w:before="240" w:after="180" w:line="300" w:lineRule="auto"/>
        <w:ind w:firstLine="0"/>
        <w:jc w:val="start"/>
      </w:pPr>
      <w:bookmarkStart w:id="49" w:name="_Toc000049"/>
      <w:r>
        <w:rPr>
          <w:rFonts w:ascii="B Nazanin" w:hAnsi="B Nazanin" w:cs="B Nazanin" w:eastAsia="B Nazanin"/>
          <w:b w:val="1"/>
          <w:bCs w:val="1"/>
          <w:i w:val="0"/>
          <w:color w:val="243B53"/>
          <w:sz w:val="32"/>
          <w:szCs w:val="32"/>
          <w:rtl w:val="1"/>
          <w:lang w:val="fa-IR" w:bidi="fa-IR"/>
        </w:rPr>
        <w:t>گفتار سوم: قواعد تفسیر معاهدات؛ فهم متن پیش از عمل</w:t>
      </w:r>
      <w:bookmarkEnd w:id="49"/>
    </w:p>
    <w:p>
      <w:pPr>
        <w:pStyle w:val="TH-Band"/>
        <w:keepNext w:val="1"/>
        <w:keepLines w:val="1"/>
        <w:widowControl w:val="1"/>
        <w:bidi w:val="1"/>
        <w:spacing w:before="240" w:after="100" w:line="300" w:lineRule="auto"/>
        <w:ind w:firstLine="0"/>
        <w:jc w:val="start"/>
      </w:pPr>
      <w:bookmarkStart w:id="50" w:name="_Toc000050"/>
      <w:r>
        <w:rPr>
          <w:rFonts w:ascii="B Nazanin" w:hAnsi="B Nazanin" w:cs="B Nazanin" w:eastAsia="B Nazanin"/>
          <w:b w:val="1"/>
          <w:bCs w:val="1"/>
          <w:i w:val="0"/>
          <w:color w:val="243B53"/>
          <w:sz w:val="29"/>
          <w:szCs w:val="29"/>
          <w:rtl w:val="1"/>
          <w:lang w:val="fa-IR" w:bidi="fa-IR"/>
        </w:rPr>
        <w:t>بند اول: قاعده عام تفسیر؛ متن، سیاق، هدف</w:t>
      </w:r>
      <w:bookmarkEnd w:id="5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پیش از داوری درباره اجرا یا نقض، باید محتوای تعهد تفسیر شود. مطابق ماده ۳۱، معاهده با حسن نیت، بر اساس معنای متعارف الفاظ در سیاق و در پرتو موضوع و هدف آن تفسیر می‌شود. این عناصر، اجزای یک فرایند واحدند؛ نباید یکی را به‌گونه‌ای به کار برد که دیگر عناصر بی‌اثر شوند. متن، مقدمه، ضمایم و اسناد مرتبطِ واجد شرایط، در تعیین سیاق اهمیت دارند.</w:t>
      </w:r>
      <w:r>
        <w:rPr>
          <w:rFonts w:ascii="B Nazanin" w:hAnsi="B Nazanin" w:cs="B Nazanin" w:eastAsia="B Nazanin"/>
          <w:b w:val="0"/>
          <w:bCs w:val="0"/>
          <w:i w:val="0"/>
          <w:sz w:val="20"/>
          <w:szCs w:val="20"/>
          <w:vertAlign w:val="superscript"/>
          <w:rtl w:val="1"/>
          <w:lang w:val="fa-IR" w:bidi="fa-IR"/>
        </w:rPr>
        <w:footnoteReference w:id="30"/>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برای مسئله رساله، تفسیر دو کارکرد دارد: نخست، تعیین این‌که تعهد واقعاً چه رفتاری را لازم می‌داند؛ دوم، روشن کردن دامنه حقوق خروج، بازنگری یا انعطاف مندرج. چه‌بسا اختلاف با تفسیر صحیح حل شود و اساساً به عدم اجرا نینجامد. بااین‌حال، اعلامیه یک‌طرفه یا تأویل مصلحت‌محور، جانشین تفسیر مطابق ماده ۳۱ نیست و نمی‌توان با تغییر نام رفتار، نقض را منتفی دانست.</w:t>
      </w:r>
    </w:p>
    <w:p>
      <w:pPr>
        <w:pStyle w:val="TH-Band"/>
        <w:keepNext w:val="1"/>
        <w:keepLines w:val="1"/>
        <w:widowControl w:val="1"/>
        <w:bidi w:val="1"/>
        <w:spacing w:before="240" w:after="100" w:line="300" w:lineRule="auto"/>
        <w:ind w:firstLine="0"/>
        <w:jc w:val="start"/>
      </w:pPr>
      <w:bookmarkStart w:id="51" w:name="_Toc000051"/>
      <w:r>
        <w:rPr>
          <w:rFonts w:ascii="B Nazanin" w:hAnsi="B Nazanin" w:cs="B Nazanin" w:eastAsia="B Nazanin"/>
          <w:b w:val="1"/>
          <w:bCs w:val="1"/>
          <w:i w:val="0"/>
          <w:color w:val="243B53"/>
          <w:sz w:val="29"/>
          <w:szCs w:val="29"/>
          <w:rtl w:val="1"/>
          <w:lang w:val="fa-IR" w:bidi="fa-IR"/>
        </w:rPr>
        <w:t>بند دوم: نقش سوابق انعقاد و رفتار بعدی</w:t>
      </w:r>
      <w:bookmarkEnd w:id="5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ماده ۳۲، سوابق تهیه معاهده و اوضاع انعقاد را از وسایل تکمیلی تفسیر می‌شمارد؛ این وسایل برای تأیید معنای حاصل از ماده ۳۱ یا رفع ابهام، تیرگی یا نتیجه آشکارا نامعقول به کار می‌روند. در مقابل، توافق بعدی و رویه بعدیِ احرازکننده توافق طرف‌ها، در بند ۳ ماده ۳۱ آمده‌اند، نه در ماده ۳۲. هر رفتار یک‌جانبه، خودبه‌خود تفسیر مشترک یا مانع دائمی تغییر موضع نیست؛ وزن آن باید در زمینه حقوقی مربوط سنجیده شود.</w:t>
      </w:r>
      <w:r>
        <w:rPr>
          <w:rFonts w:ascii="B Nazanin" w:hAnsi="B Nazanin" w:cs="B Nazanin" w:eastAsia="B Nazanin"/>
          <w:b w:val="0"/>
          <w:bCs w:val="0"/>
          <w:i w:val="0"/>
          <w:sz w:val="20"/>
          <w:szCs w:val="20"/>
          <w:vertAlign w:val="superscript"/>
          <w:rtl w:val="1"/>
          <w:lang w:val="fa-IR" w:bidi="fa-IR"/>
        </w:rPr>
        <w:footnoteReference w:id="31"/>
      </w:r>
    </w:p>
    <w:p>
      <w:pPr>
        <w:pStyle w:val="TH-Goftar"/>
        <w:keepNext w:val="1"/>
        <w:keepLines w:val="1"/>
        <w:widowControl w:val="1"/>
        <w:shd w:val="clear" w:fill="F0F3F6"/>
        <w:bidi w:val="1"/>
        <w:spacing w:before="240" w:after="180" w:line="300" w:lineRule="auto"/>
        <w:ind w:firstLine="0"/>
        <w:jc w:val="start"/>
      </w:pPr>
      <w:bookmarkStart w:id="52" w:name="_Toc000052"/>
      <w:r>
        <w:rPr>
          <w:rFonts w:ascii="B Nazanin" w:hAnsi="B Nazanin" w:cs="B Nazanin" w:eastAsia="B Nazanin"/>
          <w:b w:val="1"/>
          <w:bCs w:val="1"/>
          <w:i w:val="0"/>
          <w:color w:val="243B53"/>
          <w:sz w:val="32"/>
          <w:szCs w:val="32"/>
          <w:rtl w:val="1"/>
          <w:lang w:val="fa-IR" w:bidi="fa-IR"/>
        </w:rPr>
        <w:t>گفتار چهارم: اعتبار معاهدات؛ اهلیت، رضایت و عیوب اراده</w:t>
      </w:r>
      <w:bookmarkEnd w:id="52"/>
    </w:p>
    <w:p>
      <w:pPr>
        <w:pStyle w:val="TH-Band"/>
        <w:keepNext w:val="1"/>
        <w:keepLines w:val="1"/>
        <w:widowControl w:val="1"/>
        <w:bidi w:val="1"/>
        <w:spacing w:before="240" w:after="100" w:line="300" w:lineRule="auto"/>
        <w:ind w:firstLine="0"/>
        <w:jc w:val="start"/>
      </w:pPr>
      <w:bookmarkStart w:id="53" w:name="_Toc000053"/>
      <w:r>
        <w:rPr>
          <w:rFonts w:ascii="B Nazanin" w:hAnsi="B Nazanin" w:cs="B Nazanin" w:eastAsia="B Nazanin"/>
          <w:b w:val="1"/>
          <w:bCs w:val="1"/>
          <w:i w:val="0"/>
          <w:color w:val="243B53"/>
          <w:sz w:val="29"/>
          <w:szCs w:val="29"/>
          <w:rtl w:val="1"/>
          <w:lang w:val="fa-IR" w:bidi="fa-IR"/>
        </w:rPr>
        <w:t>بند اول: شرایط اعتبار؛ چرا بحث اعتبار به مسئله ما مربوط است؟</w:t>
      </w:r>
      <w:bookmarkEnd w:id="5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بررسی اعتبار معاهده، از بررسی عدول از تعهد معتبر جداست. ممکن است دولتی به عیب رضایت یا تعارض سند با قاعده آمره استناد کند؛ در این صورت، موضوع و آثار ادعا متفاوت خواهد بود. این بررسی باید بر دلیل واقعی استوار باشد، نه جست‌وجوی صوری برای رهایی از تعهد نامطلوب. اعلام بی‌اعتباری نه الزاماً کم‌هزینه‌تر است و نه صرف ادعا، اثر حقوقی موردنظر را ایجاد 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تحلیل اعتبار، باید اهلیت دولت، نمایندگی شخص، چگونگی ابراز رضایت و اسباب بی‌اعتباری را تفکیک کرد. اهلیت و نمایندگی عمدتاً در مواد ۶ تا ۸ و اسباب بی‌اعتباری در مواد ۴۶ تا ۵۳ بررسی می‌شوند. آثار این اسباب یکسان نیست و محدودیت‌هایی مانند اسقاط حق استناد یا قابلیت تفکیک مقررات نیز ممکن است مطرح باشند.</w:t>
      </w:r>
    </w:p>
    <w:p>
      <w:pPr>
        <w:pStyle w:val="TH-Band"/>
        <w:keepNext w:val="1"/>
        <w:keepLines w:val="1"/>
        <w:widowControl w:val="1"/>
        <w:bidi w:val="1"/>
        <w:spacing w:before="240" w:after="100" w:line="300" w:lineRule="auto"/>
        <w:ind w:firstLine="0"/>
        <w:jc w:val="start"/>
      </w:pPr>
      <w:bookmarkStart w:id="54" w:name="_Toc000054"/>
      <w:r>
        <w:rPr>
          <w:rFonts w:ascii="B Nazanin" w:hAnsi="B Nazanin" w:cs="B Nazanin" w:eastAsia="B Nazanin"/>
          <w:b w:val="1"/>
          <w:bCs w:val="1"/>
          <w:i w:val="0"/>
          <w:color w:val="243B53"/>
          <w:sz w:val="29"/>
          <w:szCs w:val="29"/>
          <w:rtl w:val="1"/>
          <w:lang w:val="fa-IR" w:bidi="fa-IR"/>
        </w:rPr>
        <w:t>بند دوم: اهلیت و صلاحیت انعقاد</w:t>
      </w:r>
      <w:bookmarkEnd w:id="5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ماده ۶ اهلیت دولت برای انعقاد معاهده را می‌پذیرد و ماده ۷ قواعد بین‌المللی نمایندگی و اختیارنامه را بیان می‌کند؛ بنابراین، صلاحیت نماینده صرفاً تابع حقوق داخلی توصیف نمی‌شود. در ایران، اصول ۷۷ و ۱۲۵ درباره تصویب و امضا اهمیت دارند، اما امضای متن همیشه همان رضایت نهایی به التزام نیست. تخلف داخلی نیز فقط با شرایط محدود ماده ۴۶ در بی‌اعتباری رضایت قابل استناد است. رعایت مراحل داخلی باید پیش از ایجاد تعهد احراز شود؛ نه آن‌که نقص احتمالی آن، دفاعی تضمین‌شده برای آینده فرض گردد.</w:t>
      </w:r>
      <w:r>
        <w:rPr>
          <w:rFonts w:ascii="B Nazanin" w:hAnsi="B Nazanin" w:cs="B Nazanin" w:eastAsia="B Nazanin"/>
          <w:b w:val="0"/>
          <w:bCs w:val="0"/>
          <w:i w:val="0"/>
          <w:sz w:val="20"/>
          <w:szCs w:val="20"/>
          <w:vertAlign w:val="superscript"/>
          <w:rtl w:val="1"/>
          <w:lang w:val="fa-IR" w:bidi="fa-IR"/>
        </w:rPr>
        <w:footnoteReference w:id="32"/>
      </w:r>
    </w:p>
    <w:p>
      <w:pPr>
        <w:pStyle w:val="TH-Band"/>
        <w:keepNext w:val="1"/>
        <w:keepLines w:val="1"/>
        <w:widowControl w:val="1"/>
        <w:bidi w:val="1"/>
        <w:spacing w:before="240" w:after="100" w:line="300" w:lineRule="auto"/>
        <w:ind w:firstLine="0"/>
        <w:jc w:val="start"/>
      </w:pPr>
      <w:bookmarkStart w:id="55" w:name="_Toc000055"/>
      <w:r>
        <w:rPr>
          <w:rFonts w:ascii="B Nazanin" w:hAnsi="B Nazanin" w:cs="B Nazanin" w:eastAsia="B Nazanin"/>
          <w:b w:val="1"/>
          <w:bCs w:val="1"/>
          <w:i w:val="0"/>
          <w:color w:val="243B53"/>
          <w:sz w:val="29"/>
          <w:szCs w:val="29"/>
          <w:rtl w:val="1"/>
          <w:lang w:val="fa-IR" w:bidi="fa-IR"/>
        </w:rPr>
        <w:t>بند سوم: عیوب اراده؛ اشتباه، فریب و اجبار</w:t>
      </w:r>
      <w:bookmarkEnd w:id="5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مواد ۴۸ تا ۵۲ به اشتباه، تقلب، فساد نماینده و اجبار نماینده یا دولت می‌پردازند. ماده ۵۳، متفاوت از عیب اراده، تعارض با قاعده آمره در زمان انعقاد را موجب بطلان می‌داند. در هر مورد، شرایط خاص ماده و آثار آن باید جداگانه بررسی شود؛ جمع کردن همه این اسباب زیر عنوان عیوب رضایت، تمایز میان مبنای ارادی و ممنوعیت ماهوی را مخدوش می‌کند.</w:t>
      </w:r>
      <w:r>
        <w:rPr>
          <w:rFonts w:ascii="B Nazanin" w:hAnsi="B Nazanin" w:cs="B Nazanin" w:eastAsia="B Nazanin"/>
          <w:b w:val="0"/>
          <w:bCs w:val="0"/>
          <w:i w:val="0"/>
          <w:sz w:val="20"/>
          <w:szCs w:val="20"/>
          <w:vertAlign w:val="superscript"/>
          <w:rtl w:val="1"/>
          <w:lang w:val="fa-IR" w:bidi="fa-IR"/>
        </w:rPr>
        <w:footnoteReference w:id="3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 اساس ماده ۵۲، معاهده‌ای که انعقادش با تهدید یا استعمال زورِ مخالف اصول منشور تحصیل شده باشد باطل است؛ هر فشار سیاسی یا اقتصادی، بی‌نیاز از تحلیل، مصداق این ماده نیست. همچنین نمی‌توان مقررات وین را به‌طور مستقیم بر پیمان‌های سده نوزدهم اعمال کرد؛ اصل عدم عطف‌به‌ماسبق و حقوق قابل اعمال در زمان انعقاد باید لحاظ شود. ماده ۵۳ نیز ناظر به تعارض با قاعده آمره موجود در زمان انعقاد است؛ پیدایش قاعده آمره جدید، موضوع متمایز ماده ۶۴ خواهد بود.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نتیجه عملی آن است که ادعای بی‌اعتباری باید با عنوان دقیق، دلیل، تاریخ مؤثر و آیین مناسب مطرح شود. مقام تصمیم‌گیر نباید تصور کند اثبات زیان سیاسی یا نابرابری قدرت، به‌تنهایی برای بطلان کافی است. تفاوت میان نقض رضایت، عدم امکان اجرا و نامطلوب شدن نتیجه پیمان، در تعیین دفاع حقوقی اساسی است.</w:t>
      </w:r>
    </w:p>
    <w:p>
      <w:pPr>
        <w:pStyle w:val="TH-Band"/>
        <w:keepNext w:val="1"/>
        <w:keepLines w:val="1"/>
        <w:widowControl w:val="1"/>
        <w:bidi w:val="1"/>
        <w:spacing w:before="240" w:after="100" w:line="300" w:lineRule="auto"/>
        <w:ind w:firstLine="0"/>
        <w:jc w:val="start"/>
      </w:pPr>
      <w:bookmarkStart w:id="56" w:name="_Toc000056"/>
      <w:r>
        <w:rPr>
          <w:rFonts w:ascii="B Nazanin" w:hAnsi="B Nazanin" w:cs="B Nazanin" w:eastAsia="B Nazanin"/>
          <w:b w:val="1"/>
          <w:bCs w:val="1"/>
          <w:i w:val="0"/>
          <w:color w:val="243B53"/>
          <w:sz w:val="29"/>
          <w:szCs w:val="29"/>
          <w:rtl w:val="1"/>
          <w:lang w:val="fa-IR" w:bidi="fa-IR"/>
        </w:rPr>
        <w:t>بند چهارم: ثبت معاهدات و اثر آن</w:t>
      </w:r>
      <w:bookmarkEnd w:id="5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ماده ۱۰۲ منشور، ثبت و انتشار معاهدات و موافقت‌نامه‌های بین‌المللیِ منعقدشده توسط اعضای سازمان ملل پس از لازم‌الاجرا شدن منشور را مقرر می‌کند. طرف معاهده ثبت‌نشده نمی‌تواند آن را نزد ارکان سازمان مورد استناد قرار دهد. این تکلیف را باید از شرایط ماهوی اعتبار و لازم‌الاجرا شدن سند جدا دانست.</w:t>
      </w:r>
      <w:r>
        <w:rPr>
          <w:rFonts w:ascii="B Nazanin" w:hAnsi="B Nazanin" w:cs="B Nazanin" w:eastAsia="B Nazanin"/>
          <w:b w:val="0"/>
          <w:bCs w:val="0"/>
          <w:i w:val="0"/>
          <w:sz w:val="20"/>
          <w:szCs w:val="20"/>
          <w:vertAlign w:val="superscript"/>
          <w:rtl w:val="1"/>
          <w:lang w:val="fa-IR" w:bidi="fa-IR"/>
        </w:rPr>
        <w:footnoteReference w:id="34"/>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ثبت نشدن، به‌خودی‌خود معاهده را باطل نمی‌کند؛ اثر مقرر ماده ۱۰۲ به استناد نزد ارکان سازمان مربوط است. ثبت معاهده نیز با ابلاغ اخطار خروج یا تعلیق یکی نیست. امین سند ممکن است دبیرکل یا نهاد دیگری باشد؛ در معاهدات فاقد امین نیز ابلاغ تابع قواعد مربوط است. بنابراین، الزام عام به ثبت هر تصمیم عدول نزد دبیرکل را نمی‌توان از این ماده استخراج کرد.</w:t>
      </w:r>
    </w:p>
    <w:p>
      <w:pPr>
        <w:pStyle w:val="TH-Goftar"/>
        <w:keepNext w:val="1"/>
        <w:keepLines w:val="1"/>
        <w:widowControl w:val="1"/>
        <w:shd w:val="clear" w:fill="F0F3F6"/>
        <w:bidi w:val="1"/>
        <w:spacing w:before="240" w:after="180" w:line="300" w:lineRule="auto"/>
        <w:ind w:firstLine="0"/>
        <w:jc w:val="start"/>
      </w:pPr>
      <w:bookmarkStart w:id="57" w:name="_Toc000057"/>
      <w:r>
        <w:rPr>
          <w:rFonts w:ascii="B Nazanin" w:hAnsi="B Nazanin" w:cs="B Nazanin" w:eastAsia="B Nazanin"/>
          <w:b w:val="1"/>
          <w:bCs w:val="1"/>
          <w:i w:val="0"/>
          <w:color w:val="243B53"/>
          <w:sz w:val="32"/>
          <w:szCs w:val="32"/>
          <w:rtl w:val="1"/>
          <w:lang w:val="fa-IR" w:bidi="fa-IR"/>
        </w:rPr>
        <w:t>گفتار پنجم: اصول قانون اساسی مرتبط</w:t>
      </w:r>
      <w:bookmarkEnd w:id="57"/>
    </w:p>
    <w:p>
      <w:pPr>
        <w:pStyle w:val="TH-Band"/>
        <w:keepNext w:val="1"/>
        <w:keepLines w:val="1"/>
        <w:widowControl w:val="1"/>
        <w:bidi w:val="1"/>
        <w:spacing w:before="240" w:after="100" w:line="300" w:lineRule="auto"/>
        <w:ind w:firstLine="0"/>
        <w:jc w:val="start"/>
      </w:pPr>
      <w:bookmarkStart w:id="58" w:name="_Toc000058"/>
      <w:r>
        <w:rPr>
          <w:rFonts w:ascii="B Nazanin" w:hAnsi="B Nazanin" w:cs="B Nazanin" w:eastAsia="B Nazanin"/>
          <w:b w:val="1"/>
          <w:bCs w:val="1"/>
          <w:i w:val="0"/>
          <w:color w:val="243B53"/>
          <w:sz w:val="29"/>
          <w:szCs w:val="29"/>
          <w:rtl w:val="1"/>
          <w:lang w:val="fa-IR" w:bidi="fa-IR"/>
        </w:rPr>
        <w:t>بند اول: اصل ۵؛ تثبیت مرجعیت</w:t>
      </w:r>
      <w:bookmarkEnd w:id="5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اصل ۵، جایگاه نهادی ولایت امر را در قانون اساسی بیان می‌کند:</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در زمان غیبت حضرت ولی‌عصر (عجل‌الله‌تعالی‌فرجه)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Fonts w:ascii="B Nazanin" w:hAnsi="B Nazanin" w:cs="B Nazanin" w:eastAsia="B Nazanin"/>
          <w:b w:val="0"/>
          <w:bCs w:val="0"/>
          <w:i w:val="0"/>
          <w:color w:val="202A35"/>
          <w:sz w:val="20"/>
          <w:szCs w:val="20"/>
          <w:vertAlign w:val="superscript"/>
          <w:rtl w:val="1"/>
          <w:lang w:val="ar-SA" w:bidi="ar-SA"/>
        </w:rPr>
        <w:footnoteReference w:id="35"/>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دلالت این اصل بر موضوع رساله، ناظر به شناسایی نهاد رهبری و شرایط پایه آن است. از اصل شناسایی مقام نمی‌توان همه صلاحیت‌های خاص را نتیجه گرفت؛ حدود اختیار باید با توجه به اصول دیگر و قواعد تفسیر تعیین شود. همچنین مبنای فقهی مشروعیت و جایگاه مثبت حقوقی یک نهاد، دو پرسش متمایزند که باید در تحلیل از هم جدا بمانند.</w:t>
      </w:r>
    </w:p>
    <w:p>
      <w:pPr>
        <w:pStyle w:val="TH-Band"/>
        <w:keepNext w:val="1"/>
        <w:keepLines w:val="1"/>
        <w:widowControl w:val="1"/>
        <w:bidi w:val="1"/>
        <w:spacing w:before="240" w:after="100" w:line="300" w:lineRule="auto"/>
        <w:ind w:firstLine="0"/>
        <w:jc w:val="start"/>
      </w:pPr>
      <w:bookmarkStart w:id="59" w:name="_Toc000059"/>
      <w:r>
        <w:rPr>
          <w:rFonts w:ascii="B Nazanin" w:hAnsi="B Nazanin" w:cs="B Nazanin" w:eastAsia="B Nazanin"/>
          <w:b w:val="1"/>
          <w:bCs w:val="1"/>
          <w:i w:val="0"/>
          <w:color w:val="243B53"/>
          <w:sz w:val="29"/>
          <w:szCs w:val="29"/>
          <w:rtl w:val="1"/>
          <w:lang w:val="fa-IR" w:bidi="fa-IR"/>
        </w:rPr>
        <w:t>بند دوم: اصل ۵۷؛ ولایت مطلقه و قید آن</w:t>
      </w:r>
      <w:bookmarkEnd w:id="5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اصل ۵۷ از مهم‌ترین متون مورد استناد در بحث نسبت ولایت و صلاحیت قواست:</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w:t>
      </w:r>
      <w:r>
        <w:rPr>
          <w:rFonts w:ascii="B Nazanin" w:hAnsi="B Nazanin" w:cs="B Nazanin" w:eastAsia="B Nazanin"/>
          <w:b w:val="0"/>
          <w:bCs w:val="0"/>
          <w:i w:val="0"/>
          <w:color w:val="202A35"/>
          <w:sz w:val="20"/>
          <w:szCs w:val="20"/>
          <w:vertAlign w:val="superscript"/>
          <w:rtl w:val="1"/>
          <w:lang w:val="ar-SA" w:bidi="ar-SA"/>
        </w:rPr>
        <w:footnoteReference w:id="36"/>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تفسیر اصل ۵۷، هم عبارت ولایت مطلقه و هم قید اعمال قوا بر طبق اصول قانون اساسی و استقلال آن‌ها باید دیده شود. دیدگاه‌های حقوقی در نحوه جمع این عناصر متفاوت‌اند. توصیف هر تفسیر موسع به اختیار نامحدود یا هر تفسیر مقید به تعطیل حکومت، منصفانه نیست. این اصل زمینه بحث را فراهم می‌کند، اما خود به‌صراحت، شیوه خروج از همه معاهدات یا کنار گذاشتن تصویب مجلس را تعیین نکرده است.</w:t>
      </w:r>
    </w:p>
    <w:p>
      <w:pPr>
        <w:pStyle w:val="TH-Band"/>
        <w:keepNext w:val="1"/>
        <w:keepLines w:val="1"/>
        <w:widowControl w:val="1"/>
        <w:bidi w:val="1"/>
        <w:spacing w:before="240" w:after="100" w:line="300" w:lineRule="auto"/>
        <w:ind w:firstLine="0"/>
        <w:jc w:val="start"/>
      </w:pPr>
      <w:bookmarkStart w:id="60" w:name="_Toc000060"/>
      <w:r>
        <w:rPr>
          <w:rFonts w:ascii="B Nazanin" w:hAnsi="B Nazanin" w:cs="B Nazanin" w:eastAsia="B Nazanin"/>
          <w:b w:val="1"/>
          <w:bCs w:val="1"/>
          <w:i w:val="0"/>
          <w:color w:val="243B53"/>
          <w:sz w:val="29"/>
          <w:szCs w:val="29"/>
          <w:rtl w:val="1"/>
          <w:lang w:val="fa-IR" w:bidi="fa-IR"/>
        </w:rPr>
        <w:t>بند سوم: اصول ۷۷ و ۱۲۵؛ ورود به التزام</w:t>
      </w:r>
      <w:bookmarkEnd w:id="6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اصل ۷۷، صلاحیت تصویب اسناد بین‌المللی مشمول را چنین مقرر می‌کند:</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عهدنامه‌ها، مقاوله‌نامه‌ها، قراردادها و موافقت‌نامه‌های بین‌المللی باید به تصویب مجلس شورای اسلامی برسد.</w:t>
      </w:r>
      <w:r>
        <w:rPr>
          <w:rFonts w:ascii="B Nazanin" w:hAnsi="B Nazanin" w:cs="B Nazanin" w:eastAsia="B Nazanin"/>
          <w:b w:val="0"/>
          <w:bCs w:val="0"/>
          <w:i w:val="0"/>
          <w:color w:val="202A35"/>
          <w:sz w:val="20"/>
          <w:szCs w:val="20"/>
          <w:vertAlign w:val="superscript"/>
          <w:rtl w:val="1"/>
          <w:lang w:val="ar-SA" w:bidi="ar-SA"/>
        </w:rPr>
        <w:footnoteReference w:id="3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۱۲۵ درباره امضای اسناد پس از تصویب مجلس بیان می‌دارد:</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رئیس‌جمهور یا نماینده قانونی اوست.</w:t>
      </w:r>
      <w:r>
        <w:rPr>
          <w:rFonts w:ascii="B Nazanin" w:hAnsi="B Nazanin" w:cs="B Nazanin" w:eastAsia="B Nazanin"/>
          <w:b w:val="0"/>
          <w:bCs w:val="0"/>
          <w:i w:val="0"/>
          <w:color w:val="202A35"/>
          <w:sz w:val="20"/>
          <w:szCs w:val="20"/>
          <w:vertAlign w:val="superscript"/>
          <w:rtl w:val="1"/>
          <w:lang w:val="ar-SA" w:bidi="ar-SA"/>
        </w:rPr>
        <w:footnoteReference w:id="38"/>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این دو اصل درباره خاتمه و خروج، حکم تفصیلی و مستقلی مقرر نکرده‌اند؛ اما این سکوت، دلیل اختیار نامحدود هیچ نهادی نیست. برای تشخیص مسیر داخلی باید متن قانون تصویب‌کننده، سایر مقررات، ماهیت اقدام و تفسیر معتبر اصول بررسی شود. فرض پایان خودکار مدت نیز با تصمیم به خروج زودهنگام متفاوت است. بنابراین، قاعده‌ای یگانه برای همه صورت‌های پایان التزام را نمی‌توان تنها از سکوت این اصول استخراج کرد.</w:t>
      </w:r>
    </w:p>
    <w:p>
      <w:pPr>
        <w:pStyle w:val="TH-Band"/>
        <w:keepNext w:val="1"/>
        <w:keepLines w:val="1"/>
        <w:widowControl w:val="1"/>
        <w:bidi w:val="1"/>
        <w:spacing w:before="240" w:after="100" w:line="300" w:lineRule="auto"/>
        <w:ind w:firstLine="0"/>
        <w:jc w:val="start"/>
      </w:pPr>
      <w:bookmarkStart w:id="61" w:name="_Toc000061"/>
      <w:r>
        <w:rPr>
          <w:rFonts w:ascii="B Nazanin" w:hAnsi="B Nazanin" w:cs="B Nazanin" w:eastAsia="B Nazanin"/>
          <w:b w:val="1"/>
          <w:bCs w:val="1"/>
          <w:i w:val="0"/>
          <w:color w:val="243B53"/>
          <w:sz w:val="29"/>
          <w:szCs w:val="29"/>
          <w:rtl w:val="1"/>
          <w:lang w:val="fa-IR" w:bidi="fa-IR"/>
        </w:rPr>
        <w:t>بند چهارم: اصول ۱۱۰ و ۱۱۲؛ اختیارات و مصلحت</w:t>
      </w:r>
      <w:bookmarkEnd w:id="6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اصل ۱۱۰ وظایف و اختیارات رهبری را برمی‌شمرد. برای این رساله، بندهای تعیین سیاست‌های کلی پس از مشورت با مجمع، نظارت بر اجرای آن‌ها، اعلان جنگ و صلح، تنظیم روابط قوا و حل معضلات حل‌ناشدنی از طرق عادی اهمیت دارند. در بند ۸، عبارت «از طریق مجمع تشخیص مصلحت نظام» جزء متن صلاحیت است و نباید از استدلال حذف شود. ذیل اصل نیز امکان تفویض بعضی وظایف و اختیارات را پیش‌بینی کرده است.</w:t>
      </w:r>
      <w:r>
        <w:rPr>
          <w:rFonts w:ascii="B Nazanin" w:hAnsi="B Nazanin" w:cs="B Nazanin" w:eastAsia="B Nazanin"/>
          <w:b w:val="0"/>
          <w:bCs w:val="0"/>
          <w:i w:val="0"/>
          <w:sz w:val="20"/>
          <w:szCs w:val="20"/>
          <w:vertAlign w:val="superscript"/>
          <w:rtl w:val="1"/>
          <w:lang w:val="fa-IR" w:bidi="fa-IR"/>
        </w:rPr>
        <w:footnoteReference w:id="39"/>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اصل ۱۱۰، اختیار عامی با عنوان «عدول از همه معاهدات بین‌المللی» تصریح نشده است. بااین‌حال، بند اعلان جنگ و صلح به بخشی از موضوعات پیمانی ارتباط دارد؛ پس نفی هرگونه ارتباط صریح اصل با روابط عهدی نیز دقیق نیست. پرسش اصلی، دامنه استنباط از صلاحیت‌های مقرر و نسبت آن با اصول ۷۷، ۱۲۵ و دیگر مجاری داخلی است. نتیجه این بررسی باید محدود و مستدل باشد، نه صرفاً مبتنی بر عنوان مصلحت.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۱۱۲ برای مجمع تشخیص، نقش‌های مشخصی مقرر می‌کند: حل اختلاف تقنینی در شرایط مذکور، مشاوره در امور ارجاعی و سایر وظایف قانونی. نمی‌توان همه این نقش‌ها را صرفاً کارشناسی غیرالزام‌آور توصیف کرد یا هر مصلحت‌سنجی درباره معاهده را الزاماً در صلاحیت مجمع دانست. در فرض استناد به بند ۸ اصل ۱۱۰، مجرای مجمع جزء سازوکار مقرر است؛ در دیگر فروض، مستند ورود آن باید مشخص شود.</w:t>
      </w:r>
      <w:r>
        <w:rPr>
          <w:rFonts w:ascii="B Nazanin" w:hAnsi="B Nazanin" w:cs="B Nazanin" w:eastAsia="B Nazanin"/>
          <w:b w:val="0"/>
          <w:bCs w:val="0"/>
          <w:i w:val="0"/>
          <w:sz w:val="20"/>
          <w:szCs w:val="20"/>
          <w:vertAlign w:val="superscript"/>
          <w:rtl w:val="1"/>
          <w:lang w:val="fa-IR" w:bidi="fa-IR"/>
        </w:rPr>
        <w:footnoteReference w:id="40"/>
      </w:r>
    </w:p>
    <w:p>
      <w:pPr>
        <w:pStyle w:val="TH-Band"/>
        <w:keepNext w:val="1"/>
        <w:keepLines w:val="1"/>
        <w:widowControl w:val="1"/>
        <w:bidi w:val="1"/>
        <w:spacing w:before="240" w:after="100" w:line="300" w:lineRule="auto"/>
        <w:ind w:firstLine="0"/>
        <w:jc w:val="start"/>
      </w:pPr>
      <w:bookmarkStart w:id="62" w:name="_Toc000062"/>
      <w:r>
        <w:rPr>
          <w:rFonts w:ascii="B Nazanin" w:hAnsi="B Nazanin" w:cs="B Nazanin" w:eastAsia="B Nazanin"/>
          <w:b w:val="1"/>
          <w:bCs w:val="1"/>
          <w:i w:val="0"/>
          <w:color w:val="243B53"/>
          <w:sz w:val="29"/>
          <w:szCs w:val="29"/>
          <w:rtl w:val="1"/>
          <w:lang w:val="fa-IR" w:bidi="fa-IR"/>
        </w:rPr>
        <w:t>بند پنجم: اصول ۱۵۲ تا ۱۵۴ و ۱۷۶؛ جهت‌گیری سیاست خارجی</w:t>
      </w:r>
      <w:bookmarkEnd w:id="62"/>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اصول ۱۵۲ تا ۱۵۴، جهت‌گیری‌های سیاست خارجی را بیان می‌کنند و اصل ۱۷۶، یکی از نهادهای مهم تصمیم‌گیری دفاعی و امنیتی را معرفی می‌کند. این اصول باید همراه با قواعد صلاحیت و تعهدات بین‌المللی بررسی شوند؛ نه به‌عنوان مجوزی مستقل و نامقید برای پایان هر رابطه معاهده‌ای.</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۱۵۲ بر نفی سلطه‌جویی و سلطه‌پذیری، استقلال، تمامیت ارضی و روابط صلح‌آمیز متقابل با دولت‌های غیرمحارب تأکید دارد. تعبیر «عدم تعهد در برابر قدرت‌های سلطه‌گر» را نمی‌توان بی‌استدلال به ممنوعیت هر توافق یا تعهد حقوقی با یک قدرت بزرگ تفسیر کرد. باید ماهیت رابطه و اثر سلطه‌آور آن احراز شود. این اصل در جهت‌گیری تصمیم مؤثر است، اما شیوه پایان تعهد و صلاحیت مقام را به‌تنهایی تعیین نمی‌کند.</w:t>
      </w:r>
      <w:r>
        <w:rPr>
          <w:rFonts w:ascii="B Nazanin" w:hAnsi="B Nazanin" w:cs="B Nazanin" w:eastAsia="B Nazanin"/>
          <w:b w:val="0"/>
          <w:bCs w:val="0"/>
          <w:i w:val="0"/>
          <w:sz w:val="20"/>
          <w:szCs w:val="20"/>
          <w:vertAlign w:val="superscript"/>
          <w:rtl w:val="1"/>
          <w:lang w:val="fa-IR" w:bidi="fa-IR"/>
        </w:rPr>
        <w:footnoteReference w:id="4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۱۵۳ قرارداد موجب سلطه بیگانه بر شئون کشور را ممنوع می‌کند. تشخیص چنین اثری، نیازمند بررسی دقیق موضوع و درجه نفوذ یا وابستگی است؛ هر همکاری یا محدودیت قراردادی، سلطه محسوب نمی‌شود. در صورت احراز ممنوعیت داخلی نیز نوع اقدام لازم ـ اصلاح، رفع اثر یا پایان رابطه ـ باید از مجرای معتبر تعیین شود. این اصل، به‌خودی‌خود در حقوق بین‌الملل موجب بطلان یا خاتمه معاهده نیست؛ شرایط بین‌المللی باید مستقل احراز شوند.</w:t>
      </w:r>
      <w:r>
        <w:rPr>
          <w:rFonts w:ascii="B Nazanin" w:hAnsi="B Nazanin" w:cs="B Nazanin" w:eastAsia="B Nazanin"/>
          <w:b w:val="0"/>
          <w:bCs w:val="0"/>
          <w:i w:val="0"/>
          <w:sz w:val="20"/>
          <w:szCs w:val="20"/>
          <w:vertAlign w:val="superscript"/>
          <w:rtl w:val="1"/>
          <w:lang w:val="fa-IR" w:bidi="fa-IR"/>
        </w:rPr>
        <w:footnoteReference w:id="42"/>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۱۵۴، حمایت از مبارزات حق‌طلبانه را همراه با خودداری کامل از دخالت در امور داخلی ملت‌های دیگر بیان می‌کند. تفسیر آن باید هر دو بخش را در نظر بگیرد. استناد به آرمان حمایت، بدون تعیین موضوع، حدود و دیگر الزامات، مجوز مستقلی برای نقض عهد ایجاد نمی‌کند؛ این اصل یکی از عناصر نظام‌مند ارزیابی سیاست خارجی است.</w:t>
      </w:r>
      <w:r>
        <w:rPr>
          <w:rFonts w:ascii="B Nazanin" w:hAnsi="B Nazanin" w:cs="B Nazanin" w:eastAsia="B Nazanin"/>
          <w:b w:val="0"/>
          <w:bCs w:val="0"/>
          <w:i w:val="0"/>
          <w:sz w:val="20"/>
          <w:szCs w:val="20"/>
          <w:vertAlign w:val="superscript"/>
          <w:rtl w:val="1"/>
          <w:lang w:val="fa-IR" w:bidi="fa-IR"/>
        </w:rPr>
        <w:footnoteReference w:id="4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۱۷۶ وظایف شورای عالی امنیت ملی را در تعیین سیاست‌های دفاعی و امنیتی در محدوده سیاست‌های کلی، هماهنگی فعالیت‌های مرتبط و بهره‌گیری از امکانات برای مقابله با تهدیدها بیان می‌کند؛ مصوبات شورا پس از تأیید رهبری قابل اجراست. ورود شورا به مسئله معاهده، به ارتباط آن با صلاحیت‌های مقرر وابسته است. بدون سند نمی‌توان گفت همه تصمیم‌های خروج از معاهده عملاً یا قانوناً از این مسیر می‌گذرند یا دیگر صلاحیت‌ها کنار می‌روند.</w:t>
      </w:r>
      <w:r>
        <w:rPr>
          <w:rFonts w:ascii="B Nazanin" w:hAnsi="B Nazanin" w:cs="B Nazanin" w:eastAsia="B Nazanin"/>
          <w:b w:val="0"/>
          <w:bCs w:val="0"/>
          <w:i w:val="0"/>
          <w:sz w:val="20"/>
          <w:szCs w:val="20"/>
          <w:vertAlign w:val="superscript"/>
          <w:rtl w:val="1"/>
          <w:lang w:val="fa-IR" w:bidi="fa-IR"/>
        </w:rPr>
        <w:footnoteReference w:id="44"/>
      </w:r>
    </w:p>
    <w:p>
      <w:pPr>
        <w:pStyle w:val="TH-Goftar"/>
        <w:keepNext w:val="1"/>
        <w:keepLines w:val="1"/>
        <w:widowControl w:val="1"/>
        <w:shd w:val="clear" w:fill="F0F3F6"/>
        <w:bidi w:val="1"/>
        <w:spacing w:before="240" w:after="180" w:line="300" w:lineRule="auto"/>
        <w:ind w:firstLine="0"/>
        <w:jc w:val="start"/>
      </w:pPr>
      <w:bookmarkStart w:id="63" w:name="_Toc000063"/>
      <w:r>
        <w:rPr>
          <w:rFonts w:ascii="B Nazanin" w:hAnsi="B Nazanin" w:cs="B Nazanin" w:eastAsia="B Nazanin"/>
          <w:b w:val="1"/>
          <w:bCs w:val="1"/>
          <w:i w:val="0"/>
          <w:color w:val="243B53"/>
          <w:sz w:val="32"/>
          <w:szCs w:val="32"/>
          <w:rtl w:val="1"/>
          <w:lang w:val="fa-IR" w:bidi="fa-IR"/>
        </w:rPr>
        <w:t>حاصل فصل دوم</w:t>
      </w:r>
      <w:bookmarkEnd w:id="6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حاصل فصل آن است که تعهد معتبر باید با حسن نیت اجرا شود و تغییر وضعیت آن، تابع مبنای ماهوی و آیین معتبر است. حقوق داخلی، مجوز عام عدم اجرای خارجی ایجاد نمی‌کند. در قانون اساسی ایران نیز نقش رهبری، مجلس، دولت، مجمع و شورای عالی امنیت ملی باید با توجه به صلاحیت مشخص هر یک تحلیل شود. این مقدمات نشان می‌دهد که استدلال فقهی درباره عدول، هرچند لازم، به‌تنهایی برای تعیین همه آثار و مجاری حقوقی کافی نیست.</w:t>
      </w:r>
    </w:p>
    <w:p>
      <w:r>
        <w:br w:type="page"/>
      </w:r>
    </w:p>
    <w:p/>
    <w:p/>
    <w:p/>
    <w:p>
      <w:pPr>
        <w:widowControl/>
        <w:pBdr>
          <w:bottom w:val="single" w:sz="12" w:space="6" w:color="1F3864"/>
        </w:pBdr>
        <w:bidi w:val="1"/>
        <w:spacing w:before="0" w:after="240" w:line="336" w:lineRule="auto"/>
        <w:ind w:right="2268" w:left="2268"/>
        <w:jc w:val="center"/>
      </w:pPr>
    </w:p>
    <w:p>
      <w:pPr>
        <w:pStyle w:val="TH-Bakhsh"/>
        <w:keepNext w:val="1"/>
        <w:keepLines w:val="1"/>
        <w:widowControl w:val="1"/>
        <w:bidi w:val="1"/>
        <w:spacing w:before="120" w:after="180" w:line="300" w:lineRule="auto"/>
        <w:ind w:firstLine="0"/>
        <w:jc w:val="center"/>
      </w:pPr>
      <w:bookmarkStart w:id="64" w:name="_Toc000064"/>
      <w:r>
        <w:rPr>
          <w:rFonts w:ascii="B Nazanin" w:hAnsi="B Nazanin" w:cs="B Nazanin" w:eastAsia="B Nazanin"/>
          <w:b w:val="1"/>
          <w:bCs w:val="1"/>
          <w:i w:val="0"/>
          <w:color w:val="243B53"/>
          <w:sz w:val="48"/>
          <w:szCs w:val="48"/>
          <w:rtl w:val="1"/>
          <w:lang w:val="fa-IR" w:bidi="fa-IR"/>
        </w:rPr>
        <w:t>بخش دوم: تحلیل فقهی مسئله</w:t>
      </w:r>
      <w:bookmarkEnd w:id="64"/>
    </w:p>
    <w:p>
      <w:pPr>
        <w:widowControl/>
        <w:pBdr>
          <w:bottom w:val="single" w:sz="12" w:space="6" w:color="1F3864"/>
        </w:pBdr>
        <w:bidi w:val="1"/>
        <w:spacing w:before="0" w:after="200" w:line="336" w:lineRule="auto"/>
        <w:ind w:right="2268" w:left="2268"/>
        <w:jc w:val="center"/>
      </w:pPr>
    </w:p>
    <w:p>
      <w:r>
        <w:br w:type="page"/>
      </w:r>
    </w:p>
    <w:p>
      <w:r>
        <w:br w:type="page"/>
      </w:r>
    </w:p>
    <w:p/>
    <w:p/>
    <w:p>
      <w:pPr>
        <w:pStyle w:val="TH-Fasl"/>
        <w:keepNext w:val="1"/>
        <w:keepLines w:val="1"/>
        <w:widowControl w:val="1"/>
        <w:pBdr>
          <w:top w:val="single" w:sz="8" w:space="8" w:color="243B53"/>
          <w:bottom w:val="single" w:sz="8" w:space="8" w:color="243B53"/>
        </w:pBdr>
        <w:bidi w:val="1"/>
        <w:spacing w:before="120" w:after="180" w:line="300" w:lineRule="auto"/>
        <w:ind w:firstLine="0"/>
        <w:jc w:val="center"/>
      </w:pPr>
      <w:bookmarkStart w:id="65" w:name="_Toc000065"/>
      <w:r>
        <w:rPr>
          <w:rFonts w:ascii="B Nazanin" w:hAnsi="B Nazanin" w:cs="B Nazanin" w:eastAsia="B Nazanin"/>
          <w:b w:val="1"/>
          <w:bCs w:val="1"/>
          <w:i w:val="0"/>
          <w:color w:val="243B53"/>
          <w:sz w:val="40"/>
          <w:szCs w:val="40"/>
          <w:rtl w:val="1"/>
          <w:lang w:val="fa-IR" w:bidi="fa-IR"/>
        </w:rPr>
        <w:t>فصل سوم: ادله وجوب وفای به عهد</w:t>
      </w:r>
      <w:bookmarkEnd w:id="6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بررسی استثنا، پیش از تبیین قاعده الزام، به استدلالی ناقص می‌انجامد. این فصل، ادله وفای به عهد را در آیات، روایات، سیره و استدلال عقلی بررسی می‌کند. مقصود آن است که هم قوت اصل وفا و هم حدود دلالت هر دلیل روشن شود. ادله یکسان نیستند: برخی مستقیماً ناظر به عهد سیاسی‌اند، برخی قواعد عام را بیان می‌کنند و برخی مؤید اخلاقی یا تاریخی‌اند. نتیجه باید متناسب با این تفاوت‌ها باشد و از تبدیل مجموعه‌ای از مؤیدات به ادعای اجماع یا قطع بی‌دلیل پرهیز شود.</w:t>
      </w:r>
    </w:p>
    <w:p>
      <w:pPr>
        <w:pStyle w:val="TH-Goftar"/>
        <w:keepNext w:val="1"/>
        <w:keepLines w:val="1"/>
        <w:widowControl w:val="1"/>
        <w:shd w:val="clear" w:fill="F0F3F6"/>
        <w:bidi w:val="1"/>
        <w:spacing w:before="240" w:after="180" w:line="300" w:lineRule="auto"/>
        <w:ind w:firstLine="0"/>
        <w:jc w:val="start"/>
      </w:pPr>
      <w:bookmarkStart w:id="66" w:name="_Toc000066"/>
      <w:r>
        <w:rPr>
          <w:rFonts w:ascii="B Nazanin" w:hAnsi="B Nazanin" w:cs="B Nazanin" w:eastAsia="B Nazanin"/>
          <w:b w:val="1"/>
          <w:bCs w:val="1"/>
          <w:i w:val="0"/>
          <w:color w:val="243B53"/>
          <w:sz w:val="32"/>
          <w:szCs w:val="32"/>
          <w:rtl w:val="1"/>
          <w:lang w:val="fa-IR" w:bidi="fa-IR"/>
        </w:rPr>
        <w:t>گفتار اول: آیات عام وجوب وفا</w:t>
      </w:r>
      <w:bookmarkEnd w:id="66"/>
    </w:p>
    <w:p>
      <w:pPr>
        <w:pStyle w:val="TH-Band"/>
        <w:keepNext w:val="1"/>
        <w:keepLines w:val="1"/>
        <w:widowControl w:val="1"/>
        <w:bidi w:val="1"/>
        <w:spacing w:before="240" w:after="100" w:line="300" w:lineRule="auto"/>
        <w:ind w:firstLine="0"/>
        <w:jc w:val="start"/>
      </w:pPr>
      <w:bookmarkStart w:id="67" w:name="_Toc000067"/>
      <w:r>
        <w:rPr>
          <w:rFonts w:ascii="B Nazanin" w:hAnsi="B Nazanin" w:cs="B Nazanin" w:eastAsia="B Nazanin"/>
          <w:b w:val="1"/>
          <w:bCs w:val="1"/>
          <w:i w:val="0"/>
          <w:color w:val="243B53"/>
          <w:sz w:val="29"/>
          <w:szCs w:val="29"/>
          <w:rtl w:val="1"/>
          <w:lang w:val="fa-IR" w:bidi="fa-IR"/>
        </w:rPr>
        <w:t xml:space="preserve">بند اول: آیه «أوفوا بالعقود»؛ دلیل عام وفا</w:t>
      </w:r>
      <w:bookmarkEnd w:id="67"/>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يَا أَيُّهَا الَّذِينَ آمَنُوا أَوْفُوا بِالْعُقُودِ</w:t>
      </w:r>
      <w:r>
        <w:rPr>
          <w:rFonts w:ascii="B Nazanin" w:hAnsi="B Nazanin" w:cs="B Nazanin" w:eastAsia="B Nazanin"/>
          <w:b w:val="0"/>
          <w:bCs w:val="0"/>
          <w:i w:val="0"/>
          <w:color w:val="202A35"/>
          <w:sz w:val="20"/>
          <w:szCs w:val="20"/>
          <w:vertAlign w:val="superscript"/>
          <w:rtl w:val="1"/>
          <w:lang w:val="ar-SA" w:bidi="ar-SA"/>
        </w:rPr>
        <w:footnoteReference w:id="45"/>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امر «أوفوا» ظهور در الزام دارد و «العقود» در تقریر مشهور اصولی، به‌سبب ساخت جمعِ معرفه، قابلیت دلالت عام دارد. بااین‌حال، مقصود، وفای به عقد معتبر است، نه اجرای هر توافقی حتی اگر موضوع آن ممنوع باشد. درباره شمول معاهدات حکومتی، می‌توان به گستردگی مفهوم عرفی عقد و نبود قرینه بر اختصاص آن به معاملات خصوصی استناد کرد. بررسی صلاحیت عاقد، اعتبار موضوع و ادله خاص عهدهای عمومی، مقدمات تکمیل این تطبیق‌اند.</w:t>
      </w:r>
      <w:r>
        <w:rPr>
          <w:rFonts w:ascii="B Nazanin" w:hAnsi="B Nazanin" w:cs="B Nazanin" w:eastAsia="B Nazanin"/>
          <w:b w:val="0"/>
          <w:bCs w:val="0"/>
          <w:i w:val="0"/>
          <w:sz w:val="20"/>
          <w:szCs w:val="20"/>
          <w:vertAlign w:val="superscript"/>
          <w:rtl w:val="1"/>
          <w:lang w:val="fa-IR" w:bidi="fa-IR"/>
        </w:rPr>
        <w:footnoteReference w:id="46"/>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اشکال محتمل آن است که خطاب آیه به مؤمنان است، حال آن‌که دولت شخصیت حقوقی دارد. پاسخ پیشنهادی این است که پیمان حکومتی از طریق اشخاصِ عهده‌دار صلاحیت عمومی انشا و اجرا می‌شود و تکلیف آنان نسبت به عهد معتبر قابل بررسی است. آیات خاص درباره پیمان با گروه‌های دیگر نیز شاهد مستقل مهمی‌اند. بااین‌حال، صرف توصیف دولت به مجموعه مکلفان، همه آثار شخصیت حقوقی یا استمرار تعهد را توضیح نمی‌دهد؛ این عناصر باید با مبنای نمایندگی عمومی تحلیل شوند.</w:t>
      </w:r>
    </w:p>
    <w:p>
      <w:pPr>
        <w:pStyle w:val="TH-Band"/>
        <w:keepNext w:val="1"/>
        <w:keepLines w:val="1"/>
        <w:widowControl w:val="1"/>
        <w:bidi w:val="1"/>
        <w:spacing w:before="240" w:after="100" w:line="300" w:lineRule="auto"/>
        <w:ind w:firstLine="0"/>
        <w:jc w:val="start"/>
      </w:pPr>
      <w:bookmarkStart w:id="68" w:name="_Toc000068"/>
      <w:r>
        <w:rPr>
          <w:rFonts w:ascii="B Nazanin" w:hAnsi="B Nazanin" w:cs="B Nazanin" w:eastAsia="B Nazanin"/>
          <w:b w:val="1"/>
          <w:bCs w:val="1"/>
          <w:i w:val="0"/>
          <w:color w:val="243B53"/>
          <w:sz w:val="29"/>
          <w:szCs w:val="29"/>
          <w:rtl w:val="1"/>
          <w:lang w:val="fa-IR" w:bidi="fa-IR"/>
        </w:rPr>
        <w:t>بند دوم: آیات نحل و اسراء و رعد و مؤمنون</w:t>
      </w:r>
      <w:bookmarkEnd w:id="6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دسته دوم، آیات ۹۱ و ۹۲ سوره نحل است که بر وفا و پرهیز از نقض پیمان مؤکد تأکید می‌کنند:</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وَأَوْفُوا بِعَهْدِ اللَّهِ إِذَا عَاهَدْتُمْ وَلَا تَنْقُضُوا الْأَيْمَانَ بَعْدَ تَوْکِیدِهَا… وَلَا تَکُونُوا کَالَّتِی نَقَضَتْ غَزْلَهَا مِنْ بَعْدِ قُوَّةٍ أَنْکَاثًا</w:t>
      </w:r>
      <w:r>
        <w:rPr>
          <w:rFonts w:ascii="B Nazanin" w:hAnsi="B Nazanin" w:cs="B Nazanin" w:eastAsia="B Nazanin"/>
          <w:b w:val="0"/>
          <w:bCs w:val="0"/>
          <w:i w:val="0"/>
          <w:color w:val="202A35"/>
          <w:sz w:val="20"/>
          <w:szCs w:val="20"/>
          <w:vertAlign w:val="superscript"/>
          <w:rtl w:val="1"/>
          <w:lang w:val="ar-SA" w:bidi="ar-SA"/>
        </w:rPr>
        <w:footnoteReference w:id="4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این آیات، امر به وفا، نهی از نقض سوگندهای مؤکد و تمثیل گسستن رشته تابیده در کنار یکدیگر قرار گرفته‌اند. همچنین تفاوت قدرت و فزونی یک گروه، در سیاق آیه ۹۲، توجیه نقض عهد معرفی نمی‌شود. این نکته برای بحث حاضر مهم است: مطلوب‌تر شدن موقعیت سیاسی یا منفعت کوتاه‌مدت، خودبه‌خود الزام ناشی از پیمان را از میان نمی‌برد. تعیین قلمرو دقیق «عهد الله» نیز باید با مراجعه به سیاق و اقوال تفسیری انجام شود.</w:t>
      </w:r>
      <w:r>
        <w:rPr>
          <w:rFonts w:ascii="B Nazanin" w:hAnsi="B Nazanin" w:cs="B Nazanin" w:eastAsia="B Nazanin"/>
          <w:b w:val="0"/>
          <w:bCs w:val="0"/>
          <w:i w:val="0"/>
          <w:sz w:val="20"/>
          <w:szCs w:val="20"/>
          <w:vertAlign w:val="superscript"/>
          <w:rtl w:val="1"/>
          <w:lang w:val="fa-IR" w:bidi="fa-IR"/>
        </w:rPr>
        <w:footnoteReference w:id="48"/>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دسته سوم، فرمان وفای به عهد در آیه ۳۴ سوره اسراء است:</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وَأَوْفُوا بِالْعَهْدِ إِنَّ الْعَهْدَ کَانَ مَسْئُولًا</w:t>
      </w:r>
      <w:r>
        <w:rPr>
          <w:rFonts w:ascii="B Nazanin" w:hAnsi="B Nazanin" w:cs="B Nazanin" w:eastAsia="B Nazanin"/>
          <w:b w:val="0"/>
          <w:bCs w:val="0"/>
          <w:i w:val="0"/>
          <w:color w:val="202A35"/>
          <w:sz w:val="20"/>
          <w:szCs w:val="20"/>
          <w:vertAlign w:val="superscript"/>
          <w:rtl w:val="1"/>
          <w:lang w:val="ar-SA" w:bidi="ar-SA"/>
        </w:rPr>
        <w:footnoteReference w:id="49"/>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ذیل آیه، مسئولیت نسبت به عهد را برجسته می‌کند. دلالت امر به وفا از تأکید بر بازخواست پشتیبانی می‌گیرد؛ اما از این تأکید نباید حکمی فراتر از موضوع و قیود عهد معتبر استخراج کرد. برای رساله، اهمیت آیه در آن است که پیمان را امری قابل مؤاخذه می‌شناساند، نه وعده‌ای که صرف تغییر ترجیحِ متعهد بتواند آن را بی‌اثر سازد.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دسته چهارم، آیات سوره رعد درباره وفای به عهد و نقض میثاق است؛ از جمله آیه ۲۰:</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الَّذِینَ یُوفُونَ بِعَهْدِ اللَّهِ وَلَا یَنْقُضُونَ الْمِیثَاقَ</w:t>
      </w:r>
      <w:r>
        <w:rPr>
          <w:rFonts w:ascii="B Nazanin" w:hAnsi="B Nazanin" w:cs="B Nazanin" w:eastAsia="B Nazanin"/>
          <w:b w:val="0"/>
          <w:bCs w:val="0"/>
          <w:i w:val="0"/>
          <w:color w:val="202A35"/>
          <w:sz w:val="20"/>
          <w:szCs w:val="20"/>
          <w:vertAlign w:val="superscript"/>
          <w:rtl w:val="1"/>
          <w:lang w:val="ar-SA" w:bidi="ar-SA"/>
        </w:rPr>
        <w:footnoteReference w:id="50"/>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آیه ۲۵ همین سوره، نقض عهد مؤکد در کنار رفتارهای نکوهیده قرار می‌گیرد. جمع میان مدح وفا و نکوهش نقض، جایگاه هنجاری پیمان را تقویت می‌کند. بااین‌حال، تعیین حکم تفصیلی یک معاهده یا شناسایی مجوز استثنایی، به بررسی دیگر ادله نیاز دارد؛ لحن اخلاقی شدید، به‌تنهایی همه شرایط حقوقی موضوع را تعیین نمی‌کند.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دسته پنجم، آیه ۸ مؤمنون و نظیر آن در آیه ۳۲ معارج است که رعایت امانت و عهد را از اوصاف مؤمنان می‌شمرد:</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وَالَّذِینَ هُمْ لِأَمَانَاتِهِمْ وَعَهْدِهِمْ رَاعُونَ</w:t>
      </w:r>
      <w:r>
        <w:rPr>
          <w:rFonts w:ascii="B Nazanin" w:hAnsi="B Nazanin" w:cs="B Nazanin" w:eastAsia="B Nazanin"/>
          <w:b w:val="0"/>
          <w:bCs w:val="0"/>
          <w:i w:val="0"/>
          <w:color w:val="202A35"/>
          <w:sz w:val="20"/>
          <w:szCs w:val="20"/>
          <w:vertAlign w:val="superscript"/>
          <w:rtl w:val="1"/>
          <w:lang w:val="ar-SA" w:bidi="ar-SA"/>
        </w:rPr>
        <w:footnoteReference w:id="5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این پنج دسته آیات، با صورت‌های متفاوتِ امر، نهی، مدح و نکوهش، پشتوانه‌ای مهم برای اصل وفای به عهد فراهم می‌کنند. قوت استدلال مجموعی، به معنای آن نیست که هر عبارت به‌تنهایی همان درجه دلالت فقهی را دارد. نتیجه قابل اتکا، اصل الزام به وفای به عهد معتبر است؛ مدعی خروج از آن باید دلیل متناسب با موضوع ارائه کند.</w:t>
      </w:r>
    </w:p>
    <w:p>
      <w:pPr>
        <w:pStyle w:val="TH-Band"/>
        <w:keepNext w:val="1"/>
        <w:keepLines w:val="1"/>
        <w:widowControl w:val="1"/>
        <w:bidi w:val="1"/>
        <w:spacing w:before="240" w:after="100" w:line="300" w:lineRule="auto"/>
        <w:ind w:firstLine="0"/>
        <w:jc w:val="start"/>
      </w:pPr>
      <w:bookmarkStart w:id="69" w:name="_Toc000069"/>
      <w:r>
        <w:rPr>
          <w:rFonts w:ascii="B Nazanin" w:hAnsi="B Nazanin" w:cs="B Nazanin" w:eastAsia="B Nazanin"/>
          <w:b w:val="1"/>
          <w:bCs w:val="1"/>
          <w:i w:val="0"/>
          <w:color w:val="243B53"/>
          <w:sz w:val="29"/>
          <w:szCs w:val="29"/>
          <w:rtl w:val="1"/>
          <w:lang w:val="fa-IR" w:bidi="fa-IR"/>
        </w:rPr>
        <w:t xml:space="preserve">بند سوم: عموم، اطلاق و جایگاه تزاحم</w:t>
      </w:r>
      <w:bookmarkEnd w:id="6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عموم ناظر به شمول افراد و اطلاق، در فرض تحقق مقدمات آن، ناظر به نبود قید در جهات مورد بیان است. دلالت «العقود» و «العهد» را نیز نباید بدون بررسی نحوی و سیاقی یکسان دانست. مهم‌تر آن‌که تزاحم، روش تقیید دلالت یا ادعای انصراف لفظی نیست؛ ممکن است دلیل وفا شامل مورد باشد، ولی در مقام امتثال، با تکلیف معتبر دیگری جمع‌پذیر نباشد. در این صورت، بحث ترجیح اهم مطرح می‌شود. ادعای «انصراف همه ادله به شرایط عادی»، بدون قرینه مستقل، جای این تحلیل را نمی‌گیرد.</w:t>
      </w:r>
    </w:p>
    <w:p>
      <w:pPr>
        <w:pStyle w:val="TH-Goftar"/>
        <w:keepNext w:val="1"/>
        <w:keepLines w:val="1"/>
        <w:widowControl w:val="1"/>
        <w:shd w:val="clear" w:fill="F0F3F6"/>
        <w:bidi w:val="1"/>
        <w:spacing w:before="240" w:after="180" w:line="300" w:lineRule="auto"/>
        <w:ind w:firstLine="0"/>
        <w:jc w:val="start"/>
      </w:pPr>
      <w:bookmarkStart w:id="70" w:name="_Toc000070"/>
      <w:r>
        <w:rPr>
          <w:rFonts w:ascii="B Nazanin" w:hAnsi="B Nazanin" w:cs="B Nazanin" w:eastAsia="B Nazanin"/>
          <w:b w:val="1"/>
          <w:bCs w:val="1"/>
          <w:i w:val="0"/>
          <w:color w:val="243B53"/>
          <w:sz w:val="32"/>
          <w:szCs w:val="32"/>
          <w:rtl w:val="1"/>
          <w:lang w:val="fa-IR" w:bidi="fa-IR"/>
        </w:rPr>
        <w:t>گفتار دوم: آیات خاص جهاد و عهدنامه‌ها</w:t>
      </w:r>
      <w:bookmarkEnd w:id="70"/>
    </w:p>
    <w:p>
      <w:pPr>
        <w:pStyle w:val="TH-Band"/>
        <w:keepNext w:val="1"/>
        <w:keepLines w:val="1"/>
        <w:widowControl w:val="1"/>
        <w:bidi w:val="1"/>
        <w:spacing w:before="240" w:after="100" w:line="300" w:lineRule="auto"/>
        <w:ind w:firstLine="0"/>
        <w:jc w:val="start"/>
      </w:pPr>
      <w:bookmarkStart w:id="71" w:name="_Toc000071"/>
      <w:r>
        <w:rPr>
          <w:rFonts w:ascii="B Nazanin" w:hAnsi="B Nazanin" w:cs="B Nazanin" w:eastAsia="B Nazanin"/>
          <w:b w:val="1"/>
          <w:bCs w:val="1"/>
          <w:i w:val="0"/>
          <w:color w:val="243B53"/>
          <w:sz w:val="29"/>
          <w:szCs w:val="29"/>
          <w:rtl w:val="1"/>
          <w:lang w:val="fa-IR" w:bidi="fa-IR"/>
        </w:rPr>
        <w:t>بند اول: آیات توبه؛ وفا در برابر استقامت</w:t>
      </w:r>
      <w:bookmarkEnd w:id="71"/>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إِلَّا الَّذِینَ عَاهَدْتُمْ مِنَ الْمُشْرِکِینَ ثُمَّ لَمْ یَنْقُصُوکُمْ شَیْئًا وَلَمْ یُظَاهِرُوا عَلَیْکُمْ أَحَدًا فَأَتِمُّوا إِلَیْهِمْ عَهْدَهُمْ إِلَی مُدَّتِهِمْ إِنَّ اللَّهَ یُحِبُّ الْمُتَّقِینَ</w:t>
      </w:r>
      <w:r>
        <w:rPr>
          <w:rFonts w:ascii="B Nazanin" w:hAnsi="B Nazanin" w:cs="B Nazanin" w:eastAsia="B Nazanin"/>
          <w:b w:val="0"/>
          <w:bCs w:val="0"/>
          <w:i w:val="0"/>
          <w:color w:val="202A35"/>
          <w:sz w:val="20"/>
          <w:szCs w:val="20"/>
          <w:vertAlign w:val="superscript"/>
          <w:rtl w:val="1"/>
          <w:lang w:val="ar-SA" w:bidi="ar-SA"/>
        </w:rPr>
        <w:footnoteReference w:id="52"/>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فَمَا اسْتَقَامُوا لَکُمْ فَاسْتَقِیمُوا لَهُمْ إِنَّ اللَّهَ یُحِبُّ الْمُتَّقِینَ</w:t>
      </w:r>
      <w:r>
        <w:rPr>
          <w:rFonts w:ascii="B Nazanin" w:hAnsi="B Nazanin" w:cs="B Nazanin" w:eastAsia="B Nazanin"/>
          <w:b w:val="0"/>
          <w:bCs w:val="0"/>
          <w:i w:val="0"/>
          <w:color w:val="202A35"/>
          <w:sz w:val="20"/>
          <w:szCs w:val="20"/>
          <w:vertAlign w:val="superscript"/>
          <w:rtl w:val="1"/>
          <w:lang w:val="ar-SA" w:bidi="ar-SA"/>
        </w:rPr>
        <w:footnoteReference w:id="5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آیه ۴ توبه، وفای به پیمان با مشرکانی را که از تعهد نکاستند و علیه مسلمانان همکاری نکردند، تا پایان مدت مقرر می‌خواهد. آیه ۷ نیز بر استقامت متقابل در عهد تأکید دارد. این متون برای عهدهای عمومی اهمیت مستقیم دارند. بااین‌حال، از وقوع هر تخلف نمی‌توان سقوط همه تعهدات را نتیجه گرفت؛ باید نوع پیمان، اهمیت تخلف، حقوق اشخاص غیرمرتکب و ادله محدودکننده بررسی شود. عنوان مشترک واکنش، مجوز نامحدود ایجاد نمی‌کند.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این آیات نشان می‌دهند که تفاوت دینی طرف پیمان، اصل وفا را منتفی نمی‌کند. همچنین قید پایان مدت، با ادعای پایان خودکار پیمان بر اثر هر تغییر مصلحت سازگار نیست. در نتیجه، استدلال به جواز عدول باید با این ظهورها مواجه شود و نشان دهد مورد ادعا از چه جهت، دارای مجوز خاص یا تزاحم احراز‌شده است.</w:t>
      </w:r>
    </w:p>
    <w:p>
      <w:pPr>
        <w:pStyle w:val="TH-Band"/>
        <w:keepNext w:val="1"/>
        <w:keepLines w:val="1"/>
        <w:widowControl w:val="1"/>
        <w:bidi w:val="1"/>
        <w:spacing w:before="240" w:after="100" w:line="300" w:lineRule="auto"/>
        <w:ind w:firstLine="0"/>
        <w:jc w:val="start"/>
      </w:pPr>
      <w:bookmarkStart w:id="72" w:name="_Toc000072"/>
      <w:r>
        <w:rPr>
          <w:rFonts w:ascii="B Nazanin" w:hAnsi="B Nazanin" w:cs="B Nazanin" w:eastAsia="B Nazanin"/>
          <w:b w:val="1"/>
          <w:bCs w:val="1"/>
          <w:i w:val="0"/>
          <w:color w:val="243B53"/>
          <w:sz w:val="29"/>
          <w:szCs w:val="29"/>
          <w:rtl w:val="1"/>
          <w:lang w:val="fa-IR" w:bidi="fa-IR"/>
        </w:rPr>
        <w:t>بند دوم: آیات انفال؛ انباذ و یاری مظلوم</w:t>
      </w:r>
      <w:bookmarkEnd w:id="72"/>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وَإِمَّا تَخَافَنَّ مِنْ قَوْمٍ خِیَانَةً فَانْبِذْ إِلَیْهِمْ عَلَی سَوَاءٍ إِنَّ اللَّهَ لَا یُحِبُّ الْخَائِنِینَ</w:t>
      </w:r>
      <w:r>
        <w:rPr>
          <w:rFonts w:ascii="B Nazanin" w:hAnsi="B Nazanin" w:cs="B Nazanin" w:eastAsia="B Nazanin"/>
          <w:b w:val="0"/>
          <w:bCs w:val="0"/>
          <w:i w:val="0"/>
          <w:color w:val="202A35"/>
          <w:sz w:val="20"/>
          <w:szCs w:val="20"/>
          <w:vertAlign w:val="superscript"/>
          <w:rtl w:val="1"/>
          <w:lang w:val="ar-SA" w:bidi="ar-SA"/>
        </w:rPr>
        <w:footnoteReference w:id="54"/>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آیه ۵۸ انفال، در فرض خوف خیانت، انباذ به‌گونه‌ای را مقرر می‌کند که طرف‌ها از پایان عهد آگاه باشند. استدلال به آن، نیازمند احراز موضوع و قرائن معتبر خوف است؛ سوءظن بدون مبنا یا صرف نامطلوب شدن نتیجه پیمان کافی نیست. دلالت آیه بر پرهیز از غدر، از ادعای جواز هر خروج مصلحتی متمایز است. همچنین ابلاغ معتبر به طرف پیمان را نباید الزاماً با انتشار همه جزئیات محرمانه نزد عموم یکسان دانست.</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وَإِنِ اسْتَنْصَرُوکُمْ فِی الدِّینِ فَعَلَیْکُمُ النَّصْرُ إِلَّا عَلَی قَوْمٍ بَیْنَکُمْ وَبَیْنَهُمْ مِیثَاقٌ</w:t>
      </w:r>
      <w:r>
        <w:rPr>
          <w:rFonts w:ascii="B Nazanin" w:hAnsi="B Nazanin" w:cs="B Nazanin" w:eastAsia="B Nazanin"/>
          <w:b w:val="0"/>
          <w:bCs w:val="0"/>
          <w:i w:val="0"/>
          <w:color w:val="202A35"/>
          <w:sz w:val="20"/>
          <w:szCs w:val="20"/>
          <w:vertAlign w:val="superscript"/>
          <w:rtl w:val="1"/>
          <w:lang w:val="ar-SA" w:bidi="ar-SA"/>
        </w:rPr>
        <w:footnoteReference w:id="55"/>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آیه ۷۲ انفال، در فرض وجود میثاق با گروهی، برای تکلیف یاری دینی قید مقرر می‌کند. این شاهد، مانع ساده‌سازی مسئله به برتری همیشگی هر مصلحت دینی بر پیمان است. مفاد آیه باید در استدلال فصل چهارم به‌عنوان قید جدی لحاظ شود: ادعای اهمیت تکلیف مقابل، محتاج دلیل است و نمی‌توان آن را تنها از عنوان حمایت یا حفظ مصلحت نتیجه گرفت.</w:t>
      </w:r>
    </w:p>
    <w:p>
      <w:pPr>
        <w:pStyle w:val="TH-Goftar"/>
        <w:keepNext w:val="1"/>
        <w:keepLines w:val="1"/>
        <w:widowControl w:val="1"/>
        <w:shd w:val="clear" w:fill="F0F3F6"/>
        <w:bidi w:val="1"/>
        <w:spacing w:before="240" w:after="180" w:line="300" w:lineRule="auto"/>
        <w:ind w:firstLine="0"/>
        <w:jc w:val="start"/>
      </w:pPr>
      <w:bookmarkStart w:id="73" w:name="_Toc000073"/>
      <w:r>
        <w:rPr>
          <w:rFonts w:ascii="B Nazanin" w:hAnsi="B Nazanin" w:cs="B Nazanin" w:eastAsia="B Nazanin"/>
          <w:b w:val="1"/>
          <w:bCs w:val="1"/>
          <w:i w:val="0"/>
          <w:color w:val="243B53"/>
          <w:sz w:val="32"/>
          <w:szCs w:val="32"/>
          <w:rtl w:val="1"/>
          <w:lang w:val="fa-IR" w:bidi="fa-IR"/>
        </w:rPr>
        <w:t>گفتار سوم: روایات وفای به عهد</w:t>
      </w:r>
      <w:bookmarkEnd w:id="73"/>
    </w:p>
    <w:p>
      <w:pPr>
        <w:pStyle w:val="TH-Band"/>
        <w:keepNext w:val="1"/>
        <w:keepLines w:val="1"/>
        <w:widowControl w:val="1"/>
        <w:bidi w:val="1"/>
        <w:spacing w:before="240" w:after="100" w:line="300" w:lineRule="auto"/>
        <w:ind w:firstLine="0"/>
        <w:jc w:val="start"/>
      </w:pPr>
      <w:bookmarkStart w:id="74" w:name="_Toc000074"/>
      <w:r>
        <w:rPr>
          <w:rFonts w:ascii="B Nazanin" w:hAnsi="B Nazanin" w:cs="B Nazanin" w:eastAsia="B Nazanin"/>
          <w:b w:val="1"/>
          <w:bCs w:val="1"/>
          <w:i w:val="0"/>
          <w:color w:val="243B53"/>
          <w:sz w:val="29"/>
          <w:szCs w:val="29"/>
          <w:rtl w:val="1"/>
          <w:lang w:val="fa-IR" w:bidi="fa-IR"/>
        </w:rPr>
        <w:t xml:space="preserve">بند اول: حدیث شروط؛ التزام در حدود مشروع</w:t>
      </w:r>
      <w:bookmarkEnd w:id="74"/>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 xml:space="preserve">الْمُسْلِمُونَ عِنْدَ شُرُوطِهِمْ إِلَّا كُلَّ شَرْطٍ خَالَفَ كِتَابَ اللَّهِ عَزَّ وَجَلَّ فَلَا يَجُوزُ.</w:t>
      </w:r>
      <w:r>
        <w:rPr>
          <w:rFonts w:ascii="B Nazanin" w:hAnsi="B Nazanin" w:cs="B Nazanin" w:eastAsia="B Nazanin"/>
          <w:b w:val="0"/>
          <w:bCs w:val="0"/>
          <w:i w:val="0"/>
          <w:color w:val="202A35"/>
          <w:sz w:val="20"/>
          <w:szCs w:val="20"/>
          <w:vertAlign w:val="superscript"/>
          <w:rtl w:val="1"/>
          <w:lang w:val="ar-SA" w:bidi="ar-SA"/>
        </w:rPr>
        <w:footnoteReference w:id="56"/>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روایت عبدالله بن سنان، وفای به شرط را همراه با استثنای مخالفت با کتاب خدا بیان می‌کند. در استدلال فقهی، مفاد جمله خبری می‌تواند ناظر به الزام باشد؛ بااین‌حال، دامنه «شرط»، نسبت آن با تعهد ابتدایی و امکان شمول عهد حکومتی، باید جداگانه بررسی شوند. توصیف معاهده به مجموعه‌ای از شرط‌ها، آغاز تحلیل است، نه پایان آن. تفاوت شرط نامشروع از آغاز، با تزاحم حادث در اجرای شرط معتبر نیز باید محفوظ بماند.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تعدد طرق یا شهرت متن، به‌تنهایی دلیل تمامیت همه اسناد نیست؛ جبران ضعف سند به عمل مشهور نیز مبنایی اختلافی و محتاج احراز است. در این رساله، متن و مأخذ روایت معرفی می‌شود، اما ارزیابی رجالی تفصیلی همه طرق ادعا نمی‌شود. درباره دلالت نیز شمول عهدهای عمومی باید مستدل باشد. اگر تزاحم معتبر رخ دهد، مسئله در مقام امتثال بررسی می‌شود؛ نه با حذف پیشینی آن موارد از اطلاق روایت، بدون قرینه.</w:t>
      </w:r>
      <w:r>
        <w:rPr>
          <w:rFonts w:ascii="B Nazanin" w:hAnsi="B Nazanin" w:cs="B Nazanin" w:eastAsia="B Nazanin"/>
          <w:b w:val="0"/>
          <w:bCs w:val="0"/>
          <w:i w:val="0"/>
          <w:sz w:val="20"/>
          <w:szCs w:val="20"/>
          <w:vertAlign w:val="superscript"/>
          <w:rtl w:val="1"/>
          <w:lang w:val="fa-IR" w:bidi="fa-IR"/>
        </w:rPr>
        <w:footnoteReference w:id="57"/>
      </w:r>
    </w:p>
    <w:p>
      <w:pPr>
        <w:pStyle w:val="TH-Band"/>
        <w:keepNext w:val="1"/>
        <w:keepLines w:val="1"/>
        <w:widowControl w:val="1"/>
        <w:bidi w:val="1"/>
        <w:spacing w:before="240" w:after="100" w:line="300" w:lineRule="auto"/>
        <w:ind w:firstLine="0"/>
        <w:jc w:val="start"/>
      </w:pPr>
      <w:bookmarkStart w:id="75" w:name="_Toc000075"/>
      <w:r>
        <w:rPr>
          <w:rFonts w:ascii="B Nazanin" w:hAnsi="B Nazanin" w:cs="B Nazanin" w:eastAsia="B Nazanin"/>
          <w:b w:val="1"/>
          <w:bCs w:val="1"/>
          <w:i w:val="0"/>
          <w:color w:val="243B53"/>
          <w:sz w:val="29"/>
          <w:szCs w:val="29"/>
          <w:rtl w:val="1"/>
          <w:lang w:val="fa-IR" w:bidi="fa-IR"/>
        </w:rPr>
        <w:t>بند دوم: عهدنامه مالک اشتر؛ منشور حکومتی</w:t>
      </w:r>
      <w:bookmarkEnd w:id="75"/>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وَإِنْ عَقَدْتَ بَیْنَکَ وَبَیْنَ عَدُوِّکَ عُقْدَةً أَوْ أَلْبَسْتَهُ مِنْکَ ذِمَّةً فَحُطْ عَهْدَکَ بِالْوَفَاءِ وَارْعَ ذِمَّتَکَ بِالْأَمَانَةِ وَاجْعَلْ نَفْسَکَ جُنَّةً دُونَ مَا أَعْطَیْتَ</w:t>
      </w:r>
      <w:r>
        <w:rPr>
          <w:rFonts w:ascii="B Nazanin" w:hAnsi="B Nazanin" w:cs="B Nazanin" w:eastAsia="B Nazanin"/>
          <w:b w:val="0"/>
          <w:bCs w:val="0"/>
          <w:i w:val="0"/>
          <w:color w:val="202A35"/>
          <w:sz w:val="20"/>
          <w:szCs w:val="20"/>
          <w:vertAlign w:val="superscript"/>
          <w:rtl w:val="1"/>
          <w:lang w:val="ar-SA" w:bidi="ar-SA"/>
        </w:rPr>
        <w:footnoteReference w:id="58"/>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نامه ۵۳ نهج‌البلاغه، مخاطب فرمان به وفا، کارگزار حکومت است؛ ازاین‌رو، فراز یادشده برای موضوع رساله اهمیت ویژه دارد. تأکید بر پاسداشت عهد و قرار دادن خود به‌منزله سپر تعهد، نشان می‌دهد که دشواری شخصی یا اداری، به‌تنهایی مجوز رهایی از پیمان نیست. در استفاده استنباطی، تحلیل دلالت متن از بحث سند نامه و مبنای اعتبار آن جداست؛ این دو مرحله نباید به‌سبب شهرت اثر، یکی فرض شوند.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خوانش مجموعی نامه باید فراز بازدارنده آن را نیز ببیند: «وَلَا يَدْعُوَنَّكَ ضِيقُ أَمْرٍ لَزِمَكَ فِيهِ عَهْدُ اللَّهِ إِلَى طَلَبِ انْفِسَاخِهِ بِغَيْرِ الْحَقِّ». این عبارت، صرف تنگنا را برای گسستن پیمان کافی نمی‌داند. بنابراین، استناد به تدبیر حکومتی در دیگر فرازها نمی‌تواند این قید را نادیده بگیرد. اگر جواز استثنایی ادعا شود، باید «حق» و مبنای آن مستقلاً اثبات گردد؛ نه آن‌که از توصیه عام به مصلحت‌سنجی نتیجه گرفته شود.</w:t>
      </w:r>
    </w:p>
    <w:p>
      <w:pPr>
        <w:pStyle w:val="TH-Band"/>
        <w:keepNext w:val="1"/>
        <w:keepLines w:val="1"/>
        <w:widowControl w:val="1"/>
        <w:bidi w:val="1"/>
        <w:spacing w:before="240" w:after="100" w:line="300" w:lineRule="auto"/>
        <w:ind w:firstLine="0"/>
        <w:jc w:val="start"/>
      </w:pPr>
      <w:bookmarkStart w:id="76" w:name="_Toc000076"/>
      <w:r>
        <w:rPr>
          <w:rFonts w:ascii="B Nazanin" w:hAnsi="B Nazanin" w:cs="B Nazanin" w:eastAsia="B Nazanin"/>
          <w:b w:val="1"/>
          <w:bCs w:val="1"/>
          <w:i w:val="0"/>
          <w:color w:val="243B53"/>
          <w:sz w:val="29"/>
          <w:szCs w:val="29"/>
          <w:rtl w:val="1"/>
          <w:lang w:val="fa-IR" w:bidi="fa-IR"/>
        </w:rPr>
        <w:t xml:space="preserve">بند سوم: دیگر روایات نکوهش عهدشکنی</w:t>
      </w:r>
      <w:bookmarkEnd w:id="7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در جوامع روایی، وفای به عهد در کنار امانت‌داری و راست‌گویی مطرح شده است؛ از جمله در الکافی، بابی با عنوان خلف وعده آمده است.</w:t>
      </w:r>
      <w:r>
        <w:rPr>
          <w:rFonts w:ascii="B Nazanin" w:hAnsi="B Nazanin" w:cs="B Nazanin" w:eastAsia="B Nazanin"/>
          <w:b w:val="0"/>
          <w:bCs w:val="0"/>
          <w:i w:val="0"/>
          <w:sz w:val="20"/>
          <w:szCs w:val="20"/>
          <w:vertAlign w:val="superscript"/>
          <w:rtl w:val="1"/>
          <w:lang w:val="fa-IR" w:bidi="fa-IR"/>
        </w:rPr>
        <w:footnoteReference w:id="59"/>
      </w:r>
      <w:r>
        <w:rPr>
          <w:rFonts w:ascii="B Nazanin" w:hAnsi="B Nazanin" w:cs="B Nazanin" w:eastAsia="B Nazanin"/>
          <w:b w:val="0"/>
          <w:bCs w:val="0"/>
          <w:i w:val="0"/>
          <w:sz w:val="28"/>
          <w:szCs w:val="28"/>
          <w:rtl w:val="1"/>
          <w:lang w:val="fa-IR" w:bidi="fa-IR"/>
        </w:rPr>
        <w:t xml:space="preserve"> این مجموعه برای تبیین زمینه اخلاقی و فقهی وفا قابل استفاده است. بااین‌حال، نقل‌هایی مانند «لا دین لمن لا عهد له» یا گزارش‌های لعنت، تا تعیین مأخذ و سند، نباید مستقل از آیات و ادله احرازشده، پایه نتیجه قطعی قرار گیرند.</w:t>
      </w:r>
      <w:r>
        <w:rPr>
          <w:rFonts w:ascii="B Nazanin" w:hAnsi="B Nazanin" w:cs="B Nazanin" w:eastAsia="B Nazanin"/>
          <w:b w:val="0"/>
          <w:bCs w:val="0"/>
          <w:i w:val="0"/>
          <w:sz w:val="20"/>
          <w:szCs w:val="20"/>
          <w:vertAlign w:val="superscript"/>
          <w:rtl w:val="1"/>
          <w:lang w:val="fa-IR" w:bidi="fa-IR"/>
        </w:rPr>
        <w:footnoteReference w:id="60"/>
      </w:r>
      <w:r>
        <w:rPr>
          <w:rFonts w:ascii="B Nazanin" w:hAnsi="B Nazanin" w:cs="B Nazanin" w:eastAsia="B Nazanin"/>
          <w:b w:val="0"/>
          <w:bCs w:val="0"/>
          <w:i w:val="0"/>
          <w:sz w:val="28"/>
          <w:szCs w:val="28"/>
          <w:rtl w:val="1"/>
          <w:lang w:val="fa-IR" w:bidi="fa-IR"/>
        </w:rPr>
        <w:t xml:space="preserve"> همچنین میان وعده ابتدایی، شرط ضمن عقد و پیمان حکومتی تفاوت‌هایی وجود دارد که باید در استنباط لحاظ شود.</w:t>
      </w:r>
    </w:p>
    <w:p>
      <w:pPr>
        <w:pStyle w:val="TH-Goftar"/>
        <w:keepNext w:val="1"/>
        <w:keepLines w:val="1"/>
        <w:widowControl w:val="1"/>
        <w:shd w:val="clear" w:fill="F0F3F6"/>
        <w:bidi w:val="1"/>
        <w:spacing w:before="240" w:after="180" w:line="300" w:lineRule="auto"/>
        <w:ind w:firstLine="0"/>
        <w:jc w:val="start"/>
      </w:pPr>
      <w:bookmarkStart w:id="77" w:name="_Toc000077"/>
      <w:r>
        <w:rPr>
          <w:rFonts w:ascii="B Nazanin" w:hAnsi="B Nazanin" w:cs="B Nazanin" w:eastAsia="B Nazanin"/>
          <w:b w:val="1"/>
          <w:bCs w:val="1"/>
          <w:i w:val="0"/>
          <w:color w:val="243B53"/>
          <w:sz w:val="32"/>
          <w:szCs w:val="32"/>
          <w:rtl w:val="1"/>
          <w:lang w:val="fa-IR" w:bidi="fa-IR"/>
        </w:rPr>
        <w:t>گفتار چهارم: سیره معصومان در عهدنامه‌ها</w:t>
      </w:r>
      <w:bookmarkEnd w:id="77"/>
    </w:p>
    <w:p>
      <w:pPr>
        <w:pStyle w:val="TH-Band"/>
        <w:keepNext w:val="1"/>
        <w:keepLines w:val="1"/>
        <w:widowControl w:val="1"/>
        <w:bidi w:val="1"/>
        <w:spacing w:before="240" w:after="100" w:line="300" w:lineRule="auto"/>
        <w:ind w:firstLine="0"/>
        <w:jc w:val="start"/>
      </w:pPr>
      <w:bookmarkStart w:id="78" w:name="_Toc000078"/>
      <w:r>
        <w:rPr>
          <w:rFonts w:ascii="B Nazanin" w:hAnsi="B Nazanin" w:cs="B Nazanin" w:eastAsia="B Nazanin"/>
          <w:b w:val="1"/>
          <w:bCs w:val="1"/>
          <w:i w:val="0"/>
          <w:color w:val="243B53"/>
          <w:sz w:val="29"/>
          <w:szCs w:val="29"/>
          <w:rtl w:val="1"/>
          <w:lang w:val="fa-IR" w:bidi="fa-IR"/>
        </w:rPr>
        <w:t>بند اول: صلح حدیبیه؛ الگوی صبر حکومتی</w:t>
      </w:r>
      <w:bookmarkEnd w:id="7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در گزارش‌های صلح حدیبیه در سال ششم هجری، پذیرش شرایط دشوار و ماجرای ابوجندل، از شواهد توجه به التزام عهدی شمرده می‌شوند. استفاده فقهی از این واقعه مستلزم توجه به متن توافق، زمان تحقق التزام و اختلاف جزئیات نقل‌هاست. در حد مؤید تاریخی، واقعه نشان می‌دهد که دشوار یا ناخوشایند بودن یک شرط، مساوی با مجوز نادیده گرفتن پیمان نیست؛ اما همه احکام معاهدات امروز را نمی‌توان از یک گزارش تاریخی استخراج کرد.</w:t>
      </w:r>
      <w:r>
        <w:rPr>
          <w:rFonts w:ascii="B Nazanin" w:hAnsi="B Nazanin" w:cs="B Nazanin" w:eastAsia="B Nazanin"/>
          <w:b w:val="0"/>
          <w:bCs w:val="0"/>
          <w:i w:val="0"/>
          <w:sz w:val="20"/>
          <w:szCs w:val="20"/>
          <w:vertAlign w:val="superscript"/>
          <w:rtl w:val="1"/>
          <w:lang w:val="fa-IR" w:bidi="fa-IR"/>
        </w:rPr>
        <w:footnoteReference w:id="6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حدیبیه میان دو مرحله تمایز ایجاد می‌کند: مصلحت‌سنجی پیش از انعقاد و وفای به تعهد پس از انعقاد. پذیرش صلح با توجه به شرایط، دلیل مستقیم بر اختیار نقض همان صلح با تغییر ترجیح نیست. ازاین‌رو، این واقعه در رساله مؤید تدبیر در مرحله انتخاب و پایبندی در مرحله اجراست؛ انتقال آن به جواز عدول، به دلیل مستقل نیاز دارد.</w:t>
      </w:r>
    </w:p>
    <w:p>
      <w:pPr>
        <w:pStyle w:val="TH-Band"/>
        <w:keepNext w:val="1"/>
        <w:keepLines w:val="1"/>
        <w:widowControl w:val="1"/>
        <w:bidi w:val="1"/>
        <w:spacing w:before="240" w:after="100" w:line="300" w:lineRule="auto"/>
        <w:ind w:firstLine="0"/>
        <w:jc w:val="start"/>
      </w:pPr>
      <w:bookmarkStart w:id="79" w:name="_Toc000079"/>
      <w:r>
        <w:rPr>
          <w:rFonts w:ascii="B Nazanin" w:hAnsi="B Nazanin" w:cs="B Nazanin" w:eastAsia="B Nazanin"/>
          <w:b w:val="1"/>
          <w:bCs w:val="1"/>
          <w:i w:val="0"/>
          <w:color w:val="243B53"/>
          <w:sz w:val="29"/>
          <w:szCs w:val="29"/>
          <w:rtl w:val="1"/>
          <w:lang w:val="fa-IR" w:bidi="fa-IR"/>
        </w:rPr>
        <w:t xml:space="preserve">بند دوم: فتح مکه و اعلام برائت؛ تفکیک دو واقعه</w:t>
      </w:r>
      <w:bookmarkEnd w:id="7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نقض مرتبط با پیمان حدیبیه و زمینه فتح مکه در سال هشتم هجری، باید از اعلام آیات برائت در حج سال نهم جدا شود. پیوند دادن این دو به‌صورت یک واقعه هم‌زمان، خطای تاریخی است. افزون بر آن، آیه ۴ توبه، پیمان کسانی را که عهد نشکسته بودند از حکم مورد بحث استثنا می‌کند. بنابراین، گزارش برائت را نمی‌توان به پایان بی‌قید همه پیمان‌ها، مستقل از وضعیت طرف‌ها، فروکاست.</w:t>
      </w:r>
      <w:r>
        <w:rPr>
          <w:rFonts w:ascii="B Nazanin" w:hAnsi="B Nazanin" w:cs="B Nazanin" w:eastAsia="B Nazanin"/>
          <w:b w:val="0"/>
          <w:bCs w:val="0"/>
          <w:i w:val="0"/>
          <w:sz w:val="20"/>
          <w:szCs w:val="20"/>
          <w:vertAlign w:val="superscript"/>
          <w:rtl w:val="1"/>
          <w:lang w:val="fa-IR" w:bidi="fa-IR"/>
        </w:rPr>
        <w:footnoteReference w:id="62"/>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دلالت مورد استفاده، اهمیت تشخیص وضعیت عهد و تفکیک ناقض از غیرناقض است. اعلام برائت، از حیث آشکار بودن موضع اهمیت دارد؛ اما حکم هر گروه تابع مفاد آیات و شرایط پیمان بوده است. نتیجه‌ای مانند «پس از هر نقض، ادامه وفا نامعقول است» از این شواهد به دست نمی‌آید. گاه انتخاب واکنش و دامنه آن، خود به بررسی مستقل مصلحت، حق و محدودیت‌های معتبر وابسته است.</w:t>
      </w:r>
    </w:p>
    <w:p>
      <w:pPr>
        <w:pStyle w:val="TH-Band"/>
        <w:keepNext w:val="1"/>
        <w:keepLines w:val="1"/>
        <w:widowControl w:val="1"/>
        <w:bidi w:val="1"/>
        <w:spacing w:before="240" w:after="100" w:line="300" w:lineRule="auto"/>
        <w:ind w:firstLine="0"/>
        <w:jc w:val="start"/>
      </w:pPr>
      <w:bookmarkStart w:id="80" w:name="_Toc000080"/>
      <w:r>
        <w:rPr>
          <w:rFonts w:ascii="B Nazanin" w:hAnsi="B Nazanin" w:cs="B Nazanin" w:eastAsia="B Nazanin"/>
          <w:b w:val="1"/>
          <w:bCs w:val="1"/>
          <w:i w:val="0"/>
          <w:color w:val="243B53"/>
          <w:sz w:val="29"/>
          <w:szCs w:val="29"/>
          <w:rtl w:val="1"/>
          <w:lang w:val="fa-IR" w:bidi="fa-IR"/>
        </w:rPr>
        <w:t>بند سوم: سیره امیرالمؤمنین؛ از صفین تا حکمیت</w:t>
      </w:r>
      <w:bookmarkEnd w:id="8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گزارش‌های صفین و حکمیت، موضوعات متفاوتی را در بر دارند: رفتار انسانی در جنگ، پذیرش سازوکار داوری، حدود مأموریت حکمین و ارزیابی عملکرد آنان. بدون تعیین گزارش و مأخذ، نمی‌توان عبارت یا تصمیم معینی را با قطعیت به امام نسبت داد. به‌ویژه، وفا به توافق حکمیت با تأیید هر نتیجه خارج از حدود آن یکسان نیست. در این رساله، این وقایع صرفاً شواهد نیازمند تحلیل سندی و دلالی‌اند، نه دلیل مستقل و قطعی بر جواز عدول مصلحتی.</w:t>
      </w:r>
      <w:r>
        <w:rPr>
          <w:rFonts w:ascii="B Nazanin" w:hAnsi="B Nazanin" w:cs="B Nazanin" w:eastAsia="B Nazanin"/>
          <w:b w:val="0"/>
          <w:bCs w:val="0"/>
          <w:i w:val="0"/>
          <w:sz w:val="20"/>
          <w:szCs w:val="20"/>
          <w:vertAlign w:val="superscript"/>
          <w:rtl w:val="1"/>
          <w:lang w:val="fa-IR" w:bidi="fa-IR"/>
        </w:rPr>
        <w:footnoteReference w:id="6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وجه قابل استفاده سیره علوی، اهمیت وفا، عدالت و رعایت حدود حق در تصمیم حکومتی است. در مقابل، ادعای این‌که هر تصمیم دشوار امام مصداق تزاحم اصطلاحی یا دلیل اختیار مشابه برای فقیه است، محتاج مقدمات بیشتری است. شناسایی موضوع و وجه فعل معصوم، پیش از تعمیم آن ضروری است؛ زیرا سیره عملی، بدون شناخت جهت و شرایط، اطلاق لفظی ندارد.</w:t>
      </w:r>
    </w:p>
    <w:p>
      <w:pPr>
        <w:pStyle w:val="TH-Band"/>
        <w:keepNext w:val="1"/>
        <w:keepLines w:val="1"/>
        <w:widowControl w:val="1"/>
        <w:bidi w:val="1"/>
        <w:spacing w:before="240" w:after="100" w:line="300" w:lineRule="auto"/>
        <w:ind w:firstLine="0"/>
        <w:jc w:val="start"/>
      </w:pPr>
      <w:bookmarkStart w:id="81" w:name="_Toc000081"/>
      <w:r>
        <w:rPr>
          <w:rFonts w:ascii="B Nazanin" w:hAnsi="B Nazanin" w:cs="B Nazanin" w:eastAsia="B Nazanin"/>
          <w:b w:val="1"/>
          <w:bCs w:val="1"/>
          <w:i w:val="0"/>
          <w:color w:val="243B53"/>
          <w:sz w:val="29"/>
          <w:szCs w:val="29"/>
          <w:rtl w:val="1"/>
          <w:lang w:val="fa-IR" w:bidi="fa-IR"/>
        </w:rPr>
        <w:t>بند چهارم: جمع‌بندی سیره؛ سه الگو</w:t>
      </w:r>
      <w:bookmarkEnd w:id="8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از شواهد بررسی‌شده می‌توان سه محور پژوهشی به دست آورد: پایبندی در برابر دشواری، واکنش ضابطه‌مند به نقض و تدبیر پیش از انعقاد. این محورها با یکدیگر مرتبط‌اند، اما عین صورت‌بندی پنج‌گانه رساله یا اثبات‌کننده همه ضوابط پیشنهادی نیستند. استفاده دقیق از سیره باید میان شاهد مؤید و دلیل مستقل تفکیک کند و از بازسازی تاریخی بر اساس نتیجه مطلوب بپرهیزد.</w:t>
      </w:r>
    </w:p>
    <w:p>
      <w:pPr>
        <w:pStyle w:val="TH-Goftar"/>
        <w:keepNext w:val="1"/>
        <w:keepLines w:val="1"/>
        <w:widowControl w:val="1"/>
        <w:shd w:val="clear" w:fill="F0F3F6"/>
        <w:bidi w:val="1"/>
        <w:spacing w:before="240" w:after="180" w:line="300" w:lineRule="auto"/>
        <w:ind w:firstLine="0"/>
        <w:jc w:val="start"/>
      </w:pPr>
      <w:bookmarkStart w:id="82" w:name="_Toc000082"/>
      <w:r>
        <w:rPr>
          <w:rFonts w:ascii="B Nazanin" w:hAnsi="B Nazanin" w:cs="B Nazanin" w:eastAsia="B Nazanin"/>
          <w:b w:val="1"/>
          <w:bCs w:val="1"/>
          <w:i w:val="0"/>
          <w:color w:val="243B53"/>
          <w:sz w:val="32"/>
          <w:szCs w:val="32"/>
          <w:rtl w:val="1"/>
          <w:lang w:val="fa-IR" w:bidi="fa-IR"/>
        </w:rPr>
        <w:t>گفتار پنجم: دلیل عقل و بنای عقلا</w:t>
      </w:r>
      <w:bookmarkEnd w:id="82"/>
    </w:p>
    <w:p>
      <w:pPr>
        <w:pStyle w:val="TH-Band"/>
        <w:keepNext w:val="1"/>
        <w:keepLines w:val="1"/>
        <w:widowControl w:val="1"/>
        <w:bidi w:val="1"/>
        <w:spacing w:before="240" w:after="100" w:line="300" w:lineRule="auto"/>
        <w:ind w:firstLine="0"/>
        <w:jc w:val="start"/>
      </w:pPr>
      <w:bookmarkStart w:id="83" w:name="_Toc000083"/>
      <w:r>
        <w:rPr>
          <w:rFonts w:ascii="B Nazanin" w:hAnsi="B Nazanin" w:cs="B Nazanin" w:eastAsia="B Nazanin"/>
          <w:b w:val="1"/>
          <w:bCs w:val="1"/>
          <w:i w:val="0"/>
          <w:color w:val="243B53"/>
          <w:sz w:val="29"/>
          <w:szCs w:val="29"/>
          <w:rtl w:val="1"/>
          <w:lang w:val="fa-IR" w:bidi="fa-IR"/>
        </w:rPr>
        <w:t>بند اول: حکم عقل به قبح نقض عهد</w:t>
      </w:r>
      <w:bookmarkEnd w:id="8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استدلال عقل عملی بر قبح نقض بی‌مجوز عهد، به حق طرف مقابل و نقش اعتماد در همکاری اجتماعی توجه دارد. بااین‌حال، استنتاج حکم شرعی از قاعده ملازمه، تابع مبنای اصولی و احراز حکم عقل در همان موضوع است. زیان اجتماعی عهدشکنی می‌تواند مؤید مهم باشد، اما صرف پیامدگرایی اقتصادی جایگزین همه مراحل استدلال عقلی نمی‌شود. موضوع مورد داوری، پیمان معتبر و نقض فاقد حق است.</w:t>
      </w:r>
      <w:r>
        <w:rPr>
          <w:rFonts w:ascii="B Nazanin" w:hAnsi="B Nazanin" w:cs="B Nazanin" w:eastAsia="B Nazanin"/>
          <w:b w:val="0"/>
          <w:bCs w:val="0"/>
          <w:i w:val="0"/>
          <w:sz w:val="20"/>
          <w:szCs w:val="20"/>
          <w:vertAlign w:val="superscript"/>
          <w:rtl w:val="1"/>
          <w:lang w:val="fa-IR" w:bidi="fa-IR"/>
        </w:rPr>
        <w:footnoteReference w:id="64"/>
      </w:r>
    </w:p>
    <w:p>
      <w:pPr>
        <w:pStyle w:val="TH-Band"/>
        <w:keepNext w:val="1"/>
        <w:keepLines w:val="1"/>
        <w:widowControl w:val="1"/>
        <w:bidi w:val="1"/>
        <w:spacing w:before="240" w:after="100" w:line="300" w:lineRule="auto"/>
        <w:ind w:firstLine="0"/>
        <w:jc w:val="start"/>
      </w:pPr>
      <w:bookmarkStart w:id="84" w:name="_Toc000084"/>
      <w:r>
        <w:rPr>
          <w:rFonts w:ascii="B Nazanin" w:hAnsi="B Nazanin" w:cs="B Nazanin" w:eastAsia="B Nazanin"/>
          <w:b w:val="1"/>
          <w:bCs w:val="1"/>
          <w:i w:val="0"/>
          <w:color w:val="243B53"/>
          <w:sz w:val="29"/>
          <w:szCs w:val="29"/>
          <w:rtl w:val="1"/>
          <w:lang w:val="fa-IR" w:bidi="fa-IR"/>
        </w:rPr>
        <w:t>بند دوم: بنای عقلا؛ از بازار تا سازمان ملل</w:t>
      </w:r>
      <w:bookmarkEnd w:id="8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بنای عقلا، شیوه عملی عقلایی در پاسداشت تعهدات معتبر است. حجیت آن در استنباط شرعی، نیازمند بررسی شرایطی مانند احراز بنا و امضای شارع یا عدم ردع معتبر است. قواعد معاهدات معاصر می‌توانند نمونه‌ای از اهمیت اعتماد و الزام در روابط عمومی باشند، اما تدوین یک سند جدید، به‌تنهایی اتصال همه جزئیات آن به سیره مورد امضا را ثابت نمی‌کند. باید اصل بنا از صورت‌های نهادی متأخر جدا شود.</w:t>
      </w:r>
      <w:r>
        <w:rPr>
          <w:rFonts w:ascii="B Nazanin" w:hAnsi="B Nazanin" w:cs="B Nazanin" w:eastAsia="B Nazanin"/>
          <w:b w:val="0"/>
          <w:bCs w:val="0"/>
          <w:i w:val="0"/>
          <w:sz w:val="20"/>
          <w:szCs w:val="20"/>
          <w:vertAlign w:val="superscript"/>
          <w:rtl w:val="1"/>
          <w:lang w:val="fa-IR" w:bidi="fa-IR"/>
        </w:rPr>
        <w:footnoteReference w:id="65"/>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اهمیت این استدلال در فراهم کردن زمینه مشترک گفت‌وگوی فقه و حقوق است. بااین‌حال، مشترک بودن دغدغه اعتماد، به معنای یکسان بودن معیارهای اعتبار یا استثناها نیست. بنای عقلا در مقام شناخت پدیده اجتماعی و در مقام حجیت فقهی دو کارکرد متفاوت دارد؛ در هر دو، ادعا باید مستند و حدود آن روشن باشد.</w:t>
      </w:r>
    </w:p>
    <w:p>
      <w:pPr>
        <w:pStyle w:val="TH-Goftar"/>
        <w:keepNext w:val="1"/>
        <w:keepLines w:val="1"/>
        <w:widowControl w:val="1"/>
        <w:shd w:val="clear" w:fill="F0F3F6"/>
        <w:bidi w:val="1"/>
        <w:spacing w:before="240" w:after="180" w:line="300" w:lineRule="auto"/>
        <w:ind w:firstLine="0"/>
        <w:jc w:val="start"/>
      </w:pPr>
      <w:bookmarkStart w:id="85" w:name="_Toc000085"/>
      <w:r>
        <w:rPr>
          <w:rFonts w:ascii="B Nazanin" w:hAnsi="B Nazanin" w:cs="B Nazanin" w:eastAsia="B Nazanin"/>
          <w:b w:val="1"/>
          <w:bCs w:val="1"/>
          <w:i w:val="0"/>
          <w:color w:val="243B53"/>
          <w:sz w:val="32"/>
          <w:szCs w:val="32"/>
          <w:rtl w:val="1"/>
          <w:lang w:val="fa-IR" w:bidi="fa-IR"/>
        </w:rPr>
        <w:t>گفتار ششم: قواعد فقهی مؤید وجوب وفا</w:t>
      </w:r>
      <w:bookmarkEnd w:id="85"/>
    </w:p>
    <w:p>
      <w:pPr>
        <w:pStyle w:val="TH-Band"/>
        <w:keepNext w:val="1"/>
        <w:keepLines w:val="1"/>
        <w:widowControl w:val="1"/>
        <w:bidi w:val="1"/>
        <w:spacing w:before="240" w:after="100" w:line="300" w:lineRule="auto"/>
        <w:ind w:firstLine="0"/>
        <w:jc w:val="start"/>
      </w:pPr>
      <w:bookmarkStart w:id="86" w:name="_Toc000086"/>
      <w:r>
        <w:rPr>
          <w:rFonts w:ascii="B Nazanin" w:hAnsi="B Nazanin" w:cs="B Nazanin" w:eastAsia="B Nazanin"/>
          <w:b w:val="1"/>
          <w:bCs w:val="1"/>
          <w:i w:val="0"/>
          <w:color w:val="243B53"/>
          <w:sz w:val="29"/>
          <w:szCs w:val="29"/>
          <w:rtl w:val="1"/>
          <w:lang w:val="fa-IR" w:bidi="fa-IR"/>
        </w:rPr>
        <w:t>بند اول: اصالة اللزوم در عقود</w:t>
      </w:r>
      <w:bookmarkEnd w:id="8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اصالة اللزوم در عقود معتبر، بر پایه ادله‌ای مانند عمومات وفا و در برخی تقریرها اصول عملی بررسی می‌شود. معنای لغوی «گره»، به‌تنهایی لزوم حقوقی همه قراردادها را اثبات نمی‌کند. در تطبیق بر معاهده باید ابتدا اعتبار و شمول دلیل احراز شود. پس از آن، کسی که مدعی زوال الزام یا اختیار عدول است، باید مبنای آن را نشان دهد؛ این بار اثبات با دشوار شدن اجرای تعهد، خودبه‌خود جابه‌جا نمی‌شود.</w:t>
      </w:r>
      <w:r>
        <w:rPr>
          <w:rFonts w:ascii="B Nazanin" w:hAnsi="B Nazanin" w:cs="B Nazanin" w:eastAsia="B Nazanin"/>
          <w:b w:val="0"/>
          <w:bCs w:val="0"/>
          <w:i w:val="0"/>
          <w:sz w:val="20"/>
          <w:szCs w:val="20"/>
          <w:vertAlign w:val="superscript"/>
          <w:rtl w:val="1"/>
          <w:lang w:val="fa-IR" w:bidi="fa-IR"/>
        </w:rPr>
        <w:footnoteReference w:id="66"/>
      </w:r>
    </w:p>
    <w:p>
      <w:pPr>
        <w:pStyle w:val="TH-Band"/>
        <w:keepNext w:val="1"/>
        <w:keepLines w:val="1"/>
        <w:widowControl w:val="1"/>
        <w:bidi w:val="1"/>
        <w:spacing w:before="240" w:after="100" w:line="300" w:lineRule="auto"/>
        <w:ind w:firstLine="0"/>
        <w:jc w:val="start"/>
      </w:pPr>
      <w:bookmarkStart w:id="87" w:name="_Toc000087"/>
      <w:r>
        <w:rPr>
          <w:rFonts w:ascii="B Nazanin" w:hAnsi="B Nazanin" w:cs="B Nazanin" w:eastAsia="B Nazanin"/>
          <w:b w:val="1"/>
          <w:bCs w:val="1"/>
          <w:i w:val="0"/>
          <w:color w:val="243B53"/>
          <w:sz w:val="29"/>
          <w:szCs w:val="29"/>
          <w:rtl w:val="1"/>
          <w:lang w:val="fa-IR" w:bidi="fa-IR"/>
        </w:rPr>
        <w:t>بند دوم: حرمت غدر و خیانت؛ مرز اخلاقی</w:t>
      </w:r>
      <w:bookmarkEnd w:id="8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حرمت غدر و خیانت، محدودیتی مهم بر شیوه رفتار با طرف پیمان است. آیه ۵۸ انفال</w:t>
      </w:r>
      <w:r>
        <w:rPr>
          <w:rFonts w:ascii="B Nazanin" w:hAnsi="B Nazanin" w:cs="B Nazanin" w:eastAsia="B Nazanin"/>
          <w:b w:val="0"/>
          <w:bCs w:val="0"/>
          <w:i w:val="0"/>
          <w:sz w:val="20"/>
          <w:szCs w:val="20"/>
          <w:vertAlign w:val="superscript"/>
          <w:rtl w:val="1"/>
          <w:lang w:val="fa-IR" w:bidi="fa-IR"/>
        </w:rPr>
        <w:footnoteReference w:id="67"/>
      </w:r>
      <w:r>
        <w:rPr>
          <w:rFonts w:ascii="B Nazanin" w:hAnsi="B Nazanin" w:cs="B Nazanin" w:eastAsia="B Nazanin"/>
          <w:b w:val="0"/>
          <w:bCs w:val="0"/>
          <w:i w:val="0"/>
          <w:sz w:val="28"/>
          <w:szCs w:val="28"/>
          <w:rtl w:val="1"/>
          <w:lang w:val="fa-IR" w:bidi="fa-IR"/>
        </w:rPr>
        <w:t xml:space="preserve"> و متون روایی مرتبط،</w:t>
      </w:r>
      <w:r>
        <w:rPr>
          <w:rFonts w:ascii="B Nazanin" w:hAnsi="B Nazanin" w:cs="B Nazanin" w:eastAsia="B Nazanin"/>
          <w:b w:val="0"/>
          <w:bCs w:val="0"/>
          <w:i w:val="0"/>
          <w:sz w:val="20"/>
          <w:szCs w:val="20"/>
          <w:vertAlign w:val="superscript"/>
          <w:rtl w:val="1"/>
          <w:lang w:val="fa-IR" w:bidi="fa-IR"/>
        </w:rPr>
        <w:footnoteReference w:id="68"/>
      </w:r>
      <w:r>
        <w:rPr>
          <w:rFonts w:ascii="B Nazanin" w:hAnsi="B Nazanin" w:cs="B Nazanin" w:eastAsia="B Nazanin"/>
          <w:b w:val="0"/>
          <w:bCs w:val="0"/>
          <w:i w:val="0"/>
          <w:sz w:val="28"/>
          <w:szCs w:val="28"/>
          <w:rtl w:val="1"/>
          <w:lang w:val="fa-IR" w:bidi="fa-IR"/>
        </w:rPr>
        <w:t xml:space="preserve"> بر پرهیز از پیمان‌شکنی ناروا تأکید دارند. بااین‌حال، صرف علنی بودن اقدام، آن را از غدر خارج نمی‌کند؛ باید مجوز ماهوی نیز احراز شود. در جهت مقابل، محرمانه بودن برخی مقدمات تصمیم با نقض پنهانی عهد یکسان نیست. ضوابط پیشنهادی رساله باید این تفاوت میان مبنا، ابلاغ و انتشار عمومی را حفظ کنند.</w:t>
      </w:r>
    </w:p>
    <w:p>
      <w:pPr>
        <w:pStyle w:val="TH-Band"/>
        <w:keepNext w:val="1"/>
        <w:keepLines w:val="1"/>
        <w:widowControl w:val="1"/>
        <w:bidi w:val="1"/>
        <w:spacing w:before="240" w:after="100" w:line="300" w:lineRule="auto"/>
        <w:ind w:firstLine="0"/>
        <w:jc w:val="start"/>
      </w:pPr>
      <w:bookmarkStart w:id="88" w:name="_Toc000088"/>
      <w:r>
        <w:rPr>
          <w:rFonts w:ascii="B Nazanin" w:hAnsi="B Nazanin" w:cs="B Nazanin" w:eastAsia="B Nazanin"/>
          <w:b w:val="1"/>
          <w:bCs w:val="1"/>
          <w:i w:val="0"/>
          <w:color w:val="243B53"/>
          <w:sz w:val="29"/>
          <w:szCs w:val="29"/>
          <w:rtl w:val="1"/>
          <w:lang w:val="fa-IR" w:bidi="fa-IR"/>
        </w:rPr>
        <w:t>بند سوم: قاعده نفی سبیل؛ مرز دیگر وفا</w:t>
      </w:r>
      <w:bookmarkEnd w:id="88"/>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وَلَنْ یَجْعَلَ اللَّهُ لِلْکَافِرِینَ عَلَی الْمُؤْمِنِینَ سَبِیلًا</w:t>
      </w:r>
      <w:r>
        <w:rPr>
          <w:rFonts w:ascii="B Nazanin" w:hAnsi="B Nazanin" w:cs="B Nazanin" w:eastAsia="B Nazanin"/>
          <w:b w:val="0"/>
          <w:bCs w:val="0"/>
          <w:i w:val="0"/>
          <w:color w:val="202A35"/>
          <w:sz w:val="20"/>
          <w:szCs w:val="20"/>
          <w:vertAlign w:val="superscript"/>
          <w:rtl w:val="1"/>
          <w:lang w:val="ar-SA" w:bidi="ar-SA"/>
        </w:rPr>
        <w:footnoteReference w:id="69"/>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درباره استنباط قاعده نفی سبیل از آیه ۱۴۱ نساء، قلمرو دلالت و معنای سبیل در ادبیات فقهی بحث شده است. در فرض پذیرش کاربرد تشریعی قاعده، احراز سلطه نامشروع و نسبت آن با پیمان ضروری است؛ هر محدودیت ناشی از تعهد یا هر همکاری با غیرمسلمان، سلطه محسوب نمی‌شود. اگر معاهده از آغاز نامعتبر باشد، مسئله با تزاحم در اجرای عهد معتبر متفاوت است؛ و اگر اثر سلطه‌آور بعداً پدید آید، نوع اقدام اصلاحی و آثار خارجی آن جداگانه بررسی می‌شود.</w:t>
      </w:r>
    </w:p>
    <w:p>
      <w:pPr>
        <w:pStyle w:val="TH-Goftar"/>
        <w:keepNext w:val="1"/>
        <w:keepLines w:val="1"/>
        <w:widowControl w:val="1"/>
        <w:shd w:val="clear" w:fill="F0F3F6"/>
        <w:bidi w:val="1"/>
        <w:spacing w:before="240" w:after="180" w:line="300" w:lineRule="auto"/>
        <w:ind w:firstLine="0"/>
        <w:jc w:val="start"/>
      </w:pPr>
      <w:bookmarkStart w:id="89" w:name="_Toc000089"/>
      <w:r>
        <w:rPr>
          <w:rFonts w:ascii="B Nazanin" w:hAnsi="B Nazanin" w:cs="B Nazanin" w:eastAsia="B Nazanin"/>
          <w:b w:val="1"/>
          <w:bCs w:val="1"/>
          <w:i w:val="0"/>
          <w:color w:val="243B53"/>
          <w:sz w:val="32"/>
          <w:szCs w:val="32"/>
          <w:rtl w:val="1"/>
          <w:lang w:val="fa-IR" w:bidi="fa-IR"/>
        </w:rPr>
        <w:t>گفتار هفتم: ادله تکمیلی؛ امانت، سوگند و آرای فقها</w:t>
      </w:r>
      <w:bookmarkEnd w:id="89"/>
    </w:p>
    <w:p>
      <w:pPr>
        <w:pStyle w:val="TH-Band"/>
        <w:keepNext w:val="1"/>
        <w:keepLines w:val="1"/>
        <w:widowControl w:val="1"/>
        <w:bidi w:val="1"/>
        <w:spacing w:before="240" w:after="100" w:line="300" w:lineRule="auto"/>
        <w:ind w:firstLine="0"/>
        <w:jc w:val="start"/>
      </w:pPr>
      <w:bookmarkStart w:id="90" w:name="_Toc000090"/>
      <w:r>
        <w:rPr>
          <w:rFonts w:ascii="B Nazanin" w:hAnsi="B Nazanin" w:cs="B Nazanin" w:eastAsia="B Nazanin"/>
          <w:b w:val="1"/>
          <w:bCs w:val="1"/>
          <w:i w:val="0"/>
          <w:color w:val="243B53"/>
          <w:sz w:val="29"/>
          <w:szCs w:val="29"/>
          <w:rtl w:val="1"/>
          <w:lang w:val="fa-IR" w:bidi="fa-IR"/>
        </w:rPr>
        <w:t>بند اول: ادای امانت؛ نساء/۵۸</w:t>
      </w:r>
      <w:bookmarkEnd w:id="90"/>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إِنَّ اللَّهَ یَأْمُرُکُمْ أَنْ تُؤَدُّوا الْأَمَانَاتِ إِلَی أَهْلِهَا</w:t>
      </w:r>
      <w:r>
        <w:rPr>
          <w:rFonts w:ascii="B Nazanin" w:hAnsi="B Nazanin" w:cs="B Nazanin" w:eastAsia="B Nazanin"/>
          <w:b w:val="0"/>
          <w:bCs w:val="0"/>
          <w:i w:val="0"/>
          <w:color w:val="202A35"/>
          <w:sz w:val="20"/>
          <w:szCs w:val="20"/>
          <w:vertAlign w:val="superscript"/>
          <w:rtl w:val="1"/>
          <w:lang w:val="ar-SA" w:bidi="ar-SA"/>
        </w:rPr>
        <w:footnoteReference w:id="70"/>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آیه ۵۸ نساء به ادای امانت‌ها فرمان می‌دهد. در تفسیر آن، مصادیق مادی و عمومی امانت مطرح شده‌اند؛ اما تطبیق پیمان بر امانت باید با تعیین وجه استدلال انجام شود. برای رساله، آیه می‌تواند مؤید مسئولیت‌پذیری حاکم و رعایت حقوق سپرده‌شده باشد. از این مؤید نباید بی‌واسطه همه احکام عقد امانت یا ضمان خصوصی را به رابطه معاهده‌ای منتقل کرد.</w:t>
      </w:r>
      <w:r>
        <w:rPr>
          <w:rFonts w:ascii="B Nazanin" w:hAnsi="B Nazanin" w:cs="B Nazanin" w:eastAsia="B Nazanin"/>
          <w:b w:val="0"/>
          <w:bCs w:val="0"/>
          <w:i w:val="0"/>
          <w:sz w:val="20"/>
          <w:szCs w:val="20"/>
          <w:vertAlign w:val="superscript"/>
          <w:rtl w:val="1"/>
          <w:lang w:val="fa-IR" w:bidi="fa-IR"/>
        </w:rPr>
        <w:footnoteReference w:id="7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وفای دولت به پیمان، افزون بر آثار حقوقی، با اعتماد به عملکرد عمومی ارتباط دارد. این اثر حیثیتی باید در مصلحت‌سنجی لحاظ شود، اما ادعای واکنش یکسان همه طرف‌ها یا انتساب هر رفتار دولت به همه مسلمانان، گزاره‌ای تجربی و نیازمند دلیل است. تحلیل دقیق، اثر احتمالی بر اعتبار و هزینه همکاری آینده را بررسی می‌کند، بدون آن‌که آن را جانشین حکم فقهی یا حقوقی سازد.</w:t>
      </w:r>
    </w:p>
    <w:p>
      <w:pPr>
        <w:pStyle w:val="TH-Band"/>
        <w:keepNext w:val="1"/>
        <w:keepLines w:val="1"/>
        <w:widowControl w:val="1"/>
        <w:bidi w:val="1"/>
        <w:spacing w:before="240" w:after="100" w:line="300" w:lineRule="auto"/>
        <w:ind w:firstLine="0"/>
        <w:jc w:val="start"/>
      </w:pPr>
      <w:bookmarkStart w:id="91" w:name="_Toc000091"/>
      <w:r>
        <w:rPr>
          <w:rFonts w:ascii="B Nazanin" w:hAnsi="B Nazanin" w:cs="B Nazanin" w:eastAsia="B Nazanin"/>
          <w:b w:val="1"/>
          <w:bCs w:val="1"/>
          <w:i w:val="0"/>
          <w:color w:val="243B53"/>
          <w:sz w:val="29"/>
          <w:szCs w:val="29"/>
          <w:rtl w:val="1"/>
          <w:lang w:val="fa-IR" w:bidi="fa-IR"/>
        </w:rPr>
        <w:t>بند دوم: حفظ سوگند؛ مائده/۸۹</w:t>
      </w:r>
      <w:bookmarkEnd w:id="91"/>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وَاحْفَظُوا أَیْمَانَکُمْ</w:t>
      </w:r>
      <w:r>
        <w:rPr>
          <w:rFonts w:ascii="B Nazanin" w:hAnsi="B Nazanin" w:cs="B Nazanin" w:eastAsia="B Nazanin"/>
          <w:b w:val="0"/>
          <w:bCs w:val="0"/>
          <w:i w:val="0"/>
          <w:color w:val="202A35"/>
          <w:sz w:val="20"/>
          <w:szCs w:val="20"/>
          <w:vertAlign w:val="superscript"/>
          <w:rtl w:val="1"/>
          <w:lang w:val="ar-SA" w:bidi="ar-SA"/>
        </w:rPr>
        <w:footnoteReference w:id="72"/>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فرمان «واحفظوا أیمانکم» در سیاق احکام سوگند آمده است. یمین در فقه، شرایط اختصاصی دارد و با هر وعده یا قرارداد یکی نیست. بنابراین، استفاده از آیه برای معاهده‌ای که فاقد سوگند معتبر است، بیشتر جنبه تأییدی دارد و نیازمند بیان واسطه استدلال است. برای اثبات لزوم معاهده، ادله مستقیم‌تر وفای به عقد و عهد باید در جایگاه اصلی بمانند.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کفاره سوگند را نمی‌توان الگوی مستقیم مسئولیت بین‌المللی دانست. انعقاد یمین، مشروعیت متعلق، عمد در حنث و دیگر شرایط بر حکم کفاره اثر دارند؛ پس هر مورد جواز ترک سوگند الزاماً کفاره ندارد. مسئولیت خارجی نیز تابع قواعد خود است. تنها وجه مقایسه آن است که باید میان حکم رفتار و آثار آن تفکیک کرد؛ این مشابهت آموزشی، دلیل انتقال حکم یک باب به باب دیگر نیست.</w:t>
      </w:r>
    </w:p>
    <w:p>
      <w:pPr>
        <w:pStyle w:val="TH-Band"/>
        <w:keepNext w:val="1"/>
        <w:keepLines w:val="1"/>
        <w:widowControl w:val="1"/>
        <w:bidi w:val="1"/>
        <w:spacing w:before="240" w:after="100" w:line="300" w:lineRule="auto"/>
        <w:ind w:firstLine="0"/>
        <w:jc w:val="start"/>
      </w:pPr>
      <w:bookmarkStart w:id="92" w:name="_Toc000092"/>
      <w:r>
        <w:rPr>
          <w:rFonts w:ascii="B Nazanin" w:hAnsi="B Nazanin" w:cs="B Nazanin" w:eastAsia="B Nazanin"/>
          <w:b w:val="1"/>
          <w:bCs w:val="1"/>
          <w:i w:val="0"/>
          <w:color w:val="243B53"/>
          <w:sz w:val="29"/>
          <w:szCs w:val="29"/>
          <w:rtl w:val="1"/>
          <w:lang w:val="fa-IR" w:bidi="fa-IR"/>
        </w:rPr>
        <w:t xml:space="preserve">بند سوم: خلف وعده در روایات اخلاقی</w:t>
      </w:r>
      <w:bookmarkEnd w:id="92"/>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 xml:space="preserve">ثَلَاثٌ مَنْ كُنَّ فِيهِ كَانَ مُنَافِقًا وَإِنْ صَامَ وَصَلَّى وَزَعَمَ أَنَّهُ مُسْلِمٌ: مَنْ إِذَا ائْتُمِنَ خَانَ، وَإِذَا حَدَّثَ كَذَبَ، وَإِذَا وَعَدَ أَخْلَفَ.</w:t>
      </w:r>
      <w:r>
        <w:rPr>
          <w:rFonts w:ascii="B Nazanin" w:hAnsi="B Nazanin" w:cs="B Nazanin" w:eastAsia="B Nazanin"/>
          <w:b w:val="0"/>
          <w:bCs w:val="0"/>
          <w:i w:val="0"/>
          <w:color w:val="202A35"/>
          <w:sz w:val="20"/>
          <w:szCs w:val="20"/>
          <w:vertAlign w:val="superscript"/>
          <w:rtl w:val="1"/>
          <w:lang w:val="ar-SA" w:bidi="ar-SA"/>
        </w:rPr>
        <w:footnoteReference w:id="7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نقل‌های مربوط به نشانه‌های نفاق، دروغ، خیانت و خلف وعده در کنار هم آمده‌اند. این متون، زمینه اخلاقی التزام را روشن می‌کنند؛ اما برای حکم فقهی تفصیلی، باید لفظ دقیق روایت، سند و نوع وعده بررسی شود. نقل بالا با الکافی تطبیق شده است؛ بااین‌حال، وجود واسطه نام‌نبرده در طریق، مانع از آن است که صرف تطبیق لفظ را احراز صحت سند بدانیم. همچنین از کاربرد وصف نفاق در یک متن اخلاقی، نمی‌توان بدون احراز شرایط، درباره ایمان اشخاص یا مشروعیت تصمیمی معین داوری کرد.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نکوهش خلف وعده ناروا، با بحث از مجوز معتبر در مورد استثنایی تعارضی ندارد؛ اما وجود آن مجوز نیز نباید مفروض گرفته شود. حکم حکومتی، کارشناسی و اعلام رسمی، عناصر بررسی‌اند، نه اثبات خودکار خروج از عنوان رفتار ناروا. بار استدلال بر عهده کسی است که ادعا می‌کند شرایط خاص، عدم اجرا را موجه ساخته‌اند.</w:t>
      </w:r>
    </w:p>
    <w:p>
      <w:pPr>
        <w:pStyle w:val="TH-Band"/>
        <w:keepNext w:val="1"/>
        <w:keepLines w:val="1"/>
        <w:widowControl w:val="1"/>
        <w:bidi w:val="1"/>
        <w:spacing w:before="240" w:after="100" w:line="300" w:lineRule="auto"/>
        <w:ind w:firstLine="0"/>
        <w:jc w:val="start"/>
      </w:pPr>
      <w:bookmarkStart w:id="93" w:name="_Toc000093"/>
      <w:r>
        <w:rPr>
          <w:rFonts w:ascii="B Nazanin" w:hAnsi="B Nazanin" w:cs="B Nazanin" w:eastAsia="B Nazanin"/>
          <w:b w:val="1"/>
          <w:bCs w:val="1"/>
          <w:i w:val="0"/>
          <w:color w:val="243B53"/>
          <w:sz w:val="29"/>
          <w:szCs w:val="29"/>
          <w:rtl w:val="1"/>
          <w:lang w:val="fa-IR" w:bidi="fa-IR"/>
        </w:rPr>
        <w:t>بند چهارم: میثاق مدینه و عهدنامه نجران؛ دو الگوی حکومتی</w:t>
      </w:r>
      <w:bookmarkEnd w:id="9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میثاق مدینه و عهدنامه نجران، دو حوزه مهم مطالعه تاریخی درباره روابط عهدی حکومت نبوی‌اند. در استفاده از آن‌ها باید متن، تاریخ، نسخه و شرایط هر گزارش مشخص شود؛ اختلاف نقل‌ها و تفاوت رابطه اجتماعی آن دوره با دولت‌های معاصر نیز مؤثر 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گزارش‌های صحیفه مدینه، از تنظیم روابط گروه‌های مختلف و قواعد همکاری و دفاع حکایت دارند. این شواهد برای شناخت ظرفیت تنظیم عهدی روابط عمومی مهم‌اند. بااین‌حال، تعمیم یک تفسیر واحد به همه رخدادهای مربوط به قبایل یهودی، یا معرفی همه آن‌ها به‌عنوان نمونه محقق «اقدام متقابل متناسب»، بدون تحلیل مستقل اسناد دقیق نیست. اعتبار هر نتیجه باید بر گزارش مشخص استوار باشد و از تبدیل اختلاف تاریخی به حکم کلی درباره گروه‌های دینی پرهیز شود.</w:t>
      </w:r>
      <w:r>
        <w:rPr>
          <w:rFonts w:ascii="B Nazanin" w:hAnsi="B Nazanin" w:cs="B Nazanin" w:eastAsia="B Nazanin"/>
          <w:b w:val="0"/>
          <w:bCs w:val="0"/>
          <w:i w:val="0"/>
          <w:sz w:val="20"/>
          <w:szCs w:val="20"/>
          <w:vertAlign w:val="superscript"/>
          <w:rtl w:val="1"/>
          <w:lang w:val="fa-IR" w:bidi="fa-IR"/>
        </w:rPr>
        <w:footnoteReference w:id="74"/>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عهدنامه‌های منسوب به نجران، برای بررسی امنیت دینی و مالی و استمرار رابطه عهدی قابل مطالعه‌اند. جزئیات متن و تحولات بعدی باید با منابع اصلی تطبیق داده شوند. در سطح مفهومی، تغییر شخص حاکم با زوال شخصیت دولت و جانشینی دولت‌ها یکی نیست؛ استمرار تعهد با تغییر حکومت را نباید با همه قواعد جانشینی بین‌المللی یکسان دانست. این تفکیک، برای هر استفاده تطبیقی از واقعه ضروری است.</w:t>
      </w:r>
      <w:r>
        <w:rPr>
          <w:rFonts w:ascii="B Nazanin" w:hAnsi="B Nazanin" w:cs="B Nazanin" w:eastAsia="B Nazanin"/>
          <w:b w:val="0"/>
          <w:bCs w:val="0"/>
          <w:i w:val="0"/>
          <w:sz w:val="20"/>
          <w:szCs w:val="20"/>
          <w:vertAlign w:val="superscript"/>
          <w:rtl w:val="1"/>
          <w:lang w:val="fa-IR" w:bidi="fa-IR"/>
        </w:rPr>
        <w:footnoteReference w:id="75"/>
      </w:r>
    </w:p>
    <w:p>
      <w:pPr>
        <w:pStyle w:val="TH-Band"/>
        <w:keepNext w:val="1"/>
        <w:keepLines w:val="1"/>
        <w:widowControl w:val="1"/>
        <w:bidi w:val="1"/>
        <w:spacing w:before="240" w:after="100" w:line="300" w:lineRule="auto"/>
        <w:ind w:firstLine="0"/>
        <w:jc w:val="start"/>
      </w:pPr>
      <w:bookmarkStart w:id="94" w:name="_Toc000094"/>
      <w:r>
        <w:rPr>
          <w:rFonts w:ascii="B Nazanin" w:hAnsi="B Nazanin" w:cs="B Nazanin" w:eastAsia="B Nazanin"/>
          <w:b w:val="1"/>
          <w:bCs w:val="1"/>
          <w:i w:val="0"/>
          <w:color w:val="243B53"/>
          <w:sz w:val="29"/>
          <w:szCs w:val="29"/>
          <w:rtl w:val="1"/>
          <w:lang w:val="fa-IR" w:bidi="fa-IR"/>
        </w:rPr>
        <w:t>بند پنجم: آرای فقها؛ از جواهر تا تحریر</w:t>
      </w:r>
      <w:bookmarkEnd w:id="9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بررسی آرای فقها باید بر متن و موضع دقیق آنان استوار باشد. معرفی کلی آثار، جای نقل و تحلیل قول را نمی‌گیرد؛ به‌ویژه، در مسئله‌ای که تفاوت میان صلاحیت انعقاد، شرط فسخ و اختیار فوق‌العاده در نتیجه اثر می‌گذارد.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جواهر الکلام، بحث هدنه شامل مصلحت انعقاد، مدت، امکان شرط اختیار نقض و لزوم رعایت عهدِ منعقدشده است. تصریح به بقای هدنه پس از وفات عاقد، با ادعای جواز خودکار نقض به‌سبب تغییر ترجیح سازگار نیست. بنابراین، این اثر را نمی‌توان بدون عبارت روشن، شاهد جواز عام «فسخ عند المصلحة» معرفی کرد. نتیجه مورد استفاده محدودتر است: پیمان معتبر و شرط معتبر هر دو باید جدی گرفته شوند و عدول خارج از آن‌ها محتاج دلیل مستقل است.</w:t>
      </w:r>
      <w:r>
        <w:rPr>
          <w:rFonts w:ascii="B Nazanin" w:hAnsi="B Nazanin" w:cs="B Nazanin" w:eastAsia="B Nazanin"/>
          <w:b w:val="0"/>
          <w:bCs w:val="0"/>
          <w:i w:val="0"/>
          <w:sz w:val="20"/>
          <w:szCs w:val="20"/>
          <w:vertAlign w:val="superscript"/>
          <w:rtl w:val="1"/>
          <w:lang w:val="fa-IR" w:bidi="fa-IR"/>
        </w:rPr>
        <w:footnoteReference w:id="76"/>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مباحث دفاع و حفظ استقلال در تحریر الوسیله، از بحث خاص احکام هدنه و امان در منابع دیگر متمایزند؛ انتساب یک باب یا فتوا به این اثر، باید با محل واقعی آن تطبیق شود.</w:t>
      </w:r>
      <w:r>
        <w:rPr>
          <w:rFonts w:ascii="B Nazanin" w:hAnsi="B Nazanin" w:cs="B Nazanin" w:eastAsia="B Nazanin"/>
          <w:b w:val="0"/>
          <w:bCs w:val="0"/>
          <w:i w:val="0"/>
          <w:sz w:val="20"/>
          <w:szCs w:val="20"/>
          <w:vertAlign w:val="superscript"/>
          <w:rtl w:val="1"/>
          <w:lang w:val="fa-IR" w:bidi="fa-IR"/>
        </w:rPr>
        <w:footnoteReference w:id="77"/>
      </w:r>
      <w:r>
        <w:rPr>
          <w:rFonts w:ascii="B Nazanin" w:hAnsi="B Nazanin" w:cs="B Nazanin" w:eastAsia="B Nazanin"/>
          <w:b w:val="0"/>
          <w:bCs w:val="0"/>
          <w:i w:val="0"/>
          <w:sz w:val="28"/>
          <w:szCs w:val="28"/>
          <w:rtl w:val="1"/>
          <w:lang w:val="fa-IR" w:bidi="fa-IR"/>
        </w:rPr>
        <w:t xml:space="preserve"> مباحث لزوم و شروط در المکاسب نیز برای چارچوب عام معاملات مهم‌اند، اما نسبت دادن حکم صریح معاهدات معاصر به شیخ انصاری، بدون متن، موجه نیست.</w:t>
      </w:r>
      <w:r>
        <w:rPr>
          <w:rFonts w:ascii="B Nazanin" w:hAnsi="B Nazanin" w:cs="B Nazanin" w:eastAsia="B Nazanin"/>
          <w:b w:val="0"/>
          <w:bCs w:val="0"/>
          <w:i w:val="0"/>
          <w:sz w:val="20"/>
          <w:szCs w:val="20"/>
          <w:vertAlign w:val="superscript"/>
          <w:rtl w:val="1"/>
          <w:lang w:val="fa-IR" w:bidi="fa-IR"/>
        </w:rPr>
        <w:footnoteReference w:id="78"/>
      </w:r>
      <w:r>
        <w:rPr>
          <w:rFonts w:ascii="B Nazanin" w:hAnsi="B Nazanin" w:cs="B Nazanin" w:eastAsia="B Nazanin"/>
          <w:b w:val="0"/>
          <w:bCs w:val="0"/>
          <w:i w:val="0"/>
          <w:sz w:val="28"/>
          <w:szCs w:val="28"/>
          <w:rtl w:val="1"/>
          <w:lang w:val="fa-IR" w:bidi="fa-IR"/>
        </w:rPr>
        <w:t xml:space="preserve"> بهره‌گیری از مبنا با نقل فتوای خاص تفاوت دارد.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از منابع بررسی‌شده نمی‌توان اجماع همه فقها بر صورت مشخص عدول حکومتی را احراز کرد. اشتراک در حرمت غدر یا اهمیت حفظ جامعه، به معنای اتفاق بر حدود اختیار، معیار مصلحت یا شیوه پایان معاهده نیست. صورت‌بندی قابل دفاع آن است که قول‌ها و مبانی متفاوت معرفی شوند و نظر مختار با دلیل ترجیح یابد؛ ادعای «اجماع ضمنی» جای این کار را نمی‌گیرد.</w:t>
      </w:r>
    </w:p>
    <w:p>
      <w:pPr>
        <w:pStyle w:val="TH-Goftar"/>
        <w:keepNext w:val="1"/>
        <w:keepLines w:val="1"/>
        <w:widowControl w:val="1"/>
        <w:shd w:val="clear" w:fill="F0F3F6"/>
        <w:bidi w:val="1"/>
        <w:spacing w:before="240" w:after="180" w:line="300" w:lineRule="auto"/>
        <w:ind w:firstLine="0"/>
        <w:jc w:val="start"/>
      </w:pPr>
      <w:bookmarkStart w:id="95" w:name="_Toc000095"/>
      <w:r>
        <w:rPr>
          <w:rFonts w:ascii="B Nazanin" w:hAnsi="B Nazanin" w:cs="B Nazanin" w:eastAsia="B Nazanin"/>
          <w:b w:val="1"/>
          <w:bCs w:val="1"/>
          <w:i w:val="0"/>
          <w:color w:val="243B53"/>
          <w:sz w:val="32"/>
          <w:szCs w:val="32"/>
          <w:rtl w:val="1"/>
          <w:lang w:val="fa-IR" w:bidi="fa-IR"/>
        </w:rPr>
        <w:t>گفتار هشتم: واژه‌شناسی قرآنی؛ عهد، عقد، میثاق و وعد</w:t>
      </w:r>
      <w:bookmarkEnd w:id="95"/>
    </w:p>
    <w:p>
      <w:pPr>
        <w:pStyle w:val="TH-Band"/>
        <w:keepNext w:val="1"/>
        <w:keepLines w:val="1"/>
        <w:widowControl w:val="1"/>
        <w:bidi w:val="1"/>
        <w:spacing w:before="240" w:after="100" w:line="300" w:lineRule="auto"/>
        <w:ind w:firstLine="0"/>
        <w:jc w:val="start"/>
      </w:pPr>
      <w:bookmarkStart w:id="96" w:name="_Toc000096"/>
      <w:r>
        <w:rPr>
          <w:rFonts w:ascii="B Nazanin" w:hAnsi="B Nazanin" w:cs="B Nazanin" w:eastAsia="B Nazanin"/>
          <w:b w:val="1"/>
          <w:bCs w:val="1"/>
          <w:i w:val="0"/>
          <w:color w:val="243B53"/>
          <w:sz w:val="29"/>
          <w:szCs w:val="29"/>
          <w:rtl w:val="1"/>
          <w:lang w:val="fa-IR" w:bidi="fa-IR"/>
        </w:rPr>
        <w:t>بند اول: چرا واژه‌شناسی؟</w:t>
      </w:r>
      <w:bookmarkEnd w:id="9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واژه‌های عهد، عقد، میثاق، وعد، أیمان و ذمه، در متون دینی به ابعاد متفاوت التزام اشاره دارند. واژه‌شناسی می‌تواند از خلط آن‌ها جلوگیری کند؛ ولی معنای لغوی به‌تنهایی حکم فقهی را تعیین نمی‌کند. در هر مورد باید ساخت جمله، سیاق و ادله مربوط به همان نوع رابطه بررسی شوند.</w:t>
      </w:r>
    </w:p>
    <w:p>
      <w:pPr>
        <w:pStyle w:val="TH-Band"/>
        <w:keepNext w:val="1"/>
        <w:keepLines w:val="1"/>
        <w:widowControl w:val="1"/>
        <w:bidi w:val="1"/>
        <w:spacing w:before="240" w:after="100" w:line="300" w:lineRule="auto"/>
        <w:ind w:firstLine="0"/>
        <w:jc w:val="start"/>
      </w:pPr>
      <w:bookmarkStart w:id="97" w:name="_Toc000097"/>
      <w:r>
        <w:rPr>
          <w:rFonts w:ascii="B Nazanin" w:hAnsi="B Nazanin" w:cs="B Nazanin" w:eastAsia="B Nazanin"/>
          <w:b w:val="1"/>
          <w:bCs w:val="1"/>
          <w:i w:val="0"/>
          <w:color w:val="243B53"/>
          <w:sz w:val="29"/>
          <w:szCs w:val="29"/>
          <w:rtl w:val="1"/>
          <w:lang w:val="fa-IR" w:bidi="fa-IR"/>
        </w:rPr>
        <w:t>بند دوم: عهد و عقد؛ التزام و گره</w:t>
      </w:r>
      <w:bookmarkEnd w:id="9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عهد در کاربرد قرآنی، طیفی از التزام‌های میان انسان و خدا یا میان انسان‌ها را در بر می‌گیرد. این تنوع نشان می‌دهد که واژه را نمی‌توان تنها به قرارداد معاوضی محدود کرد؛ بااین‌حال، همه مصادیق نیز آثار یکسان ندارند. عهد اصطلاحیِ دارای صیغه و شرایط فقهی، پیمان سیاسی و التزام اخلاقی باید با قرائن استعمال از یکدیگر شناخته شوند.</w:t>
      </w:r>
      <w:r>
        <w:rPr>
          <w:rFonts w:ascii="B Nazanin" w:hAnsi="B Nazanin" w:cs="B Nazanin" w:eastAsia="B Nazanin"/>
          <w:b w:val="0"/>
          <w:bCs w:val="0"/>
          <w:i w:val="0"/>
          <w:sz w:val="20"/>
          <w:szCs w:val="20"/>
          <w:vertAlign w:val="superscript"/>
          <w:rtl w:val="1"/>
          <w:lang w:val="fa-IR" w:bidi="fa-IR"/>
        </w:rPr>
        <w:footnoteReference w:id="79"/>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عقد در اصل لغوی با بستن و استوار کردن مرتبط است و در کاربرد حقوقی به پیوند انشایی اشاره می‌کند. این زمینه، شمول آیه «أوفوا بالعقود» بر پیمان‌های معتبر را قابل استدلال می‌سازد، اما قیود صلاحیت، مشروعیت متعلق و حدود نمایندگی را حذف نمی‌کند. بنابراین، تحلیل لغوی مؤید تعیین موضوع است و باید همراه با ادله اعتبار و شمول تکمیل شود.</w:t>
      </w:r>
      <w:r>
        <w:rPr>
          <w:rFonts w:ascii="B Nazanin" w:hAnsi="B Nazanin" w:cs="B Nazanin" w:eastAsia="B Nazanin"/>
          <w:b w:val="0"/>
          <w:bCs w:val="0"/>
          <w:i w:val="0"/>
          <w:sz w:val="20"/>
          <w:szCs w:val="20"/>
          <w:vertAlign w:val="superscript"/>
          <w:rtl w:val="1"/>
          <w:lang w:val="fa-IR" w:bidi="fa-IR"/>
        </w:rPr>
        <w:footnoteReference w:id="80"/>
      </w:r>
    </w:p>
    <w:p>
      <w:pPr>
        <w:pStyle w:val="TH-Band"/>
        <w:keepNext w:val="1"/>
        <w:keepLines w:val="1"/>
        <w:widowControl w:val="1"/>
        <w:bidi w:val="1"/>
        <w:spacing w:before="240" w:after="100" w:line="300" w:lineRule="auto"/>
        <w:ind w:firstLine="0"/>
        <w:jc w:val="start"/>
      </w:pPr>
      <w:bookmarkStart w:id="98" w:name="_Toc000098"/>
      <w:r>
        <w:rPr>
          <w:rFonts w:ascii="B Nazanin" w:hAnsi="B Nazanin" w:cs="B Nazanin" w:eastAsia="B Nazanin"/>
          <w:b w:val="1"/>
          <w:bCs w:val="1"/>
          <w:i w:val="0"/>
          <w:color w:val="243B53"/>
          <w:sz w:val="29"/>
          <w:szCs w:val="29"/>
          <w:rtl w:val="1"/>
          <w:lang w:val="fa-IR" w:bidi="fa-IR"/>
        </w:rPr>
        <w:t>بند سوم: میثاق و وعد؛ پیمانِ محکم و وعده</w:t>
      </w:r>
      <w:bookmarkEnd w:id="9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میثاق از ریشه وثوق، بر عهد مؤکد و استوار دلالت دارد و در قرآن درباره روابط مهم، از جمله میثاق پیامبران و پیوند ازدواج، به کار رفته است. این استعمال‌ها اهمیت التزام را روشن می‌کنند، اما از قوت واژه نمی‌توان بدون دلیل، درجه مستقل حرمت نقض هر معاهده را تعیین کرد. برای موضوع رساله، میثاق بیش از همه بر جدیت و اعتماد ناشی از پیمان تأکید دارد.</w:t>
      </w:r>
      <w:r>
        <w:rPr>
          <w:rFonts w:ascii="B Nazanin" w:hAnsi="B Nazanin" w:cs="B Nazanin" w:eastAsia="B Nazanin"/>
          <w:b w:val="0"/>
          <w:bCs w:val="0"/>
          <w:i w:val="0"/>
          <w:sz w:val="20"/>
          <w:szCs w:val="20"/>
          <w:vertAlign w:val="superscript"/>
          <w:rtl w:val="1"/>
          <w:lang w:val="fa-IR" w:bidi="fa-IR"/>
        </w:rPr>
        <w:footnoteReference w:id="8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وعد، با تعهد قراردادی لزوماً یکسان نیست. کاربرد آن درباره وعده الهی و وعده انسانی، امکان تأمل اخلاقی درباره وفا را فراهم می‌کند؛ ولی قیاس اولویت از فعل الهی به حکم تکلیفی انسان، بدون مقدمات مستقل، دلیل فقهی کامل نیست. در این رساله، این بحث در جایگاه تبیین معنایی و اخلاقی قرار دارد و نباید بار اثباتی ادله مستقیم عهد را بر دوش آن نهاد.</w:t>
      </w:r>
      <w:r>
        <w:rPr>
          <w:rFonts w:ascii="B Nazanin" w:hAnsi="B Nazanin" w:cs="B Nazanin" w:eastAsia="B Nazanin"/>
          <w:b w:val="0"/>
          <w:bCs w:val="0"/>
          <w:i w:val="0"/>
          <w:sz w:val="20"/>
          <w:szCs w:val="20"/>
          <w:vertAlign w:val="superscript"/>
          <w:rtl w:val="1"/>
          <w:lang w:val="fa-IR" w:bidi="fa-IR"/>
        </w:rPr>
        <w:footnoteReference w:id="82"/>
      </w:r>
    </w:p>
    <w:p>
      <w:pPr>
        <w:pStyle w:val="TH-Band"/>
        <w:keepNext w:val="1"/>
        <w:keepLines w:val="1"/>
        <w:widowControl w:val="1"/>
        <w:bidi w:val="1"/>
        <w:spacing w:before="240" w:after="100" w:line="300" w:lineRule="auto"/>
        <w:ind w:firstLine="0"/>
        <w:jc w:val="start"/>
      </w:pPr>
      <w:bookmarkStart w:id="99" w:name="_Toc000099"/>
      <w:r>
        <w:rPr>
          <w:rFonts w:ascii="B Nazanin" w:hAnsi="B Nazanin" w:cs="B Nazanin" w:eastAsia="B Nazanin"/>
          <w:b w:val="1"/>
          <w:bCs w:val="1"/>
          <w:i w:val="0"/>
          <w:color w:val="243B53"/>
          <w:sz w:val="29"/>
          <w:szCs w:val="29"/>
          <w:rtl w:val="1"/>
          <w:lang w:val="fa-IR" w:bidi="fa-IR"/>
        </w:rPr>
        <w:t xml:space="preserve">بند چهارم: أیمان و ذمه؛ سوگند و عهده</w:t>
      </w:r>
      <w:bookmarkEnd w:id="9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«أیمان» با همزه مفتوح، جمع یمین به معنای سوگند است و با «ایمان» به معنای باور دینی تفاوت دارد. آیات نحل و مائده بر حفظ سوگند معتبر تأکید می‌کنند. بااین‌حال، درج نام خدا در یک سند، به‌تنهایی همه شرایط یمین فقهی را محقق نمی‌سازد. اگر پیمان با سوگند واجد شرایط همراه باشد، باید نسبت دو عنوان و آثار هر یک جداگانه بررسی 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ذمه در استعمال‌های مختلف، به عهده، ضمان یا پناه عهدی اشاره دارد؛ عقد ذمه نیز معنای اصطلاحی خاص دارد. وجه حمایتی عهد، توجه به اعتماد طرفی است که بر اساس پیمان امنیت یافته است. این بُعد اخلاقی و حقوقی مهم است، اما تعمیم احکام ذمه به هر قرارداد بین‌المللی نیازمند دلیل خواهد بود. در تحلیل عدول، باید حقوق ایجادشده و وضعیت اشخاص متأثر از پایان رابطه نیز لحاظ شوند.</w:t>
      </w:r>
    </w:p>
    <w:p>
      <w:pPr>
        <w:pStyle w:val="TH-Goftar"/>
        <w:keepNext w:val="1"/>
        <w:keepLines w:val="1"/>
        <w:widowControl w:val="1"/>
        <w:shd w:val="clear" w:fill="F0F3F6"/>
        <w:bidi w:val="1"/>
        <w:spacing w:before="240" w:after="180" w:line="300" w:lineRule="auto"/>
        <w:ind w:firstLine="0"/>
        <w:jc w:val="start"/>
      </w:pPr>
      <w:bookmarkStart w:id="100" w:name="_Toc000100"/>
      <w:r>
        <w:rPr>
          <w:rFonts w:ascii="B Nazanin" w:hAnsi="B Nazanin" w:cs="B Nazanin" w:eastAsia="B Nazanin"/>
          <w:b w:val="1"/>
          <w:bCs w:val="1"/>
          <w:i w:val="0"/>
          <w:color w:val="243B53"/>
          <w:sz w:val="32"/>
          <w:szCs w:val="32"/>
          <w:rtl w:val="1"/>
          <w:lang w:val="fa-IR" w:bidi="fa-IR"/>
        </w:rPr>
        <w:t>حاصل فصل سوم</w:t>
      </w:r>
      <w:bookmarkEnd w:id="10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حاصل فصل، تقویت اصل وفای به عهد معتبر و روشن شدن بار اثبات مدعی عدول است. آیات عام و خاص، متون روایی و شواهد عقلایی نقش‌های متفاوت دارند و همه مؤیدها را نمی‌توان دلیل مستقل هم‌رتبه شمرد. همچنین صرف دشواری، تغییر منفعت یا تفاوت دینی طرف پیمان، مجوز نقض نیست. فصل بعد، امکان استثنا را با حفظ این مقدمات و با تفکیک تزاحم، قواعد ثانوی و صلاحیت حکومتی بررسی می‌کند.</w:t>
      </w:r>
    </w:p>
    <w:p>
      <w:r>
        <w:br w:type="page"/>
      </w:r>
    </w:p>
    <w:p/>
    <w:p/>
    <w:p>
      <w:pPr>
        <w:pStyle w:val="TH-Fasl"/>
        <w:keepNext w:val="1"/>
        <w:keepLines w:val="1"/>
        <w:widowControl w:val="1"/>
        <w:pBdr>
          <w:top w:val="single" w:sz="8" w:space="8" w:color="243B53"/>
          <w:bottom w:val="single" w:sz="8" w:space="8" w:color="243B53"/>
        </w:pBdr>
        <w:bidi w:val="1"/>
        <w:spacing w:before="120" w:after="180" w:line="300" w:lineRule="auto"/>
        <w:ind w:firstLine="0"/>
        <w:jc w:val="center"/>
      </w:pPr>
      <w:bookmarkStart w:id="101" w:name="_Toc000101"/>
      <w:r>
        <w:rPr>
          <w:rFonts w:ascii="B Nazanin" w:hAnsi="B Nazanin" w:cs="B Nazanin" w:eastAsia="B Nazanin"/>
          <w:b w:val="1"/>
          <w:bCs w:val="1"/>
          <w:i w:val="0"/>
          <w:color w:val="243B53"/>
          <w:sz w:val="40"/>
          <w:szCs w:val="40"/>
          <w:rtl w:val="1"/>
          <w:lang w:val="fa-IR" w:bidi="fa-IR"/>
        </w:rPr>
        <w:t>فصل چهارم: مبانی جواز عدول و ضوابط آن</w:t>
      </w:r>
      <w:bookmarkEnd w:id="10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با پذیرش اصل وفای به عهد، پرسش این فصل امکان و حدود عدول استثنایی است. مسیر استدلال سه مرحله دارد: احراز تزاحم میان دو تکلیف معتبر؛ بررسی صلاحیت و صورت تصمیم حکومتی بر مبنای پذیرفته‌شده؛ و تعیین ضوابط محدودکننده. قواعد ضرر و حرج و شواهد سیره نیز بررسی می‌شوند، اما نباید بی‌نیاز از مقدمات خود، چند دلیل مستقل و قطعی بر نتیجه واحد معرفی شوند. نتیجه فصل، مشروط به مبانی و احراز موضوع است، نه مجوز عام برای ترک تعهد زیان‌بار.</w:t>
      </w:r>
    </w:p>
    <w:p>
      <w:pPr>
        <w:pStyle w:val="TH-Goftar"/>
        <w:keepNext w:val="1"/>
        <w:keepLines w:val="1"/>
        <w:widowControl w:val="1"/>
        <w:shd w:val="clear" w:fill="F0F3F6"/>
        <w:bidi w:val="1"/>
        <w:spacing w:before="240" w:after="180" w:line="300" w:lineRule="auto"/>
        <w:ind w:firstLine="0"/>
        <w:jc w:val="start"/>
      </w:pPr>
      <w:bookmarkStart w:id="102" w:name="_Toc000102"/>
      <w:r>
        <w:rPr>
          <w:rFonts w:ascii="B Nazanin" w:hAnsi="B Nazanin" w:cs="B Nazanin" w:eastAsia="B Nazanin"/>
          <w:b w:val="1"/>
          <w:bCs w:val="1"/>
          <w:i w:val="0"/>
          <w:color w:val="243B53"/>
          <w:sz w:val="32"/>
          <w:szCs w:val="32"/>
          <w:rtl w:val="1"/>
          <w:lang w:val="fa-IR" w:bidi="fa-IR"/>
        </w:rPr>
        <w:t xml:space="preserve">گفتار اول: قاعده تزاحم؛ چارچوب اصلی استدلال</w:t>
      </w:r>
      <w:bookmarkEnd w:id="102"/>
    </w:p>
    <w:p>
      <w:pPr>
        <w:pStyle w:val="TH-Band"/>
        <w:keepNext w:val="1"/>
        <w:keepLines w:val="1"/>
        <w:widowControl w:val="1"/>
        <w:bidi w:val="1"/>
        <w:spacing w:before="240" w:after="100" w:line="300" w:lineRule="auto"/>
        <w:ind w:firstLine="0"/>
        <w:jc w:val="start"/>
      </w:pPr>
      <w:bookmarkStart w:id="103" w:name="_Toc000103"/>
      <w:r>
        <w:rPr>
          <w:rFonts w:ascii="B Nazanin" w:hAnsi="B Nazanin" w:cs="B Nazanin" w:eastAsia="B Nazanin"/>
          <w:b w:val="1"/>
          <w:bCs w:val="1"/>
          <w:i w:val="0"/>
          <w:color w:val="243B53"/>
          <w:sz w:val="29"/>
          <w:szCs w:val="29"/>
          <w:rtl w:val="1"/>
          <w:lang w:val="fa-IR" w:bidi="fa-IR"/>
        </w:rPr>
        <w:t xml:space="preserve">بند اول: تمایز تعارض ادله و تزاحم تکالیف</w:t>
      </w:r>
      <w:bookmarkEnd w:id="10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تعارض، ناسازگاری ادله در مقام دلالت و اثبات است؛ حل آن با بررسی جمع عرفی و سپس قواعد باب تعارض انجام می‌شود و همیشه به ترجیح ساده یکی از دو دلیل محدود نیست. تزاحم امتثالی، در مقابل، ناظر به دو تکلیف معتبر است که مکلف در مورد معین توان جمع میان آن‌ها را ندارد؛ مانند ناتوانی از نجات هم‌زمان دو انسان در معرض هلاکت. نمونه نمازِ اول وقت، بدون فرض وجوب مضیق، مثال دقیقی برای تزاحم دو واجب نیست. در بحث حاضر نیز ابتدا باید دو تکلیف واقعی یا معتبر احراز شوند.</w:t>
      </w:r>
      <w:r>
        <w:rPr>
          <w:rFonts w:ascii="B Nazanin" w:hAnsi="B Nazanin" w:cs="B Nazanin" w:eastAsia="B Nazanin"/>
          <w:b w:val="0"/>
          <w:bCs w:val="0"/>
          <w:i w:val="0"/>
          <w:sz w:val="20"/>
          <w:szCs w:val="20"/>
          <w:vertAlign w:val="superscript"/>
          <w:rtl w:val="1"/>
          <w:lang w:val="fa-IR" w:bidi="fa-IR"/>
        </w:rPr>
        <w:footnoteReference w:id="8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نسبت وفای به عهد با حفظ یک مصلحت، همواره و به‌خودی‌خود تزاحمی نیست. اگر مصلحت مورد ادعا به تکلیف معتبر بازنگردد، یا با وفا قابل جمع باشد، تزاحم اصطلاحی شکل نمی‌گیرد. تنها در فرض احراز هر دو تکلیف، ناتوانی از جمع و وجود مرجح، تقدیم اهم قابل طرح است. از عنوان «حفظ نظام» نیز نمی‌توان اهم بودن همیشگی را نتیجه گرفت؛ خود وفا ممکن است از عوامل اساسی حفظ نظم و اعتماد عمومی باشد.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تحلیل تزاحمی، دلالت دلیل وفا انکار نمی‌شود و تغییر دائمی حکم نیز ادعا نمی‌گردد. بحث بر سر وظیفه فعلی در وضعیت ناتوانی از جمع است. با برطرف شدن تزاحم، مقتضای تکلیف باقی‌مانده دوباره بررسی می‌شود؛ اما آثار حقوقی اقدام پیشین، حقوق ایجادشده و امکان واقعی بازگشت، نیازمند تحلیل جداگانه‌اند. زوال عذر، همیشه به معنای احیای خودکار رابطه‌ای که به‌طور معتبر خاتمه یافته نیست.</w:t>
      </w:r>
    </w:p>
    <w:p>
      <w:pPr>
        <w:pStyle w:val="TH-Band"/>
        <w:keepNext w:val="1"/>
        <w:keepLines w:val="1"/>
        <w:widowControl w:val="1"/>
        <w:bidi w:val="1"/>
        <w:spacing w:before="240" w:after="100" w:line="300" w:lineRule="auto"/>
        <w:ind w:firstLine="0"/>
        <w:jc w:val="start"/>
      </w:pPr>
      <w:bookmarkStart w:id="104" w:name="_Toc000104"/>
      <w:r>
        <w:rPr>
          <w:rFonts w:ascii="B Nazanin" w:hAnsi="B Nazanin" w:cs="B Nazanin" w:eastAsia="B Nazanin"/>
          <w:b w:val="1"/>
          <w:bCs w:val="1"/>
          <w:i w:val="0"/>
          <w:color w:val="243B53"/>
          <w:sz w:val="29"/>
          <w:szCs w:val="29"/>
          <w:rtl w:val="1"/>
          <w:lang w:val="fa-IR" w:bidi="fa-IR"/>
        </w:rPr>
        <w:t>بند دوم: شرایط تحقق تزاحم در مسئله ما</w:t>
      </w:r>
      <w:bookmarkEnd w:id="10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برای جریان تحلیل تزاحمی در موضوع رساله، دست‌کم سه عنصر باید احراز شوند: اعتبار دو تکلیف، ناتوانی از جمع و معیار ترجیح. این عناصر باید با دلیل و داده مشخص اثبات شوند؛ صرف کاربرد اصطلاحات اصولی برای توصیف یک دشواری سیاسی کفایت نمی‌کند.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عنصر نخست، وجود الزام معتبر به وفا و تکلیف معتبر مقابل است. اگر معاهده از ابتدا نامعتبر باشد، موضوع از عدول از عهد معتبر خارج می‌شود. اگر منفعت مقابل فقط ترجیحی مباح باشد، تزاحم دو واجب ثابت نیست. ادله حفظ جان، امنیت یا نظم عمومی ممکن است تکلیف مقابل را توضیح دهند، اما در هر مصداق باید متعلق تکلیف و میزان ارتباط اقدام پیشنهادی با آن روشن 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عنصر دوم، عدم امکان جمع است. باید بررسی شود آیا مذاکره، تغییر شیوه اجرا، استفاده از شرط معتبر، زمان‌بندی متفاوت یا راهی کم‌محدودیت‌تر، هر دو تکلیف را تأمین می‌کند. راه جایگزین باید واقعی، کافی و در فرصت موجود قابل استفاده باشد؛ امکان فرضی مذاکره، همیشه مانع تصمیم اضطراری نیست. در مقابل، کنار گذاشتن گزینه قابل اجرا بدون ارزیابی، ادعای ضرورت عدول را تضعیف 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عنصر سوم، ترجیح معتبر است. اهمیت نباید صرفاً از نام مصلحت یا مقام تصمیم‌گیر استنباط شود؛ شدت خطر، حقوق متأثر، احتمال وقوع و آثار کوتاه‌مدت و بلندمدت باید بررسی شوند. در فرض تساویِ احرازشده یا احتمال اهمیت نیز قواعد خاص اصولی مطرح‌اند. نقش ولی فقیه در نظریه مورد پذیرش رساله، تصمیم نهادی بر پایه تشخیص معتبر است؛ نه جایگزین کردن عنوان مقام با دلیل اهمیت.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این سه عنصر، چارچوب تشخیص موضوع‌اند. برای قابل ارزیابی شدن تصمیم، لازم است مستند تکلیف مقابل، گزارش عدم امکان جمع و دلیل ترجیح ثبت شود. نتیجه‌ای که این مقدمات را ندارد، با تکرار عنوان تزاحم مستدل نمی‌شود. امکان بازبینی داده‌ها و تصمیم نیز بخشی از مسئولیت در تشخیص موضوع است.</w:t>
      </w:r>
    </w:p>
    <w:p>
      <w:pPr>
        <w:pStyle w:val="TH-Band"/>
        <w:keepNext w:val="1"/>
        <w:keepLines w:val="1"/>
        <w:widowControl w:val="1"/>
        <w:bidi w:val="1"/>
        <w:spacing w:before="240" w:after="100" w:line="300" w:lineRule="auto"/>
        <w:ind w:firstLine="0"/>
        <w:jc w:val="start"/>
      </w:pPr>
      <w:bookmarkStart w:id="105" w:name="_Toc000105"/>
      <w:r>
        <w:rPr>
          <w:rFonts w:ascii="B Nazanin" w:hAnsi="B Nazanin" w:cs="B Nazanin" w:eastAsia="B Nazanin"/>
          <w:b w:val="1"/>
          <w:bCs w:val="1"/>
          <w:i w:val="0"/>
          <w:color w:val="243B53"/>
          <w:sz w:val="29"/>
          <w:szCs w:val="29"/>
          <w:rtl w:val="1"/>
          <w:lang w:val="fa-IR" w:bidi="fa-IR"/>
        </w:rPr>
        <w:t>بند سوم: پاسخ به اشکال مقدّر؛ آیا تزاحم در احکام حکومتی جاری است؟</w:t>
      </w:r>
      <w:bookmarkEnd w:id="10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اختصاص دادن تزاحم به تکالیف فردی، به دلیل مستقلی نیاز دارد؛ زیرا مسئله ناتوانی از جمع در مسئولیت‌های عمومی نیز قابل تصور است. بااین‌حال، دولت و حاکم در حقوق دیگران و امور عمومی تصرف می‌کنند و قواعد صلاحیت، نمایندگی و پاسخ‌گویی بر تحلیل افزوده می‌شود. از عقلایی بودن ترجیح اهم نمی‌توان به‌تنهایی اختیار هر مقام برای عدول از معاهده را نتیجه گرفت. امکان جریان قاعده، یک مقدمه است و اثبات مرجع اعمال آن، مقدمه‌ای دیگر.</w:t>
      </w:r>
    </w:p>
    <w:p>
      <w:pPr>
        <w:pStyle w:val="TH-Goftar"/>
        <w:keepNext w:val="1"/>
        <w:keepLines w:val="1"/>
        <w:widowControl w:val="1"/>
        <w:shd w:val="clear" w:fill="F0F3F6"/>
        <w:bidi w:val="1"/>
        <w:spacing w:before="240" w:after="180" w:line="300" w:lineRule="auto"/>
        <w:ind w:firstLine="0"/>
        <w:jc w:val="start"/>
      </w:pPr>
      <w:bookmarkStart w:id="106" w:name="_Toc000106"/>
      <w:r>
        <w:rPr>
          <w:rFonts w:ascii="B Nazanin" w:hAnsi="B Nazanin" w:cs="B Nazanin" w:eastAsia="B Nazanin"/>
          <w:b w:val="1"/>
          <w:bCs w:val="1"/>
          <w:i w:val="0"/>
          <w:color w:val="243B53"/>
          <w:sz w:val="32"/>
          <w:szCs w:val="32"/>
          <w:rtl w:val="1"/>
          <w:lang w:val="fa-IR" w:bidi="fa-IR"/>
        </w:rPr>
        <w:t>گفتار دوم: حکم حکومتی؛ ابزار حل تزاحم</w:t>
      </w:r>
      <w:bookmarkEnd w:id="106"/>
    </w:p>
    <w:p>
      <w:pPr>
        <w:pStyle w:val="TH-Band"/>
        <w:keepNext w:val="1"/>
        <w:keepLines w:val="1"/>
        <w:widowControl w:val="1"/>
        <w:bidi w:val="1"/>
        <w:spacing w:before="240" w:after="100" w:line="300" w:lineRule="auto"/>
        <w:ind w:firstLine="0"/>
        <w:jc w:val="start"/>
      </w:pPr>
      <w:bookmarkStart w:id="107" w:name="_Toc000107"/>
      <w:r>
        <w:rPr>
          <w:rFonts w:ascii="B Nazanin" w:hAnsi="B Nazanin" w:cs="B Nazanin" w:eastAsia="B Nazanin"/>
          <w:b w:val="1"/>
          <w:bCs w:val="1"/>
          <w:i w:val="0"/>
          <w:color w:val="243B53"/>
          <w:sz w:val="29"/>
          <w:szCs w:val="29"/>
          <w:rtl w:val="1"/>
          <w:lang w:val="fa-IR" w:bidi="fa-IR"/>
        </w:rPr>
        <w:t>بند اول: نظریه حکم حکومتی امام خمینی</w:t>
      </w:r>
      <w:bookmarkEnd w:id="10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در نظریه امام خمینی، حکومت یکی از احکام اولیه اسلام و دارای ظرفیت تصمیم‌گیری برای مصالح عمومی توصیف شده است. بیان مشهور تقدم حکومت بر احکام فرعیه، در نامه ۱۶ دی ۱۳۶۶ به آقای خامنه‌ای آمده است، نه در نامه به آقای قدیری. در همان متن، امکان لغو یک‌جانبه قراردادهای حکومت با مردم در فرض مخالفت با مصالح کشور و اسلام نیز ذکر می‌شود. برای استدلال این رساله، هم عبارت و هم موضوع آن مهم‌اند؛ رابطه دقیق این نظریه با تزاحم اصطلاحی، نیازمند تحلیل است و نباید صرفاً مفروض انگاشته شود.</w:t>
      </w:r>
      <w:r>
        <w:rPr>
          <w:rFonts w:ascii="B Nazanin" w:hAnsi="B Nazanin" w:cs="B Nazanin" w:eastAsia="B Nazanin"/>
          <w:b w:val="0"/>
          <w:bCs w:val="0"/>
          <w:i w:val="0"/>
          <w:sz w:val="20"/>
          <w:szCs w:val="20"/>
          <w:vertAlign w:val="superscript"/>
          <w:rtl w:val="1"/>
          <w:lang w:val="fa-IR" w:bidi="fa-IR"/>
        </w:rPr>
        <w:footnoteReference w:id="84"/>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نص نامه درباره قراردادهای حکومت با مردم، از قیاس کلیِ اهمیت عبادات با پیمان خارجی به موضوع نزدیک‌تر است؛ بااین‌حال، تعمیم آن به رابطه دولت‌ها همچنان محتاج استدلال درباره قلمرو ولایت و حقوق طرف خارجی است. وفای به عهد را نمی‌توان صرفاً حکمی کم‌اهمیت یا ابزاری دانست و از آن قیاس اولویت قطعی ساخت. حتی با پذیرش جواز داخلی، اثر تصمیم بر تعهد بین‌المللی باید بر اساس حقوق معاهدات و مسئولیت بررسی شود.</w:t>
      </w:r>
    </w:p>
    <w:p>
      <w:pPr>
        <w:pStyle w:val="TH-Band"/>
        <w:keepNext w:val="1"/>
        <w:keepLines w:val="1"/>
        <w:widowControl w:val="1"/>
        <w:bidi w:val="1"/>
        <w:spacing w:before="240" w:after="100" w:line="300" w:lineRule="auto"/>
        <w:ind w:firstLine="0"/>
        <w:jc w:val="start"/>
      </w:pPr>
      <w:bookmarkStart w:id="108" w:name="_Toc000108"/>
      <w:r>
        <w:rPr>
          <w:rFonts w:ascii="B Nazanin" w:hAnsi="B Nazanin" w:cs="B Nazanin" w:eastAsia="B Nazanin"/>
          <w:b w:val="1"/>
          <w:bCs w:val="1"/>
          <w:i w:val="0"/>
          <w:color w:val="243B53"/>
          <w:sz w:val="29"/>
          <w:szCs w:val="29"/>
          <w:rtl w:val="1"/>
          <w:lang w:val="fa-IR" w:bidi="fa-IR"/>
        </w:rPr>
        <w:t>بند دوم: شرایط حکم حکومتی در مسئله ما</w:t>
      </w:r>
      <w:bookmarkEnd w:id="10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در فرض مورد بحث، اعتبار تصمیم حکومتی دست‌کم به چهار جهت وابسته است: صلاحیت صادرکننده، مبنای معتبر، تحقق موضوع استثنایی و صورت روشن و قابل ابلاغ تصمیم. این شرایط، ادعای جامعیت همه احکام حکومتی را ندارند؛ بلکه متناسب با موضوع خاص عدول تنظیم شده‌اند.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از حیث مقام، تصمیم باید از مرجع دارای صلاحیت یا مأذون معتبر صادر شود. در چارچوب فرضیه رساله، مداخله نهایی رهبری در وضعیت فوق‌العاده بررسی می‌شود؛ اما از این فرض نمی‌توان اختیارهای مستقل قانونی مجلس، دولت یا نمایندگان مجاز را انکار کرد. ذیل اصل ۱۱۰ نیز تفویض برخی وظایف و اختیارات را می‌پذیرد. تشخیص مرجع در هر مورد، به نوع اقدام و مستند صلاحیت آن وابسته 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از حیث مبنا، تصمیم باید بر مصلحت عمومیِ احرازشده از راه معتبر استوار باشد، نه منفعت شخصی یا جناحی. بااین‌حال، اختلاف در ارزیابی مصلحت، خودبه‌خود مجوز کنار گذاشتن تصمیم برای هر مخاطب نیست. بحث حجیت حکم، خطای موضوعی و مسیر اعتراض یا بازبینی، مبانی و شرایط مستقلی دارد. رساله در این‌جا معیار ارزیابی علمی تصمیم را بیان می‌کند، نه حکم عام درباره تکلیف اطاعت در هر اختلاف.</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از حیث مورد، اگر عدول با تحلیل تزاحم توجیه می‌شود، باید همان تزاحم و مرجح احراز شوند. همه احکام حکومتی لزوماً ناشی از تزاحم دو واجب نیستند؛ محدودیت حاضر، ناظر به صورت استثنایی موضوع رساله است. تعمیم آن به تعریف همه تصمیم‌های حکومتی، خارج از استدلال این پژوهش خواهد بود.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از حیث صورت، موضوع، دامنه، مجریان، مدت یا شرط بازبینی و مبنای تصمیم باید روشن باشد. ابلاغ معتبر به طرف خارجی و رعایت آیین معاهده از انتشار عمومی همه جزئیات جداست؛ محرمانگی مشروع برخی داده‌های کارشناسی، با غدر یکسان نیست. در مقابل، پنهان کردن عدم اجرا به‌گونه‌ای که اعتماد عهدی طرف مقابل را وسیله فریب سازد، نیازمند ارزیابی مستقل و جدی است.</w:t>
      </w:r>
    </w:p>
    <w:p>
      <w:pPr>
        <w:pStyle w:val="TH-Band"/>
        <w:keepNext w:val="1"/>
        <w:keepLines w:val="1"/>
        <w:widowControl w:val="1"/>
        <w:bidi w:val="1"/>
        <w:spacing w:before="240" w:after="100" w:line="300" w:lineRule="auto"/>
        <w:ind w:firstLine="0"/>
        <w:jc w:val="start"/>
      </w:pPr>
      <w:bookmarkStart w:id="109" w:name="_Toc000109"/>
      <w:r>
        <w:rPr>
          <w:rFonts w:ascii="B Nazanin" w:hAnsi="B Nazanin" w:cs="B Nazanin" w:eastAsia="B Nazanin"/>
          <w:b w:val="1"/>
          <w:bCs w:val="1"/>
          <w:i w:val="0"/>
          <w:color w:val="243B53"/>
          <w:sz w:val="29"/>
          <w:szCs w:val="29"/>
          <w:rtl w:val="1"/>
          <w:lang w:val="fa-IR" w:bidi="fa-IR"/>
        </w:rPr>
        <w:t>بند سوم: پاسخ به اشکال مقدّر؛ آیا حکم حکومتی شامل تعهدات بین‌المللی می‌شود؟</w:t>
      </w:r>
      <w:bookmarkEnd w:id="10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سیاست خارجی بخشی از اداره امور عمومی است و از این جهت می‌تواند در قلمرو نظریه حکم حکومتی بررسی شود. بااین‌حال، این گزاره فقط امکان طرح مسئله را اثبات می‌کند؛ اختیار خاص برای عدم اجرا، نسبت آن با صلاحیت نهادهای قانونی و آثار حقوق اشخاص باید جداگانه مستدل شوند. سیره عهدنامه‌ای نیز اصل حکومتی بودن برخی تصمیم‌ها را نشان می‌دهد، نه آن‌که همه شرایط تعمیم اختیار به فقیه و همه آثار بین‌المللی از آن نتیجه شود.</w:t>
      </w:r>
    </w:p>
    <w:p>
      <w:pPr>
        <w:pStyle w:val="TH-Goftar"/>
        <w:keepNext w:val="1"/>
        <w:keepLines w:val="1"/>
        <w:widowControl w:val="1"/>
        <w:shd w:val="clear" w:fill="F0F3F6"/>
        <w:bidi w:val="1"/>
        <w:spacing w:before="240" w:after="180" w:line="300" w:lineRule="auto"/>
        <w:ind w:firstLine="0"/>
        <w:jc w:val="start"/>
      </w:pPr>
      <w:bookmarkStart w:id="110" w:name="_Toc000110"/>
      <w:r>
        <w:rPr>
          <w:rFonts w:ascii="B Nazanin" w:hAnsi="B Nazanin" w:cs="B Nazanin" w:eastAsia="B Nazanin"/>
          <w:b w:val="1"/>
          <w:bCs w:val="1"/>
          <w:i w:val="0"/>
          <w:color w:val="243B53"/>
          <w:sz w:val="32"/>
          <w:szCs w:val="32"/>
          <w:rtl w:val="1"/>
          <w:lang w:val="fa-IR" w:bidi="fa-IR"/>
        </w:rPr>
        <w:t>گفتار سوم: قواعد نفی ضرر و حرج و مصلحت نظام</w:t>
      </w:r>
      <w:bookmarkEnd w:id="110"/>
    </w:p>
    <w:p>
      <w:pPr>
        <w:pStyle w:val="TH-Band"/>
        <w:keepNext w:val="1"/>
        <w:keepLines w:val="1"/>
        <w:widowControl w:val="1"/>
        <w:bidi w:val="1"/>
        <w:spacing w:before="240" w:after="100" w:line="300" w:lineRule="auto"/>
        <w:ind w:firstLine="0"/>
        <w:jc w:val="start"/>
      </w:pPr>
      <w:bookmarkStart w:id="111" w:name="_Toc000111"/>
      <w:r>
        <w:rPr>
          <w:rFonts w:ascii="B Nazanin" w:hAnsi="B Nazanin" w:cs="B Nazanin" w:eastAsia="B Nazanin"/>
          <w:b w:val="1"/>
          <w:bCs w:val="1"/>
          <w:i w:val="0"/>
          <w:color w:val="243B53"/>
          <w:sz w:val="29"/>
          <w:szCs w:val="29"/>
          <w:rtl w:val="1"/>
          <w:lang w:val="fa-IR" w:bidi="fa-IR"/>
        </w:rPr>
        <w:t xml:space="preserve">بند اول: قاعده لاضرر و حدود استناد به آن</w:t>
      </w:r>
      <w:bookmarkEnd w:id="111"/>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 xml:space="preserve">لَا ضَرَرَ وَلَا ضِرَارَ.</w:t>
      </w:r>
      <w:r>
        <w:rPr>
          <w:rFonts w:ascii="B Nazanin" w:hAnsi="B Nazanin" w:cs="B Nazanin" w:eastAsia="B Nazanin"/>
          <w:b w:val="0"/>
          <w:bCs w:val="0"/>
          <w:i w:val="0"/>
          <w:color w:val="202A35"/>
          <w:sz w:val="20"/>
          <w:szCs w:val="20"/>
          <w:vertAlign w:val="superscript"/>
          <w:rtl w:val="1"/>
          <w:lang w:val="ar-SA" w:bidi="ar-SA"/>
        </w:rPr>
        <w:footnoteReference w:id="85"/>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درباره مفاد لاضرر، تقریرهای متفاوتی مانند نفی حکم ضرری، نهی از اضرار و تفسیر حکومتی مطرح شده است. بنابراین، عبارت «هر حکم زیان‌بار برداشته می‌شود» بیان جامعی از قاعده نیست. در معاهده، هر هزینه یا کاهش منفعت، ضررِ رافع الزام محسوب نمی‌شود؛ اعتبار تعهد، اقدام آگاهانه، حقوق طرف مقابل و دیگر محدودیت‌های قاعده باید بررسی شوند. استناد به زیان عمومی بدون تعیین موضوع و مبنای اصولی، برای اثبات جواز عدول کافی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حکومت لاضرر بر ادله احکام، در یکی از تقریرهای اصولی، ناظر به نحوه رابطه دلالی ادله است و با «حکومت» به معنای نهاد سیاسی تفاوت دارد. پذیرش این تقریر نیز خودبه‌خود اختیار فسخ یا خاتمه معاهده را اثبات نمی‌کند. رفع یک الزام تکلیفی، اثبات صلاحیت انحلال و زوال ضمان سه مسئله متمایزند. رساله از لاضرر فقط در حدود مقدمات احرازشده استفاده می‌کند، نه به‌عنوان مجوز مستقل و فراگیر ترک تعهدات.</w:t>
      </w:r>
    </w:p>
    <w:p>
      <w:pPr>
        <w:pStyle w:val="TH-Band"/>
        <w:keepNext w:val="1"/>
        <w:keepLines w:val="1"/>
        <w:widowControl w:val="1"/>
        <w:bidi w:val="1"/>
        <w:spacing w:before="240" w:after="100" w:line="300" w:lineRule="auto"/>
        <w:ind w:firstLine="0"/>
        <w:jc w:val="start"/>
      </w:pPr>
      <w:bookmarkStart w:id="112" w:name="_Toc000112"/>
      <w:r>
        <w:rPr>
          <w:rFonts w:ascii="B Nazanin" w:hAnsi="B Nazanin" w:cs="B Nazanin" w:eastAsia="B Nazanin"/>
          <w:b w:val="1"/>
          <w:bCs w:val="1"/>
          <w:i w:val="0"/>
          <w:color w:val="243B53"/>
          <w:sz w:val="29"/>
          <w:szCs w:val="29"/>
          <w:rtl w:val="1"/>
          <w:lang w:val="fa-IR" w:bidi="fa-IR"/>
        </w:rPr>
        <w:t xml:space="preserve">بند دوم: قاعده لاحرج و تشخیص مشقت معتبر</w:t>
      </w:r>
      <w:bookmarkEnd w:id="112"/>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وَمَا جَعَلَ عَلَیْکُمْ فِی الدِّینِ مِنْ حَرَجٍ</w:t>
      </w:r>
      <w:r>
        <w:rPr>
          <w:rFonts w:ascii="B Nazanin" w:hAnsi="B Nazanin" w:cs="B Nazanin" w:eastAsia="B Nazanin"/>
          <w:b w:val="0"/>
          <w:bCs w:val="0"/>
          <w:i w:val="0"/>
          <w:color w:val="202A35"/>
          <w:sz w:val="20"/>
          <w:szCs w:val="20"/>
          <w:vertAlign w:val="superscript"/>
          <w:rtl w:val="1"/>
          <w:lang w:val="ar-SA" w:bidi="ar-SA"/>
        </w:rPr>
        <w:footnoteReference w:id="86"/>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قاعده نفی حرج، در قلمرو معتبر خود، ناظر به رفع الزام حرجی است؛ هر دشواری یا هزینه متعارف اجرای تعهد، حرج محسوب نمی‌شود. در مسائل عمومی باید روشن شود موضوع حکم و مکلف چه کسی است و مشقت ادعاشده چگونه به حقوق و وضعیت مردم بازمی‌گردد. همچنین رفع الزام، به‌تنهایی صلاحیت انحلال یا رفع آثار مالی را ثابت نمی‌کند. ازاین‌رو، کاربرد قاعده در معاهده، محتاج تحلیل مستقلی از موضوع، حدود و تعارض با حقوق دیگران است.</w:t>
      </w:r>
    </w:p>
    <w:p>
      <w:pPr>
        <w:pStyle w:val="TH-Band"/>
        <w:keepNext w:val="1"/>
        <w:keepLines w:val="1"/>
        <w:widowControl w:val="1"/>
        <w:bidi w:val="1"/>
        <w:spacing w:before="240" w:after="100" w:line="300" w:lineRule="auto"/>
        <w:ind w:firstLine="0"/>
        <w:jc w:val="start"/>
      </w:pPr>
      <w:bookmarkStart w:id="113" w:name="_Toc000113"/>
      <w:r>
        <w:rPr>
          <w:rFonts w:ascii="B Nazanin" w:hAnsi="B Nazanin" w:cs="B Nazanin" w:eastAsia="B Nazanin"/>
          <w:b w:val="1"/>
          <w:bCs w:val="1"/>
          <w:i w:val="0"/>
          <w:color w:val="243B53"/>
          <w:sz w:val="29"/>
          <w:szCs w:val="29"/>
          <w:rtl w:val="1"/>
          <w:lang w:val="fa-IR" w:bidi="fa-IR"/>
        </w:rPr>
        <w:t xml:space="preserve">بند سوم: حفظ نظام و لزوم احراز موضوع و اهمیت</w:t>
      </w:r>
      <w:bookmarkEnd w:id="11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حفظ نظم اجتماعی، امنیت و امکان اجرای حقوق و تکالیف، از مصالح مهم حکمرانی است. در عین حال، باید میان حفظ نظم عمومی، صیانت از جامعه اسلامی و حفظ موقعیت اشخاص یا یک دولت تفکیک کرد. عبارت‌های کلی درباره اهمیت حفظ نظام، بدون تعیین متعلق و مورد، تقدم همیشگی بر هر تکلیف را اثبات نمی‌کنند. نقل لفظی «اوجب واجبات» نیز نیازمند مأخذ دقیق است؛ در این رساله، متن احرازشده نامه ۱۶ دی ۱۳۶۶ مبنای بررسی نظریه حکومتی است، نه انتساب نقل تأییدنشده.</w:t>
      </w:r>
      <w:r>
        <w:rPr>
          <w:rFonts w:ascii="B Nazanin" w:hAnsi="B Nazanin" w:cs="B Nazanin" w:eastAsia="B Nazanin"/>
          <w:b w:val="0"/>
          <w:bCs w:val="0"/>
          <w:i w:val="0"/>
          <w:sz w:val="20"/>
          <w:szCs w:val="20"/>
          <w:vertAlign w:val="superscript"/>
          <w:rtl w:val="1"/>
          <w:lang w:val="fa-IR" w:bidi="fa-IR"/>
        </w:rPr>
        <w:footnoteReference w:id="8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کاربرد عنوان حفظ نظام باید با بیان خطر مشخص، دلیل احتمال و شدت آن و رابطه اقدام پیشنهادی با دفع خطر همراه باشد. خود عهدشکنی نیز ممکن است نظم و اعتماد عمومی را تضعیف کند؛ ازاین‌رو، دو طرف ارزیابی باید سنجیده شوند. ضوابط بعدی برای محدود کردن ادعای کلی و قابل ارزیابی ساختن تصمیم پیشنهاد می‌شوند؛ وجود آن‌ها خطر خطا را کاهش می‌دهد، اما تصمیم را خطاناپذیر نمی‌سازد.</w:t>
      </w:r>
    </w:p>
    <w:p>
      <w:pPr>
        <w:pStyle w:val="TH-Goftar"/>
        <w:keepNext w:val="1"/>
        <w:keepLines w:val="1"/>
        <w:widowControl w:val="1"/>
        <w:shd w:val="clear" w:fill="F0F3F6"/>
        <w:bidi w:val="1"/>
        <w:spacing w:before="240" w:after="180" w:line="300" w:lineRule="auto"/>
        <w:ind w:firstLine="0"/>
        <w:jc w:val="start"/>
      </w:pPr>
      <w:bookmarkStart w:id="114" w:name="_Toc000114"/>
      <w:r>
        <w:rPr>
          <w:rFonts w:ascii="B Nazanin" w:hAnsi="B Nazanin" w:cs="B Nazanin" w:eastAsia="B Nazanin"/>
          <w:b w:val="1"/>
          <w:bCs w:val="1"/>
          <w:i w:val="0"/>
          <w:color w:val="243B53"/>
          <w:sz w:val="32"/>
          <w:szCs w:val="32"/>
          <w:rtl w:val="1"/>
          <w:lang w:val="fa-IR" w:bidi="fa-IR"/>
        </w:rPr>
        <w:t>گفتار چهارم: ضوابط هشت‌گانه عدول حکومتی</w:t>
      </w:r>
      <w:bookmarkEnd w:id="114"/>
    </w:p>
    <w:p>
      <w:pPr>
        <w:pStyle w:val="TH-Band"/>
        <w:keepNext w:val="1"/>
        <w:keepLines w:val="1"/>
        <w:widowControl w:val="1"/>
        <w:bidi w:val="1"/>
        <w:spacing w:before="240" w:after="100" w:line="300" w:lineRule="auto"/>
        <w:ind w:firstLine="0"/>
        <w:jc w:val="start"/>
      </w:pPr>
      <w:bookmarkStart w:id="115" w:name="_Toc000115"/>
      <w:r>
        <w:rPr>
          <w:rFonts w:ascii="B Nazanin" w:hAnsi="B Nazanin" w:cs="B Nazanin" w:eastAsia="B Nazanin"/>
          <w:b w:val="1"/>
          <w:bCs w:val="1"/>
          <w:i w:val="0"/>
          <w:color w:val="243B53"/>
          <w:sz w:val="29"/>
          <w:szCs w:val="29"/>
          <w:rtl w:val="1"/>
          <w:lang w:val="fa-IR" w:bidi="fa-IR"/>
        </w:rPr>
        <w:t>بند اول: ضابطه اول تا سوم؛ تزاحم، تقدم راه حقوقی، تشخیص ولی فقیه</w:t>
      </w:r>
      <w:bookmarkEnd w:id="11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ضوابط هشت‌گانه، چارچوب پیشنهادی این رساله برای ارزیابی عدول فوق‌العاده‌اند. برخی ناظر به جواز فقهی، برخی به صلاحیت و شیوه تصمیم و برخی به مشروعیت بین‌المللی یا ارزیابی پیامدها مربوط‌اند. بنابراین، رعایت مجموعه آن‌ها شرط کافیِ اثبات صحت در همه نظام‌ها نیست؛ هر سطح باید با ادله خود بررسی شود. برای هر ضابطه نیز باید مستند، مرجع بررسی و نتیجه روشن ثبت گردد.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ضابطه نخست، احراز تزاحم واقعی است: تعهد معتبر، تکلیف مقابل و عدم امکان جمع باید مشخص باشند. گزارش کارشناسی باید میان واقعیت احرازشده، پیش‌بینی احتمالی و فرض خلاف واقع تفکیک کند. تغییر منفعت، نارضایتی سیاسی یا ادعای کلی خطر، به‌تنهایی برای کنار گذاشتن اصل وفا کافی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ضابطه دوم، بررسی و تقدم راه معتبرِ کافی و قابل دسترس است؛ مانند اصلاح شیوه اجرا، اعمال حق قراردادی، مذاکره یا تعلیق توافقی. تقدم، ناظر به راهی است که در زمان لازم مسئله را واقعاً حل می‌کند. در مقابل، صرف آغاز مذاکره یا شکست آن، خود مجوز عدول ایجاد نمی‌کند. نتیجه باید بر مقایسه مستند گزینه‌ها و شرایط نهاد حقوقی مورد استناد استوار باشد.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ضابطه سوم، تصمیم مرجع صلاحیت‌دار با پشتوانه کارشناسی است. در فرض مداخله رهبری، نقش وزارت امور خارجه، نهادهای حقوقی، مجلس، شورای عالی امنیت ملی یا مجمع باید بر اساس مستند قانونی هر مورد تعیین شود؛ ورود همه آن‌ها در همه پرونده‌ها مفروض نیست. اگر بند ۸ اصل ۱۱۰ مبنا قرار گیرد، مجرای مجمع قابل حذف نیست. نظر مخالف کارشناسی نیز باید ثبت و پاسخ آن روشن شود.</w:t>
      </w:r>
    </w:p>
    <w:p>
      <w:pPr>
        <w:pStyle w:val="TH-Band"/>
        <w:keepNext w:val="1"/>
        <w:keepLines w:val="1"/>
        <w:widowControl w:val="1"/>
        <w:bidi w:val="1"/>
        <w:spacing w:before="240" w:after="100" w:line="300" w:lineRule="auto"/>
        <w:ind w:firstLine="0"/>
        <w:jc w:val="start"/>
      </w:pPr>
      <w:bookmarkStart w:id="116" w:name="_Toc000116"/>
      <w:r>
        <w:rPr>
          <w:rFonts w:ascii="B Nazanin" w:hAnsi="B Nazanin" w:cs="B Nazanin" w:eastAsia="B Nazanin"/>
          <w:b w:val="1"/>
          <w:bCs w:val="1"/>
          <w:i w:val="0"/>
          <w:color w:val="243B53"/>
          <w:sz w:val="29"/>
          <w:szCs w:val="29"/>
          <w:rtl w:val="1"/>
          <w:lang w:val="fa-IR" w:bidi="fa-IR"/>
        </w:rPr>
        <w:t>بند دوم: ضابطه چهارم تا ششم؛ تناسب، موقت بودن، انباذ</w:t>
      </w:r>
      <w:bookmarkEnd w:id="11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ضابطه چهارم، تناسب است. دامنه و شدت عدم اجرا باید از مقدار لازم برای رفع موضوع احرازشده فراتر نرود. بااین‌حال، جزئی بودن اقدام نیز محتاج جواز است؛ ممکن است قواعد تفکیک‌پذیری یا متن معاهده، تعلیق دلخواه یک بند را نپذیرند. بنابراین، «کمترین اقدام کافی» باید در کنار امکان حقوقی همان اقدام بررسی شود، نه مستقل از آن.</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ضابطه پنجم، محدود بودن تصمیم به دوام سبب و امکان بازبینی است. تزاحم به تعریف همیشه کوتاه‌مدت نیست؛ ولی تا زمانی که سبب باقی است، دامنه استثنا باید دوباره ارزیابی شود. تعیین موعد بازبینی، شاخص رفع خطر و تکلیف ازسرگیری اجرا اهمیت دارد. خاتمه معتبر و دائمی نیز با توقف موقت متفاوت است و بازگشت پس از آن ممکن است به توافق یا تشریفات تازه نیاز داشته باشد.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ضابطه ششم، اعلام معتبر و پرهیز از غدر است. مخاطب، محتوا و زمان ابلاغ باید با متن معاهده و قواعد قابل اعمال سازگار باشد. اخطار به امین معاهده با ثبت نزد دبیرکل یکسان نیست و دبیرکل نیز امین همه اسناد نیست. استناد به انباذ، توجه به موضوع آیه ۵۸ انفال را لازم می‌کند؛ آشکار بودن اقدام، بدون مجوز ماهوی، عدم اجرا را موجه نمی‌سازد.</w:t>
      </w:r>
    </w:p>
    <w:p>
      <w:pPr>
        <w:pStyle w:val="TH-Band"/>
        <w:keepNext w:val="1"/>
        <w:keepLines w:val="1"/>
        <w:widowControl w:val="1"/>
        <w:bidi w:val="1"/>
        <w:spacing w:before="240" w:after="100" w:line="300" w:lineRule="auto"/>
        <w:ind w:firstLine="0"/>
        <w:jc w:val="start"/>
      </w:pPr>
      <w:bookmarkStart w:id="117" w:name="_Toc000117"/>
      <w:r>
        <w:rPr>
          <w:rFonts w:ascii="B Nazanin" w:hAnsi="B Nazanin" w:cs="B Nazanin" w:eastAsia="B Nazanin"/>
          <w:b w:val="1"/>
          <w:bCs w:val="1"/>
          <w:i w:val="0"/>
          <w:color w:val="243B53"/>
          <w:sz w:val="29"/>
          <w:szCs w:val="29"/>
          <w:rtl w:val="1"/>
          <w:lang w:val="fa-IR" w:bidi="fa-IR"/>
        </w:rPr>
        <w:t>بند سوم: ضابطه هفتم و هشتم؛ قواعد آمره و لحاظ آثار</w:t>
      </w:r>
      <w:bookmarkEnd w:id="11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ضابطه هفتم، رعایت محدودیت‌های غیرقابل عدول است. در حقوق بین‌الملل، ماده ۲۶ مواد مسئولیت اجازه استناد به اسباب رافع در برابر نقض تعهد ناشی از قاعده آمره را نمی‌دهد. در تحلیل فقهی نیز حرمت خون ناحق و دیگر حدود قطعی باید رعایت شوند. بااین‌حال، انطباق همه مصادیق قواعد آمره با همه احکام ثابت شرعی، ادعایی مستقل و نیازمند پژوهش است؛ مشابهت برخی مصادیق، وحدت کامل دو مجموعه را ثابت نمی‌کند.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ضابطه هشتم، بررسی همه پیامدهای قابل پیش‌بینی است: مسئولیت بین‌المللی، حقوق طرف‌ها و اشخاص، آثار اقتصادی و اجتماعی و اعتماد آینده. این ارزیابی صرفاً محاسبه پولیِ سود منهای هزینه نیست؛ حقوق و منع‌های معتبر را نمی‌توان با منفعت مالی تهاتر کرد. سناریوهای بدیل، دامنه عدم‌قطعیت و توزیع هزینه میان مردم باید در گزارش تصمیم ثبت شوند تا ادعای اهمیت، بر اطلاعات یک‌سویه استوار نباشد.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این مجموعه، مبنای چک‌لیست پیوست نخست است. نتیجه هر مرحله باید به تصمیم مشخص بینجامد: ادامه بررسی، اصلاح گزینه، ارجاع به مرجع دیگر یا توقف اقدام. چک‌لیست ابزار کنترل است، نه جایگزین استدلال؛ تکمیل ظاهری خانه‌ها، بدون دلیل و مرجع مسئول، جواز ایجاد نمی‌کند.</w:t>
      </w:r>
    </w:p>
    <w:p>
      <w:pPr>
        <w:pStyle w:val="TH-Goftar"/>
        <w:keepNext w:val="1"/>
        <w:keepLines w:val="1"/>
        <w:widowControl w:val="1"/>
        <w:shd w:val="clear" w:fill="F0F3F6"/>
        <w:bidi w:val="1"/>
        <w:spacing w:before="240" w:after="180" w:line="300" w:lineRule="auto"/>
        <w:ind w:firstLine="0"/>
        <w:jc w:val="start"/>
      </w:pPr>
      <w:bookmarkStart w:id="118" w:name="_Toc000118"/>
      <w:r>
        <w:rPr>
          <w:rFonts w:ascii="B Nazanin" w:hAnsi="B Nazanin" w:cs="B Nazanin" w:eastAsia="B Nazanin"/>
          <w:b w:val="1"/>
          <w:bCs w:val="1"/>
          <w:i w:val="0"/>
          <w:color w:val="243B53"/>
          <w:sz w:val="32"/>
          <w:szCs w:val="32"/>
          <w:rtl w:val="1"/>
          <w:lang w:val="fa-IR" w:bidi="fa-IR"/>
        </w:rPr>
        <w:t>گفتار پنجم: دفع اشکالات مقدّر؛ آزمون استحکام</w:t>
      </w:r>
      <w:bookmarkEnd w:id="11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استحکام چارچوب پیشنهادی به پاسخ‌گویی به اشکال‌های مؤثر وابسته است. سه اعتراض اصلی عبارت‌اند از: احتمال کنار گذاشتن نص به نام مصلحت، امکان سوءاستفاده از اختیار و مسئله تعارض منافع در تشخیص موضوع. پاسخ‌ها باید محدودیت‌های واقعی را بپذیرند و به ادعای مصونیت کامل تصمیم از خطا یا سوءاستفاده نینجامند.</w:t>
      </w:r>
    </w:p>
    <w:p>
      <w:pPr>
        <w:pStyle w:val="TH-Band"/>
        <w:keepNext w:val="1"/>
        <w:keepLines w:val="1"/>
        <w:widowControl w:val="1"/>
        <w:bidi w:val="1"/>
        <w:spacing w:before="240" w:after="100" w:line="300" w:lineRule="auto"/>
        <w:ind w:firstLine="0"/>
        <w:jc w:val="start"/>
      </w:pPr>
      <w:bookmarkStart w:id="119" w:name="_Toc000119"/>
      <w:r>
        <w:rPr>
          <w:rFonts w:ascii="B Nazanin" w:hAnsi="B Nazanin" w:cs="B Nazanin" w:eastAsia="B Nazanin"/>
          <w:b w:val="1"/>
          <w:bCs w:val="1"/>
          <w:i w:val="0"/>
          <w:color w:val="243B53"/>
          <w:sz w:val="29"/>
          <w:szCs w:val="29"/>
          <w:rtl w:val="1"/>
          <w:lang w:val="fa-IR" w:bidi="fa-IR"/>
        </w:rPr>
        <w:t>بند اول: آیا تقدیم مصلحت بر نص، تعطیل نص نیست؟</w:t>
      </w:r>
      <w:bookmarkEnd w:id="11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اشکال نخست آن است که تقدیم مصلحتِ تشخیص‌داده‌شده بر فرمان وفا، ممکن است به تعطیل نص و جایگزینی رأی شخصی بینجامد. این اشکال زمانی جدی‌تر است که تکلیف مقابل یا معیار اهمیت، جز با تعبیر کلی مصلحت بیان نشده باشد. بنابراین، مدعی استثنا باید نشان دهد استدلال او درون قواعد معتبر استنباط باقی می‌ماند.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پاسخ در تحلیل تزاحمی آن است که رأی شخصی جای نص نمی‌نشیند؛ دو تکلیف معتبر و عدم امکان جمع باید اثبات شوند و ترجیح در مقام امتثال انجام گیرد. در بحث لاضرر یا دیگر قواعد نیز رابطه ادله باید بر مبنای مربوط توضیح داده شود، نه با خلط آن با تزاحم. همه مستندهای حفظ نظام نیز الزاماً «نص» به معنای فنی نیستند. اگر مقدمات معتبر یا معیار ترجیح فراهم نباشد، اشکال وارد است و اصل وفا با عنوان مصلحت کنار نمی‌رود.</w:t>
      </w:r>
    </w:p>
    <w:p>
      <w:pPr>
        <w:pStyle w:val="TH-Band"/>
        <w:keepNext w:val="1"/>
        <w:keepLines w:val="1"/>
        <w:widowControl w:val="1"/>
        <w:bidi w:val="1"/>
        <w:spacing w:before="240" w:after="100" w:line="300" w:lineRule="auto"/>
        <w:ind w:firstLine="0"/>
        <w:jc w:val="start"/>
      </w:pPr>
      <w:bookmarkStart w:id="120" w:name="_Toc000120"/>
      <w:r>
        <w:rPr>
          <w:rFonts w:ascii="B Nazanin" w:hAnsi="B Nazanin" w:cs="B Nazanin" w:eastAsia="B Nazanin"/>
          <w:b w:val="1"/>
          <w:bCs w:val="1"/>
          <w:i w:val="0"/>
          <w:color w:val="243B53"/>
          <w:sz w:val="29"/>
          <w:szCs w:val="29"/>
          <w:rtl w:val="1"/>
          <w:lang w:val="fa-IR" w:bidi="fa-IR"/>
        </w:rPr>
        <w:t>بند دوم: آیا این راه به توجیه هر عهدشکنی نمی‌انجامد؟</w:t>
      </w:r>
      <w:bookmarkEnd w:id="12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اشکال دوم، خطر تبدیل استثنا به قاعده است: مقام تصمیم‌گیر ممکن است هر ناکامی یا هزینه را خطر اساسی بنامد و با تکرار عنوان ضرورت، التزام را بی‌اثر کند. صرف اعلام محدود بودن اختیار برای پاسخ کافی نیست؛ باید معلوم شود چه نهادی و با چه داده‌ای، ادعای ضرورت و دوام آن را ارزیابی 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پاسخ پیشنهادی، الزام به ثبت دلایل، بررسی گزینه‌های بدیل، اخذ نظرهای تخصصی متعارض، تعیین مدت بازبینی و پاسخ‌گویی در مجاری قانونی است. این سازوکارها خطر سوءاستفاده را کاهش می‌دهند، نه آن‌که آن را ناممکن کنند. همچنین نقد گستره یک اختیار، مساوی با تعطیل همه اختیارات عمومی نیست؛ مشروعیت هر صلاحیت باید مستقل از این دوگانه اثبات شود. قوت چارچوب به امکان واقعی ارزیابی و اصلاح وابسته است.</w:t>
      </w:r>
    </w:p>
    <w:p>
      <w:pPr>
        <w:pStyle w:val="TH-Band"/>
        <w:keepNext w:val="1"/>
        <w:keepLines w:val="1"/>
        <w:widowControl w:val="1"/>
        <w:bidi w:val="1"/>
        <w:spacing w:before="240" w:after="100" w:line="300" w:lineRule="auto"/>
        <w:ind w:firstLine="0"/>
        <w:jc w:val="start"/>
      </w:pPr>
      <w:bookmarkStart w:id="121" w:name="_Toc000121"/>
      <w:r>
        <w:rPr>
          <w:rFonts w:ascii="B Nazanin" w:hAnsi="B Nazanin" w:cs="B Nazanin" w:eastAsia="B Nazanin"/>
          <w:b w:val="1"/>
          <w:bCs w:val="1"/>
          <w:i w:val="0"/>
          <w:color w:val="243B53"/>
          <w:sz w:val="29"/>
          <w:szCs w:val="29"/>
          <w:rtl w:val="1"/>
          <w:lang w:val="fa-IR" w:bidi="fa-IR"/>
        </w:rPr>
        <w:t>بند سوم: آیا حاکم در دعوای خودش داور است؟</w:t>
      </w:r>
      <w:bookmarkEnd w:id="12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اشکال سوم، تعارض منافع است: دولتی که خواهان رهایی از تعهد است، ممکن است ارزیابی ضرورت را به نفع خود انجام دهد. تفاوت تصمیم اجرایی با قضاوت، این خطر را از بین نمی‌برد. افزون بر آن، تشخیص یک‌طرفه دولت، طرف خارجی یا مرجع رسیدگی را ملزم به پذیرش نمی‌کند؛ بنابراین، مسئله هم بُعد داخلی دارد و هم خارجی.</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پاسخ، تفکیک صلاحیت تصمیم از حجیت نهایی آن برای دیگران است. مرجع داخلی می‌تواند در حدود اختیار تصمیم بگیرد، اما باید تعارض منافع، نظر کارشناسی مستقل و مجاری اعتراض یا بازبینی را لحاظ کند. نهادهای قانونی نیز هر یک در حدود صلاحیت خود نقش دارند؛ نظارت خبرگان بر شرایط و وظایف رهبری، جای رسیدگی حقوقی به همه آثار یک معاهده را نمی‌گیرد. در خارج، اعتبار دفاع دولت تابع قواعد و مرجع صالح بین‌المللی خواهد بود.</w:t>
      </w:r>
    </w:p>
    <w:p>
      <w:pPr>
        <w:pStyle w:val="TH-Goftar"/>
        <w:keepNext w:val="1"/>
        <w:keepLines w:val="1"/>
        <w:widowControl w:val="1"/>
        <w:shd w:val="clear" w:fill="F0F3F6"/>
        <w:bidi w:val="1"/>
        <w:spacing w:before="240" w:after="180" w:line="300" w:lineRule="auto"/>
        <w:ind w:firstLine="0"/>
        <w:jc w:val="start"/>
      </w:pPr>
      <w:bookmarkStart w:id="122" w:name="_Toc000122"/>
      <w:r>
        <w:rPr>
          <w:rFonts w:ascii="B Nazanin" w:hAnsi="B Nazanin" w:cs="B Nazanin" w:eastAsia="B Nazanin"/>
          <w:b w:val="1"/>
          <w:bCs w:val="1"/>
          <w:i w:val="0"/>
          <w:color w:val="243B53"/>
          <w:sz w:val="32"/>
          <w:szCs w:val="32"/>
          <w:rtl w:val="1"/>
          <w:lang w:val="fa-IR" w:bidi="fa-IR"/>
        </w:rPr>
        <w:t>گفتار ششم: پیشینه نظری؛ از نراقی تا امام خمینی</w:t>
      </w:r>
      <w:bookmarkEnd w:id="122"/>
    </w:p>
    <w:p>
      <w:pPr>
        <w:pStyle w:val="TH-Band"/>
        <w:keepNext w:val="1"/>
        <w:keepLines w:val="1"/>
        <w:widowControl w:val="1"/>
        <w:bidi w:val="1"/>
        <w:spacing w:before="240" w:after="100" w:line="300" w:lineRule="auto"/>
        <w:ind w:firstLine="0"/>
        <w:jc w:val="start"/>
      </w:pPr>
      <w:bookmarkStart w:id="123" w:name="_Toc000123"/>
      <w:r>
        <w:rPr>
          <w:rFonts w:ascii="B Nazanin" w:hAnsi="B Nazanin" w:cs="B Nazanin" w:eastAsia="B Nazanin"/>
          <w:b w:val="1"/>
          <w:bCs w:val="1"/>
          <w:i w:val="0"/>
          <w:color w:val="243B53"/>
          <w:sz w:val="29"/>
          <w:szCs w:val="29"/>
          <w:rtl w:val="1"/>
          <w:lang w:val="fa-IR" w:bidi="fa-IR"/>
        </w:rPr>
        <w:t xml:space="preserve">بند اول: نراقی و صورت‌بندی ولایت فقیه</w:t>
      </w:r>
      <w:bookmarkEnd w:id="12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عوائد الایام نراقی از آثار مهم در صورت‌بندی گسترده ولایت فقیه است. بااین‌حال، معرفی او به‌عنوان آغاز مطلق بحث یا نخستین فقیه قائل به هر صورت ولایت، نیازمند پژوهش تاریخی مستقل است. برای موضوع رساله باید عبارت‌های مربوط به قلمرو ولایت و امور لازمِ بی‌متولی، همراه با قیود و ادله آن‌ها مطالعه شود. نقل عنوان اثر، جای بررسی سند روایات و حدود نتیجه مؤلف را نمی‌گیرد.</w:t>
      </w:r>
      <w:r>
        <w:rPr>
          <w:rFonts w:ascii="B Nazanin" w:hAnsi="B Nazanin" w:cs="B Nazanin" w:eastAsia="B Nazanin"/>
          <w:b w:val="0"/>
          <w:bCs w:val="0"/>
          <w:i w:val="0"/>
          <w:sz w:val="20"/>
          <w:szCs w:val="20"/>
          <w:vertAlign w:val="superscript"/>
          <w:rtl w:val="1"/>
          <w:lang w:val="fa-IR" w:bidi="fa-IR"/>
        </w:rPr>
        <w:footnoteReference w:id="88"/>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کاربرد این پیشینه در رساله، شناخت مبانی احتمالی صلاحیت عمومی است؛ نه انتساب فتوای خاص درباره عدول از معاهدات معاصر به نراقی. حرکت از قاعده ولایت به یک اختیار مشخص، مستلزم اثبات موضوع، حدود نمایندگی و نسبت با حقوق دیگران است. ازاین‌رو، این بخش زمینه نظری فراهم می‌کند و بار اثبات مسئله خاص همچنان باقی است.</w:t>
      </w:r>
    </w:p>
    <w:p>
      <w:pPr>
        <w:pStyle w:val="TH-Band"/>
        <w:keepNext w:val="1"/>
        <w:keepLines w:val="1"/>
        <w:widowControl w:val="1"/>
        <w:bidi w:val="1"/>
        <w:spacing w:before="240" w:after="100" w:line="300" w:lineRule="auto"/>
        <w:ind w:firstLine="0"/>
        <w:jc w:val="start"/>
      </w:pPr>
      <w:bookmarkStart w:id="124" w:name="_Toc000124"/>
      <w:r>
        <w:rPr>
          <w:rFonts w:ascii="B Nazanin" w:hAnsi="B Nazanin" w:cs="B Nazanin" w:eastAsia="B Nazanin"/>
          <w:b w:val="1"/>
          <w:bCs w:val="1"/>
          <w:i w:val="0"/>
          <w:color w:val="243B53"/>
          <w:sz w:val="29"/>
          <w:szCs w:val="29"/>
          <w:rtl w:val="1"/>
          <w:lang w:val="fa-IR" w:bidi="fa-IR"/>
        </w:rPr>
        <w:t xml:space="preserve">بند دوم: نائینی و تحدید قدرت سیاسی</w:t>
      </w:r>
      <w:bookmarkEnd w:id="12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تنبیه الامه و تنزیه المله نائینی از منابع مهم بحث تحدید استبداد و تنظیم قدرت در زمینه مشروطه است. تحلیل آن باید مفاهیم امانت عمومی، نظارت و محدودسازی تصرف را در بستر تاریخی اثر ببیند. فروکاستن دیدگاه مؤلف به پذیرش یا انکار ساده ولایت فقیه، بدون نقل موضع دقیق، برای پژوهش کافی نیست. نسبت این اثر با نظریه حکومتی امام خمینی نیز باید تحلیلی و مستند باشد، نه به‌صورت یک خط تحول ناگزیر.</w:t>
      </w:r>
      <w:r>
        <w:rPr>
          <w:rFonts w:ascii="B Nazanin" w:hAnsi="B Nazanin" w:cs="B Nazanin" w:eastAsia="B Nazanin"/>
          <w:b w:val="0"/>
          <w:bCs w:val="0"/>
          <w:i w:val="0"/>
          <w:sz w:val="20"/>
          <w:szCs w:val="20"/>
          <w:vertAlign w:val="superscript"/>
          <w:rtl w:val="1"/>
          <w:lang w:val="fa-IR" w:bidi="fa-IR"/>
        </w:rPr>
        <w:footnoteReference w:id="89"/>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وجه مورد استفاده در این رساله، اهمیت مهار قدرت و صورت‌بندی نهادی مسئولیت عمومی است. کارشناسی، نظارت و قانون‌مندی می‌توانند در ارزیابی تصمیم معاهده‌ای نقش داشته باشند؛ اما نمی‌توان ضوابط هشت‌گانه پیشنهادی را عیناً به نائینی نسبت داد. تمایز میان الهام تحلیلی از یک اثر و نقل نظر مؤلف، در این‌جا نیز باید رعایت شود.</w:t>
      </w:r>
    </w:p>
    <w:p>
      <w:pPr>
        <w:pStyle w:val="TH-Band"/>
        <w:keepNext w:val="1"/>
        <w:keepLines w:val="1"/>
        <w:widowControl w:val="1"/>
        <w:bidi w:val="1"/>
        <w:spacing w:before="240" w:after="100" w:line="300" w:lineRule="auto"/>
        <w:ind w:firstLine="0"/>
        <w:jc w:val="start"/>
      </w:pPr>
      <w:bookmarkStart w:id="125" w:name="_Toc000125"/>
      <w:r>
        <w:rPr>
          <w:rFonts w:ascii="B Nazanin" w:hAnsi="B Nazanin" w:cs="B Nazanin" w:eastAsia="B Nazanin"/>
          <w:b w:val="1"/>
          <w:bCs w:val="1"/>
          <w:i w:val="0"/>
          <w:color w:val="243B53"/>
          <w:sz w:val="29"/>
          <w:szCs w:val="29"/>
          <w:rtl w:val="1"/>
          <w:lang w:val="fa-IR" w:bidi="fa-IR"/>
        </w:rPr>
        <w:t>بند سوم: امام خمینی؛ از کشف اسرار تا صحیفه</w:t>
      </w:r>
      <w:bookmarkEnd w:id="12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در بررسی اندیشه امام خمینی، آثار نظری و بیانات مربوط به اداره حکومت باید از یکدیگر تفکیک شوند. کتاب ولایت فقیه، مبنای اختیار حکومتی را مطرح می‌کند؛</w:t>
      </w:r>
      <w:r>
        <w:rPr>
          <w:rFonts w:ascii="B Nazanin" w:hAnsi="B Nazanin" w:cs="B Nazanin" w:eastAsia="B Nazanin"/>
          <w:b w:val="0"/>
          <w:bCs w:val="0"/>
          <w:i w:val="0"/>
          <w:sz w:val="20"/>
          <w:szCs w:val="20"/>
          <w:vertAlign w:val="superscript"/>
          <w:rtl w:val="1"/>
          <w:lang w:val="fa-IR" w:bidi="fa-IR"/>
        </w:rPr>
        <w:footnoteReference w:id="90"/>
      </w:r>
      <w:r>
        <w:rPr>
          <w:rFonts w:ascii="B Nazanin" w:hAnsi="B Nazanin" w:cs="B Nazanin" w:eastAsia="B Nazanin"/>
          <w:b w:val="0"/>
          <w:bCs w:val="0"/>
          <w:i w:val="0"/>
          <w:sz w:val="28"/>
          <w:szCs w:val="28"/>
          <w:rtl w:val="1"/>
          <w:lang w:val="fa-IR" w:bidi="fa-IR"/>
        </w:rPr>
        <w:t xml:space="preserve"> نامه ۱۶ دی ۱۳۶۶ به آقای خامنه‌ای، در صحیفه امام، جلد ۲۰، صفحات ۴۵۱ و ۴۵۲، بیان مشخصی درباره قلمرو حکومت و قراردادهای آن دارد.</w:t>
      </w:r>
      <w:r>
        <w:rPr>
          <w:rFonts w:ascii="B Nazanin" w:hAnsi="B Nazanin" w:cs="B Nazanin" w:eastAsia="B Nazanin"/>
          <w:b w:val="0"/>
          <w:bCs w:val="0"/>
          <w:i w:val="0"/>
          <w:sz w:val="20"/>
          <w:szCs w:val="20"/>
          <w:vertAlign w:val="superscript"/>
          <w:rtl w:val="1"/>
          <w:lang w:val="fa-IR" w:bidi="fa-IR"/>
        </w:rPr>
        <w:footnoteReference w:id="91"/>
      </w:r>
      <w:r>
        <w:rPr>
          <w:rFonts w:ascii="B Nazanin" w:hAnsi="B Nazanin" w:cs="B Nazanin" w:eastAsia="B Nazanin"/>
          <w:b w:val="0"/>
          <w:bCs w:val="0"/>
          <w:i w:val="0"/>
          <w:sz w:val="28"/>
          <w:szCs w:val="28"/>
          <w:rtl w:val="1"/>
          <w:lang w:val="fa-IR" w:bidi="fa-IR"/>
        </w:rPr>
        <w:t xml:space="preserve"> انتساب این مضمون به نامه قدیری درست نیست. برای تحلیل تغییر یا تکامل دیدگاه نیز مقایسه متون لازم است و صرف تقدم و تأخر زمانی، دلیل کافی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رساله در مقام تفریع مسئله معاهده بر مبنای نظریه حکومتی است، نه ادعای انتساب پاسخ تفصیلی آن به امام خمینی. همچنین نمی‌توان بدون استقصای آثار و تصمیم‌ها گفت ایشان هرگز به این فرع نپرداخته است. نتیجه پژوهش باید در حد استنباط پیشنهادی نگارنده عرضه شود و مقدمه تعمیم از قرارداد داخلی به تعهد خارجی، به‌صراحت قابل نقد باقی بماند.</w:t>
      </w:r>
    </w:p>
    <w:p>
      <w:pPr>
        <w:pStyle w:val="TH-Band"/>
        <w:keepNext w:val="1"/>
        <w:keepLines w:val="1"/>
        <w:widowControl w:val="1"/>
        <w:bidi w:val="1"/>
        <w:spacing w:before="240" w:after="100" w:line="300" w:lineRule="auto"/>
        <w:ind w:firstLine="0"/>
        <w:jc w:val="start"/>
      </w:pPr>
      <w:bookmarkStart w:id="126" w:name="_Toc000126"/>
      <w:r>
        <w:rPr>
          <w:rFonts w:ascii="B Nazanin" w:hAnsi="B Nazanin" w:cs="B Nazanin" w:eastAsia="B Nazanin"/>
          <w:b w:val="1"/>
          <w:bCs w:val="1"/>
          <w:i w:val="0"/>
          <w:color w:val="243B53"/>
          <w:sz w:val="29"/>
          <w:szCs w:val="29"/>
          <w:rtl w:val="1"/>
          <w:lang w:val="fa-IR" w:bidi="fa-IR"/>
        </w:rPr>
        <w:t xml:space="preserve">بند چهارم: صلح امام حسن؛ حدود دلالت یک شاهد تاریخی</w:t>
      </w:r>
      <w:bookmarkEnd w:id="12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صلح امام حسن در سال ۴۱ هجری، از مهم‌ترین موضوعات مطالعه سیره سیاسی است. درباره زمینه، متن شروط و جزئیات آن گزارش‌های متعددی وجود دارد. برای استدلال فقهی، باید گزارش مورد استفاده و وجه دلالت آن مشخص شود؛ اهمیت تاریخی واقعه، به‌تنهایی همه جزئیات را قطعی نمی‌کند. در این رساله، واقعه بیشتر در مقام شاهد توجه به شرایط واقعی تصمیم بررسی می‌شود.</w:t>
      </w:r>
      <w:r>
        <w:rPr>
          <w:rFonts w:ascii="B Nazanin" w:hAnsi="B Nazanin" w:cs="B Nazanin" w:eastAsia="B Nazanin"/>
          <w:b w:val="0"/>
          <w:bCs w:val="0"/>
          <w:i w:val="0"/>
          <w:sz w:val="20"/>
          <w:szCs w:val="20"/>
          <w:vertAlign w:val="superscript"/>
          <w:rtl w:val="1"/>
          <w:lang w:val="fa-IR" w:bidi="fa-IR"/>
        </w:rPr>
        <w:footnoteReference w:id="92"/>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می‌توان در تحلیل این صلح، به اهمیت حفظ جان و بقای جامعه در برابر مخاطرات ادامه درگیری توجه کرد. بااین‌حال، احراز دقیق تکالیف متزاحم و ملاک فعل امام، نیازمند شواهد معتبر است. توصیف نتیجه احتمالیِ عدم صلح به نابودی قطعی اسلام یا همه شیعیان، ادعایی خلاف‌واقع‌پژوهانه است که نباید بدون دلیل بیان شود. استفاده محتاطانه، میان گزارش تاریخی و بازسازی تحلیلی فاصله می‌گذارد.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سه نکته قابل بررسی است: لزوم شناخت توان و شرایط واقعی، اهمیت سنجش پیامدهای تصمیم و پرهیز از واگذاری داوری به هیجان عمومی. اما از انتخاب صلح به جای ادامه جنگ، جواز نقض یک عهد معتبر به طریق اولی ثابت نمی‌شود؛ موضوع دو اقدام متفاوت است. همچنین موقت بودن تعطیل یک رفتار، با موقت بودن خود پیمان یکسان نیست. این شاهد می‌تواند مؤید تدبیر باشد، نه دلیل مستقل همه ضوابط عدول.</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بررسی سیره زمانی به بحث معاصر کمک می‌کند که حدود قیاس حفظ شود. پذیرش دشواری یک تصمیم، دلیل صحت همه تصمیم‌های مشابه‌نام نیست و مخالفت عمومی نیز به‌تنهایی درستی یا نادرستی آن را اثبات نمی‌کند. معیار، دلیل، موضوع و صلاحیت است. به همین جهت، در این رساله از واقعه صلح برای اثبات حکم مستقیم یک معاهده امروزی استفاده نمی‌شود.</w:t>
      </w:r>
    </w:p>
    <w:p>
      <w:pPr>
        <w:pStyle w:val="TH-Band"/>
        <w:keepNext w:val="1"/>
        <w:keepLines w:val="1"/>
        <w:widowControl w:val="1"/>
        <w:bidi w:val="1"/>
        <w:spacing w:before="240" w:after="100" w:line="300" w:lineRule="auto"/>
        <w:ind w:firstLine="0"/>
        <w:jc w:val="start"/>
      </w:pPr>
      <w:bookmarkStart w:id="127" w:name="_Toc000127"/>
      <w:r>
        <w:rPr>
          <w:rFonts w:ascii="B Nazanin" w:hAnsi="B Nazanin" w:cs="B Nazanin" w:eastAsia="B Nazanin"/>
          <w:b w:val="1"/>
          <w:bCs w:val="1"/>
          <w:i w:val="0"/>
          <w:color w:val="243B53"/>
          <w:sz w:val="29"/>
          <w:szCs w:val="29"/>
          <w:rtl w:val="1"/>
          <w:lang w:val="fa-IR" w:bidi="fa-IR"/>
        </w:rPr>
        <w:t>بند پنجم: مراتب تزاحم؛ اهم، مهم و محتمل‌الاهمیه</w:t>
      </w:r>
      <w:bookmarkEnd w:id="12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در بحث تزاحم، میان احراز اهمیت یکی از دو تکلیف، تساوی و احتمال اهمیت تفکیک می‌شود. در فرض نخست، تقدیم اهم مطرح است؛ در فرض تساوی، بحث تخییر با قیود مربوط؛ و در فرض احتمال اهمیت، نتیجه به ساخت احتمال و مبنای اصولی وابسته است. نسبت دادن یک حکم بی‌قید به مشهور، بدون تعیین تقریر و مأخذ، دقیق نیست. همچنین شک در اهمیت، با شک در اصل وجود تکلیف مقابل یا تحقق تزاحم تفاوت دارد.</w:t>
      </w:r>
      <w:r>
        <w:rPr>
          <w:rFonts w:ascii="B Nazanin" w:hAnsi="B Nazanin" w:cs="B Nazanin" w:eastAsia="B Nazanin"/>
          <w:b w:val="0"/>
          <w:bCs w:val="0"/>
          <w:i w:val="0"/>
          <w:sz w:val="20"/>
          <w:szCs w:val="20"/>
          <w:vertAlign w:val="superscript"/>
          <w:rtl w:val="1"/>
          <w:lang w:val="fa-IR" w:bidi="fa-IR"/>
        </w:rPr>
        <w:footnoteReference w:id="9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موضوع رساله، اگر اصل خطر، تکلیف مقابل یا عدم امکان جمع احراز نشده باشد، صرف احتمال منفعت برای عدول کافی نیست. اما اگر اصل تزاحم ثابت و احتمال اهمیت یک طرف بر مبنای معتبر مطرح باشد، باید همان صورت اصولی جداگانه بررسی شود؛ نمی‌توان در همه موارد به‌طور مطلق حکم به عدم عدول یا لزوم آن داد. نقش کارشناسی، تعیین داده‌های موضوعی است و نقش استدلال فقهی، تبیین اثر آن داده‌ها بر وظیفه فعلی.</w:t>
      </w:r>
    </w:p>
    <w:p>
      <w:pPr>
        <w:pStyle w:val="TH-Goftar"/>
        <w:keepNext w:val="1"/>
        <w:keepLines w:val="1"/>
        <w:widowControl w:val="1"/>
        <w:shd w:val="clear" w:fill="F0F3F6"/>
        <w:bidi w:val="1"/>
        <w:spacing w:before="240" w:after="180" w:line="300" w:lineRule="auto"/>
        <w:ind w:firstLine="0"/>
        <w:jc w:val="start"/>
      </w:pPr>
      <w:bookmarkStart w:id="128" w:name="_Toc000128"/>
      <w:r>
        <w:rPr>
          <w:rFonts w:ascii="B Nazanin" w:hAnsi="B Nazanin" w:cs="B Nazanin" w:eastAsia="B Nazanin"/>
          <w:b w:val="1"/>
          <w:bCs w:val="1"/>
          <w:i w:val="0"/>
          <w:color w:val="243B53"/>
          <w:sz w:val="32"/>
          <w:szCs w:val="32"/>
          <w:rtl w:val="1"/>
          <w:lang w:val="fa-IR" w:bidi="fa-IR"/>
        </w:rPr>
        <w:t>حاصل فصل چهارم</w:t>
      </w:r>
      <w:bookmarkEnd w:id="12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حاصل فصل، امکان طرح جواز استثنایی بر مبنای احراز تزاحم و نظریه حکومتی مورد پذیرش رساله است؛ نه اثبات جواز عام با هر تغییر منفعت. حکم حکومتی به صلاحیت و سازوکار مربوط است، قواعد ضرر و حرج مقدمات مستقل دارند و سیره غالباً نقش مؤید محدود ایفا می‌کند. ضوابط هشت‌گانه برای کنترل و مستندسازی تصمیم پیشنهاد شدند، اما جانشین احراز شرایط هر نظام نیستند. فصل پنجم نشان می‌دهد که حتی تصمیم قابل دفاع فقهی، ممکن است آثار و مسئولیت بین‌المللی داشته باشد.</w:t>
      </w:r>
    </w:p>
    <w:p>
      <w:r>
        <w:br w:type="page"/>
      </w:r>
    </w:p>
    <w:p/>
    <w:p/>
    <w:p/>
    <w:p>
      <w:pPr>
        <w:widowControl/>
        <w:pBdr>
          <w:bottom w:val="single" w:sz="12" w:space="6" w:color="1F3864"/>
        </w:pBdr>
        <w:bidi w:val="1"/>
        <w:spacing w:before="0" w:after="240" w:line="336" w:lineRule="auto"/>
        <w:ind w:right="2268" w:left="2268"/>
        <w:jc w:val="center"/>
      </w:pPr>
    </w:p>
    <w:p>
      <w:pPr>
        <w:pStyle w:val="TH-Bakhsh"/>
        <w:keepNext w:val="1"/>
        <w:keepLines w:val="1"/>
        <w:widowControl w:val="1"/>
        <w:bidi w:val="1"/>
        <w:spacing w:before="120" w:after="180" w:line="300" w:lineRule="auto"/>
        <w:ind w:firstLine="0"/>
        <w:jc w:val="center"/>
      </w:pPr>
      <w:bookmarkStart w:id="129" w:name="_Toc000129"/>
      <w:r>
        <w:rPr>
          <w:rFonts w:ascii="B Nazanin" w:hAnsi="B Nazanin" w:cs="B Nazanin" w:eastAsia="B Nazanin"/>
          <w:b w:val="1"/>
          <w:bCs w:val="1"/>
          <w:i w:val="0"/>
          <w:color w:val="243B53"/>
          <w:sz w:val="48"/>
          <w:szCs w:val="48"/>
          <w:rtl w:val="1"/>
          <w:lang w:val="fa-IR" w:bidi="fa-IR"/>
        </w:rPr>
        <w:t>بخش سوم: تحلیل حقوقی مسئله</w:t>
      </w:r>
      <w:bookmarkEnd w:id="129"/>
    </w:p>
    <w:p>
      <w:pPr>
        <w:widowControl/>
        <w:pBdr>
          <w:bottom w:val="single" w:sz="12" w:space="6" w:color="1F3864"/>
        </w:pBdr>
        <w:bidi w:val="1"/>
        <w:spacing w:before="0" w:after="200" w:line="336" w:lineRule="auto"/>
        <w:ind w:right="2268" w:left="2268"/>
        <w:jc w:val="center"/>
      </w:pPr>
    </w:p>
    <w:p>
      <w:r>
        <w:br w:type="page"/>
      </w:r>
    </w:p>
    <w:p>
      <w:r>
        <w:br w:type="page"/>
      </w:r>
    </w:p>
    <w:p/>
    <w:p/>
    <w:p>
      <w:pPr>
        <w:pStyle w:val="TH-Fasl"/>
        <w:keepNext w:val="1"/>
        <w:keepLines w:val="1"/>
        <w:widowControl w:val="1"/>
        <w:pBdr>
          <w:top w:val="single" w:sz="8" w:space="8" w:color="243B53"/>
          <w:bottom w:val="single" w:sz="8" w:space="8" w:color="243B53"/>
        </w:pBdr>
        <w:bidi w:val="1"/>
        <w:spacing w:before="120" w:after="180" w:line="300" w:lineRule="auto"/>
        <w:ind w:firstLine="0"/>
        <w:jc w:val="center"/>
      </w:pPr>
      <w:bookmarkStart w:id="130" w:name="_Toc000130"/>
      <w:r>
        <w:rPr>
          <w:rFonts w:ascii="B Nazanin" w:hAnsi="B Nazanin" w:cs="B Nazanin" w:eastAsia="B Nazanin"/>
          <w:b w:val="1"/>
          <w:bCs w:val="1"/>
          <w:i w:val="0"/>
          <w:color w:val="243B53"/>
          <w:sz w:val="40"/>
          <w:szCs w:val="40"/>
          <w:rtl w:val="1"/>
          <w:lang w:val="fa-IR" w:bidi="fa-IR"/>
        </w:rPr>
        <w:t>فصل پنجم: مسئولیت بین‌المللی دولت و جایگاه حقوق اساسی تصمیم</w:t>
      </w:r>
      <w:bookmarkEnd w:id="13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نتیجه مشروط فصل چهارم، تنها بُعد فقهی مسئله را پوشش می‌دهد. برای ارزیابی کامل تصمیم، باید انتساب رفتار، وجود و محتوای تعهد، اسباب احتمالی رفع وصف متخلفانه و آثار عدم اجرا روشن شوند. در سطح داخلی نیز صلاحیت رهبری و نسبت آن با مجلس، دولت و دیگر نهادها نیازمند بررسی مستقل است. این فصل در پنج گفتار، از چارچوب مسئولیت به جایگاه حقوق اساسی می‌رسد و بر تمایز قواعد اولیه تعهد از قواعد ثانویه مسئولیت تأکید می‌کند.</w:t>
      </w:r>
    </w:p>
    <w:p>
      <w:pPr>
        <w:pStyle w:val="TH-Goftar"/>
        <w:keepNext w:val="1"/>
        <w:keepLines w:val="1"/>
        <w:widowControl w:val="1"/>
        <w:shd w:val="clear" w:fill="F0F3F6"/>
        <w:bidi w:val="1"/>
        <w:spacing w:before="240" w:after="180" w:line="300" w:lineRule="auto"/>
        <w:ind w:firstLine="0"/>
        <w:jc w:val="start"/>
      </w:pPr>
      <w:bookmarkStart w:id="131" w:name="_Toc000131"/>
      <w:r>
        <w:rPr>
          <w:rFonts w:ascii="B Nazanin" w:hAnsi="B Nazanin" w:cs="B Nazanin" w:eastAsia="B Nazanin"/>
          <w:b w:val="1"/>
          <w:bCs w:val="1"/>
          <w:i w:val="0"/>
          <w:color w:val="243B53"/>
          <w:sz w:val="32"/>
          <w:szCs w:val="32"/>
          <w:rtl w:val="1"/>
          <w:lang w:val="fa-IR" w:bidi="fa-IR"/>
        </w:rPr>
        <w:t>گفتار اول: چارچوب مسئولیت بین‌المللی دولت‌ها</w:t>
      </w:r>
      <w:bookmarkEnd w:id="131"/>
    </w:p>
    <w:p>
      <w:pPr>
        <w:pStyle w:val="TH-Band"/>
        <w:keepNext w:val="1"/>
        <w:keepLines w:val="1"/>
        <w:widowControl w:val="1"/>
        <w:bidi w:val="1"/>
        <w:spacing w:before="240" w:after="100" w:line="300" w:lineRule="auto"/>
        <w:ind w:firstLine="0"/>
        <w:jc w:val="start"/>
      </w:pPr>
      <w:bookmarkStart w:id="132" w:name="_Toc000132"/>
      <w:r>
        <w:rPr>
          <w:rFonts w:ascii="B Nazanin" w:hAnsi="B Nazanin" w:cs="B Nazanin" w:eastAsia="B Nazanin"/>
          <w:b w:val="1"/>
          <w:bCs w:val="1"/>
          <w:i w:val="0"/>
          <w:color w:val="243B53"/>
          <w:sz w:val="29"/>
          <w:szCs w:val="29"/>
          <w:rtl w:val="1"/>
          <w:lang w:val="fa-IR" w:bidi="fa-IR"/>
        </w:rPr>
        <w:t>بند اول: تاریخچه تدوین؛ از آگو تا کرافورد</w:t>
      </w:r>
      <w:bookmarkEnd w:id="132"/>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تدوین مسئولیت دولت‌ها در کمیسیون حقوق بین‌الملل، فرایندی طولانی داشت. نقش گزارشگران ویژه، از جمله روبرتو آگو و جیمز کرافورد، در تفکیک تعهد اولیه از قواعد مسئولیت مهم بود. متن نهایی در سال ۲۰۰۱ به تصویب کمیسیون رسید و در ضمیمه قطعنامه ۵۶/۸۳ مجمع عمومی، مورخ ۱۲ دسامبر ۲۰۰۱، درج شد. این فرایند به معنای تصویب متن به‌عنوان کنوانسیون لازم‌الاجرا نبود؛ جایگاه هر ماده از حیث عرفی بودن باید با مستند مستقل بررسی شود.</w:t>
      </w:r>
      <w:r>
        <w:rPr>
          <w:rFonts w:ascii="B Nazanin" w:hAnsi="B Nazanin" w:cs="B Nazanin" w:eastAsia="B Nazanin"/>
          <w:b w:val="0"/>
          <w:bCs w:val="0"/>
          <w:i w:val="0"/>
          <w:sz w:val="20"/>
          <w:szCs w:val="20"/>
          <w:vertAlign w:val="superscript"/>
          <w:rtl w:val="1"/>
          <w:lang w:val="fa-IR" w:bidi="fa-IR"/>
        </w:rPr>
        <w:footnoteReference w:id="94"/>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مواد مسئولیت دولت‌ها مشتمل بر ۵۹ ماده و چهار بخش است: عمل متخلفانه؛ محتوای مسئولیت؛ اجرای مسئولیت؛ و مقررات عمومی. بسیاری از مواد در رویه قضایی مورد استناد قرار گرفته‌اند، اما این امر، عرفی بودن همه جزئیات را یکجا ثابت نمی‌کند. در رساله، متن برای سازمان دادن تحلیل به کار می‌رود و در موارد اختلاف، باید دلیل الزام‌آوری قاعده یا رژیم خاص قابل اعمال نیز مشخص شود.</w:t>
      </w:r>
    </w:p>
    <w:p>
      <w:pPr>
        <w:pStyle w:val="TH-Band"/>
        <w:keepNext w:val="1"/>
        <w:keepLines w:val="1"/>
        <w:widowControl w:val="1"/>
        <w:bidi w:val="1"/>
        <w:spacing w:before="240" w:after="100" w:line="300" w:lineRule="auto"/>
        <w:ind w:firstLine="0"/>
        <w:jc w:val="start"/>
      </w:pPr>
      <w:bookmarkStart w:id="133" w:name="_Toc000133"/>
      <w:r>
        <w:rPr>
          <w:rFonts w:ascii="B Nazanin" w:hAnsi="B Nazanin" w:cs="B Nazanin" w:eastAsia="B Nazanin"/>
          <w:b w:val="1"/>
          <w:bCs w:val="1"/>
          <w:i w:val="0"/>
          <w:color w:val="243B53"/>
          <w:sz w:val="29"/>
          <w:szCs w:val="29"/>
          <w:rtl w:val="1"/>
          <w:lang w:val="fa-IR" w:bidi="fa-IR"/>
        </w:rPr>
        <w:t>بند دوم: جایگاه عرفی کنوانسیون وین و رویه دیوان</w:t>
      </w:r>
      <w:bookmarkEnd w:id="13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امضای کنوانسیون وین توسط ایران، با عضویت کامل در آن یکسان نیست. بنابراین، پرسش مقدماتی آن است که استناد به هر ماده، بر چه مبنایی برای ایران الزام‌آور خواهد بود: توافق خاص، قاعده عرفی مستقل یا صرف استفاده آموزشی از یک متن مدون؟ تفکیک این سه کارکرد، مانع تلقی همه مقررات کنوانسیون به‌عنوان تعهد قراردادی ایران می‌شود.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تمایز عرف و معاهده اجازه می‌دهد که قاعده‌ای مستقل از عضویت قراردادی قابل اعمال باشد؛ اما وجود عرف نیازمند احراز است. در قضیه نیکاراگوئه، مسئله صرفاً غیرعضو بودن آمریکا در معاهده نبود؛ محدودیت صلاحیت ناشی از شرط مربوط به معاهدات چندجانبه و امکان اجرای قواعد عرفیِ مستقل مطرح بود. از این رأی، استقلال دو منبع قابل استفاده است، نه تأیید عرفی بودن همه مواد وین. برای نمونه‌های خاص، باید به رویه مرتبط همان قاعده مراجعه کرد.</w:t>
      </w:r>
      <w:r>
        <w:rPr>
          <w:rFonts w:ascii="B Nazanin" w:hAnsi="B Nazanin" w:cs="B Nazanin" w:eastAsia="B Nazanin"/>
          <w:b w:val="0"/>
          <w:bCs w:val="0"/>
          <w:i w:val="0"/>
          <w:sz w:val="20"/>
          <w:szCs w:val="20"/>
          <w:vertAlign w:val="superscript"/>
          <w:rtl w:val="1"/>
          <w:lang w:val="fa-IR" w:bidi="fa-IR"/>
        </w:rPr>
        <w:footnoteReference w:id="95"/>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موضع روشی رساله آن است که متن وین را مرجع منظم تحلیل بداند و از نسبت دادن الزام یکسان به همه مواد آن خودداری کند. به‌ویژه، تفاصیل آیینی، حق شرط یا صلاحیت مرجع حل اختلاف، بدون احراز مبنا بر دولت غیرعضو تحمیل نمی‌شوند. عرفی بودن اصل وفا نیز لزوماً همه شرایط یک ماده دیگر را عرفی نمی‌سازد. هر استناد مهم باید موضوع و دلیل الزام را جداگانه روشن کند.</w:t>
      </w:r>
    </w:p>
    <w:p>
      <w:pPr>
        <w:pStyle w:val="TH-Band"/>
        <w:keepNext w:val="1"/>
        <w:keepLines w:val="1"/>
        <w:widowControl w:val="1"/>
        <w:bidi w:val="1"/>
        <w:spacing w:before="240" w:after="100" w:line="300" w:lineRule="auto"/>
        <w:ind w:firstLine="0"/>
        <w:jc w:val="start"/>
      </w:pPr>
      <w:bookmarkStart w:id="134" w:name="_Toc000134"/>
      <w:r>
        <w:rPr>
          <w:rFonts w:ascii="B Nazanin" w:hAnsi="B Nazanin" w:cs="B Nazanin" w:eastAsia="B Nazanin"/>
          <w:b w:val="1"/>
          <w:bCs w:val="1"/>
          <w:i w:val="0"/>
          <w:color w:val="243B53"/>
          <w:sz w:val="29"/>
          <w:szCs w:val="29"/>
          <w:rtl w:val="1"/>
          <w:lang w:val="fa-IR" w:bidi="fa-IR"/>
        </w:rPr>
        <w:t>بند سوم: ارکان عمل متخلفانه؛ انتساب و نقض</w:t>
      </w:r>
      <w:bookmarkEnd w:id="13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طبق مواد ۱ و ۲، مسئولیت ناشی از عمل متخلفانه دولت بر دو عنصر استوار است: انتساب فعل یا ترک فعل به دولت و نقض تعهد بین‌المللی آن. خسارت یا تقصیر، در این سطحِ عمومی، عنصر سوم همیشگی نیستند؛ بااین‌حال، قاعده اولیه ممکن است شرایط خاص داشته باشد. مواد مربوط به اسباب رافع وصف متخلفانه و قواعد خاص نیز باید لحاظ شوند. این ساختار، مسیر دو گفتار بعدی درباره انتساب و نقض را تعیین می‌کند.</w:t>
      </w:r>
      <w:r>
        <w:rPr>
          <w:rFonts w:ascii="B Nazanin" w:hAnsi="B Nazanin" w:cs="B Nazanin" w:eastAsia="B Nazanin"/>
          <w:b w:val="0"/>
          <w:bCs w:val="0"/>
          <w:i w:val="0"/>
          <w:sz w:val="20"/>
          <w:szCs w:val="20"/>
          <w:vertAlign w:val="superscript"/>
          <w:rtl w:val="1"/>
          <w:lang w:val="fa-IR" w:bidi="fa-IR"/>
        </w:rPr>
        <w:footnoteReference w:id="96"/>
      </w:r>
    </w:p>
    <w:p>
      <w:pPr>
        <w:pStyle w:val="TH-Goftar"/>
        <w:keepNext w:val="1"/>
        <w:keepLines w:val="1"/>
        <w:widowControl w:val="1"/>
        <w:shd w:val="clear" w:fill="F0F3F6"/>
        <w:bidi w:val="1"/>
        <w:spacing w:before="240" w:after="180" w:line="300" w:lineRule="auto"/>
        <w:ind w:firstLine="0"/>
        <w:jc w:val="start"/>
      </w:pPr>
      <w:bookmarkStart w:id="135" w:name="_Toc000135"/>
      <w:r>
        <w:rPr>
          <w:rFonts w:ascii="B Nazanin" w:hAnsi="B Nazanin" w:cs="B Nazanin" w:eastAsia="B Nazanin"/>
          <w:b w:val="1"/>
          <w:bCs w:val="1"/>
          <w:i w:val="0"/>
          <w:color w:val="243B53"/>
          <w:sz w:val="32"/>
          <w:szCs w:val="32"/>
          <w:rtl w:val="1"/>
          <w:lang w:val="fa-IR" w:bidi="fa-IR"/>
        </w:rPr>
        <w:t>گفتار دوم: انتساب تصمیم ولی فقیه به دولت ایران</w:t>
      </w:r>
      <w:bookmarkEnd w:id="135"/>
    </w:p>
    <w:p>
      <w:pPr>
        <w:pStyle w:val="TH-Band"/>
        <w:keepNext w:val="1"/>
        <w:keepLines w:val="1"/>
        <w:widowControl w:val="1"/>
        <w:bidi w:val="1"/>
        <w:spacing w:before="240" w:after="100" w:line="300" w:lineRule="auto"/>
        <w:ind w:firstLine="0"/>
        <w:jc w:val="start"/>
      </w:pPr>
      <w:bookmarkStart w:id="136" w:name="_Toc000136"/>
      <w:r>
        <w:rPr>
          <w:rFonts w:ascii="B Nazanin" w:hAnsi="B Nazanin" w:cs="B Nazanin" w:eastAsia="B Nazanin"/>
          <w:b w:val="1"/>
          <w:bCs w:val="1"/>
          <w:i w:val="0"/>
          <w:color w:val="243B53"/>
          <w:sz w:val="29"/>
          <w:szCs w:val="29"/>
          <w:rtl w:val="1"/>
          <w:lang w:val="fa-IR" w:bidi="fa-IR"/>
        </w:rPr>
        <w:t>بند اول: قاعده انتساب رفتار ارکان دولت</w:t>
      </w:r>
      <w:bookmarkEnd w:id="13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ماده ۴، قاعده عمومی رفتار ارکان دولت را بیان می‌کند؛ مضمون آن چنین است:</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 xml:space="preserve">رفتار هر رکن دولت، صرف‌نظر از کارکرد تقنینی، اجرایی، قضایی یا دیگر کارکردها، جایگاه آن در سازمان دولت و مرکزی یا محلی بودنش، در حقوق بین‌الملل رفتار دولت محسوب می‌شود.</w:t>
      </w:r>
      <w:r>
        <w:rPr>
          <w:rFonts w:ascii="B Nazanin" w:hAnsi="B Nazanin" w:cs="B Nazanin" w:eastAsia="B Nazanin"/>
          <w:b w:val="0"/>
          <w:bCs w:val="0"/>
          <w:i w:val="0"/>
          <w:color w:val="202A35"/>
          <w:sz w:val="20"/>
          <w:szCs w:val="20"/>
          <w:vertAlign w:val="superscript"/>
          <w:rtl w:val="1"/>
          <w:lang w:val="ar-SA" w:bidi="ar-SA"/>
        </w:rPr>
        <w:footnoteReference w:id="9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این قاعده، جایگاه رکن و انجام رفتار در سمت مربوط اهمیت دارد. ماهیت دینی یک مقام، مانع شناسایی آن به‌عنوان رکن دولت نیست. در عین حال، باید میان رفتار رسمی و رفتار کاملاً خصوصی شخص تمایز گذاشت؛ هر اظهار نظر یا عمل شخصِ دارای مقام، صرفاً به اعتبار شخصیت او، مشمول همان تحلیل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ماده ۷، رفتار رکن یا نهاد مأذون را در سمت رسمی، حتی با تجاوز از صلاحیت یا مخالفت با دستور، منتسب می‌داند.</w:t>
      </w:r>
      <w:r>
        <w:rPr>
          <w:rFonts w:ascii="B Nazanin" w:hAnsi="B Nazanin" w:cs="B Nazanin" w:eastAsia="B Nazanin"/>
          <w:b w:val="0"/>
          <w:bCs w:val="0"/>
          <w:i w:val="0"/>
          <w:sz w:val="20"/>
          <w:szCs w:val="20"/>
          <w:vertAlign w:val="superscript"/>
          <w:rtl w:val="1"/>
          <w:lang w:val="fa-IR" w:bidi="fa-IR"/>
        </w:rPr>
        <w:footnoteReference w:id="98"/>
      </w:r>
      <w:r>
        <w:rPr>
          <w:rFonts w:ascii="B Nazanin" w:hAnsi="B Nazanin" w:cs="B Nazanin" w:eastAsia="B Nazanin"/>
          <w:b w:val="0"/>
          <w:bCs w:val="0"/>
          <w:i w:val="0"/>
          <w:sz w:val="28"/>
          <w:szCs w:val="28"/>
          <w:rtl w:val="1"/>
          <w:lang w:val="fa-IR" w:bidi="fa-IR"/>
        </w:rPr>
        <w:t xml:space="preserve"> ماده ۸، دستور، هدایت یا کنترل دولت بر رفتار اشخاص را با شرایط مربوط بررسی می‌کند؛ حمایت سیاسی صرف کافی نیست.</w:t>
      </w:r>
      <w:r>
        <w:rPr>
          <w:rFonts w:ascii="B Nazanin" w:hAnsi="B Nazanin" w:cs="B Nazanin" w:eastAsia="B Nazanin"/>
          <w:b w:val="0"/>
          <w:bCs w:val="0"/>
          <w:i w:val="0"/>
          <w:sz w:val="20"/>
          <w:szCs w:val="20"/>
          <w:vertAlign w:val="superscript"/>
          <w:rtl w:val="1"/>
          <w:lang w:val="fa-IR" w:bidi="fa-IR"/>
        </w:rPr>
        <w:footnoteReference w:id="99"/>
      </w:r>
      <w:r>
        <w:rPr>
          <w:rFonts w:ascii="B Nazanin" w:hAnsi="B Nazanin" w:cs="B Nazanin" w:eastAsia="B Nazanin"/>
          <w:b w:val="0"/>
          <w:bCs w:val="0"/>
          <w:i w:val="0"/>
          <w:sz w:val="28"/>
          <w:szCs w:val="28"/>
          <w:rtl w:val="1"/>
          <w:lang w:val="fa-IR" w:bidi="fa-IR"/>
        </w:rPr>
        <w:t xml:space="preserve"> ماده ۱۱ نیز شناسایی و اتخاذ رفتار به‌عنوان عمل خود دولت را لازم می‌داند، نه صرف ابراز همدلی.</w:t>
      </w:r>
      <w:r>
        <w:rPr>
          <w:rFonts w:ascii="B Nazanin" w:hAnsi="B Nazanin" w:cs="B Nazanin" w:eastAsia="B Nazanin"/>
          <w:b w:val="0"/>
          <w:bCs w:val="0"/>
          <w:i w:val="0"/>
          <w:sz w:val="20"/>
          <w:szCs w:val="20"/>
          <w:vertAlign w:val="superscript"/>
          <w:rtl w:val="1"/>
          <w:lang w:val="fa-IR" w:bidi="fa-IR"/>
        </w:rPr>
        <w:footnoteReference w:id="100"/>
      </w:r>
      <w:r>
        <w:rPr>
          <w:rFonts w:ascii="B Nazanin" w:hAnsi="B Nazanin" w:cs="B Nazanin" w:eastAsia="B Nazanin"/>
          <w:b w:val="0"/>
          <w:bCs w:val="0"/>
          <w:i w:val="0"/>
          <w:sz w:val="28"/>
          <w:szCs w:val="28"/>
          <w:rtl w:val="1"/>
          <w:lang w:val="fa-IR" w:bidi="fa-IR"/>
        </w:rPr>
        <w:t xml:space="preserve"> در قضیه کارکنان دیپلماتیک و کنسولی آمریکا در تهران، دیوان میان حمله اولیه، قصور مستقل ارکان در حفاظت و پذیرش و تداوم بعدی رفتار تفکیک کرد؛ همه مسئولیت پرونده به یک تأیید لفظی فروکاستنی نیست.</w:t>
      </w:r>
      <w:r>
        <w:rPr>
          <w:rFonts w:ascii="B Nazanin" w:hAnsi="B Nazanin" w:cs="B Nazanin" w:eastAsia="B Nazanin"/>
          <w:b w:val="0"/>
          <w:bCs w:val="0"/>
          <w:i w:val="0"/>
          <w:sz w:val="20"/>
          <w:szCs w:val="20"/>
          <w:vertAlign w:val="superscript"/>
          <w:rtl w:val="1"/>
          <w:lang w:val="fa-IR" w:bidi="fa-IR"/>
        </w:rPr>
        <w:footnoteReference w:id="101"/>
      </w:r>
    </w:p>
    <w:p>
      <w:pPr>
        <w:pStyle w:val="TH-Band"/>
        <w:keepNext w:val="1"/>
        <w:keepLines w:val="1"/>
        <w:widowControl w:val="1"/>
        <w:bidi w:val="1"/>
        <w:spacing w:before="240" w:after="100" w:line="300" w:lineRule="auto"/>
        <w:ind w:firstLine="0"/>
        <w:jc w:val="start"/>
      </w:pPr>
      <w:bookmarkStart w:id="137" w:name="_Toc000137"/>
      <w:r>
        <w:rPr>
          <w:rFonts w:ascii="B Nazanin" w:hAnsi="B Nazanin" w:cs="B Nazanin" w:eastAsia="B Nazanin"/>
          <w:b w:val="1"/>
          <w:bCs w:val="1"/>
          <w:i w:val="0"/>
          <w:color w:val="243B53"/>
          <w:sz w:val="29"/>
          <w:szCs w:val="29"/>
          <w:rtl w:val="1"/>
          <w:lang w:val="fa-IR" w:bidi="fa-IR"/>
        </w:rPr>
        <w:t>بند دوم: تطبیق قاعده بر تصمیم ولی فقیه</w:t>
      </w:r>
      <w:bookmarkEnd w:id="13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تصمیم رسمی مقام رهبری درباره اجرای معاهده، با توجه به جایگاه نهادی او، اصولاً در قلمرو قاعده انتساب رفتار ارکان دولت قرار می‌گیرد. این نتیجه به دینی یا غیردینی بودن مبنای تصمیم وابسته نیست. چهار جهت زیر، حدود این تحلیل و تفاوت آن با مسئولیت شخصی را روشن می‌کنند.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نخست، ادعای خروج تصمیم از صلاحیت داخلی، اصولاً مانع انتساب رفتار رسمی به دولت نیست. ماده ۷ دقیقاً برای وضعیتی اهمیت دارد که رکن در همان سمت، از حدود اختیار فراتر رفته است. این قاعده، صحت داخلی رفتار را اثبات نمی‌کند؛ تنها اجازه نمی‌دهد نقص صلاحیت، به‌تنهایی مسئولیت خارجی دولت را منتفی سازد.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دوم، رفتار اجرایی سایر ارکان، مانند ابلاغ وزارت امور خارجه یا اقدامات دستگاه‌های مجری، نیز بر اساس قواعد انتساب ارزیابی می‌شود. مسئولیت دولت محتاج تشکیل زنجیره‌ای از تأیید همه نهادها نیست؛ انتساب یک رفتار مرتبط می‌تواند کافی باشد. هر رکن، در حدود رفتار خود و قواعد مربوط بررسی می‌شود.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سوم، انگیزه مذهبی یا شخصیِ پشت یک تصمیم رسمی، ماهیت نهادی آن را خودبه‌خود تغییر نمی‌دهد. باید دید رفتار در چه سمت و با چه ابزار و ارتباطی با وظایف انجام شده است. در مقابل، اطلاق این حکم به همه رفتارهای خصوصیِ صاحب مقام، درست نیست. موضوع این رساله، تصمیم رسمی درباره تعهد دولت 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چهارم، اگر رفتاری ابتدا به دولت منتسب نباشد، شناسایی و اتخاذ آن به‌عنوان رفتار خود دولت می‌تواند طبق ماده ۱۱ مبنای انتساب باشد. این امر نیازمند احراز است و از هر اجرای محدود، حمایت کلی یا اظهار نظر استنباط نمی‌شود. همچنین انتساب از این راه، همان شرایط و قلمروی را دارد که رفتار در آن پذیرفته شده 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حاصل گفتار آن است که رسمی بودن تصمیم مورد بحث، زمینه روشن انتساب به دولت را فراهم می‌کند؛ اما انتساب مساوی نقض یا مسئولیت نهایی نیست. باید در مرحله بعد، تعهد لازم‌الاجرا، محتوای آن و انطباق رفتار بررسی شود. مسئولیت بین‌المللی دولت نیز با مسئولیت شخصیِ صاحب مقام، موضوعی واحد نیست.</w:t>
      </w:r>
    </w:p>
    <w:p>
      <w:pPr>
        <w:pStyle w:val="TH-Goftar"/>
        <w:keepNext w:val="1"/>
        <w:keepLines w:val="1"/>
        <w:widowControl w:val="1"/>
        <w:shd w:val="clear" w:fill="F0F3F6"/>
        <w:bidi w:val="1"/>
        <w:spacing w:before="240" w:after="180" w:line="300" w:lineRule="auto"/>
        <w:ind w:firstLine="0"/>
        <w:jc w:val="start"/>
      </w:pPr>
      <w:bookmarkStart w:id="138" w:name="_Toc000138"/>
      <w:r>
        <w:rPr>
          <w:rFonts w:ascii="B Nazanin" w:hAnsi="B Nazanin" w:cs="B Nazanin" w:eastAsia="B Nazanin"/>
          <w:b w:val="1"/>
          <w:bCs w:val="1"/>
          <w:i w:val="0"/>
          <w:color w:val="243B53"/>
          <w:sz w:val="32"/>
          <w:szCs w:val="32"/>
          <w:rtl w:val="1"/>
          <w:lang w:val="fa-IR" w:bidi="fa-IR"/>
        </w:rPr>
        <w:t>گفتار سوم: نقض تعهد و تفکیک سه‌گانه سطوح تحلیل</w:t>
      </w:r>
      <w:bookmarkEnd w:id="138"/>
    </w:p>
    <w:p>
      <w:pPr>
        <w:pStyle w:val="TH-Band"/>
        <w:keepNext w:val="1"/>
        <w:keepLines w:val="1"/>
        <w:widowControl w:val="1"/>
        <w:bidi w:val="1"/>
        <w:spacing w:before="240" w:after="100" w:line="300" w:lineRule="auto"/>
        <w:ind w:firstLine="0"/>
        <w:jc w:val="start"/>
      </w:pPr>
      <w:bookmarkStart w:id="139" w:name="_Toc000139"/>
      <w:r>
        <w:rPr>
          <w:rFonts w:ascii="B Nazanin" w:hAnsi="B Nazanin" w:cs="B Nazanin" w:eastAsia="B Nazanin"/>
          <w:b w:val="1"/>
          <w:bCs w:val="1"/>
          <w:i w:val="0"/>
          <w:color w:val="243B53"/>
          <w:sz w:val="29"/>
          <w:szCs w:val="29"/>
          <w:rtl w:val="1"/>
          <w:lang w:val="fa-IR" w:bidi="fa-IR"/>
        </w:rPr>
        <w:t>بند اول: تحقق نقض و اقسام آن</w:t>
      </w:r>
      <w:bookmarkEnd w:id="13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ماده ۱۲، نقض را عدم انطباق رفتار با آنچه تعهد لازم می‌داند تعریف می‌کند و ماده ۱۳ بر لازم‌الاجرا بودن تعهد برای دولت در زمان رفتار تأکید دارد. قصد یا تقصیر، تنها هنگامی در تعریف نقض دخالت دارد که قاعده اولیه چنین اقتضا کند. خاتمه یا تعلیق معتبر ممکن است تکلیف اجرا را تغییر دهد؛ در مقابل، ضرورت و دیگر اسباب رافع، وصف متخلفانه را با شرایط خود بررسی می‌کنند. این دو مسیر نباید با هم خلط شوند.</w:t>
      </w:r>
      <w:r>
        <w:rPr>
          <w:rFonts w:ascii="B Nazanin" w:hAnsi="B Nazanin" w:cs="B Nazanin" w:eastAsia="B Nazanin"/>
          <w:b w:val="0"/>
          <w:bCs w:val="0"/>
          <w:i w:val="0"/>
          <w:sz w:val="20"/>
          <w:szCs w:val="20"/>
          <w:vertAlign w:val="superscript"/>
          <w:rtl w:val="1"/>
          <w:lang w:val="fa-IR" w:bidi="fa-IR"/>
        </w:rPr>
        <w:footnoteReference w:id="102"/>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مواد ۱۴ و ۱۵ میان نقض آنی، مستمر و نقض ناشی از مجموعه اعمال تفکیک می‌کنند. استمرار آثار یک فعل، لزوماً آن را نقض مستمر نمی‌سازد؛ ماهیت تعهد و رفتار تعیین‌کننده است. همچنین تصویب قانون مغایر، در همه موارد خودِ نقض نیست و ممکن است اجرای آن اهمیت داشته باشد. در موضوع رساله، استمرار عدم اجرا و آثار آن باید بر اساس تعهد خاص سنجیده شوند، نه با حکم کلی درباره هر تعلیق.</w:t>
      </w:r>
      <w:r>
        <w:rPr>
          <w:rFonts w:ascii="B Nazanin" w:hAnsi="B Nazanin" w:cs="B Nazanin" w:eastAsia="B Nazanin"/>
          <w:b w:val="0"/>
          <w:bCs w:val="0"/>
          <w:i w:val="0"/>
          <w:sz w:val="20"/>
          <w:szCs w:val="20"/>
          <w:vertAlign w:val="superscript"/>
          <w:rtl w:val="1"/>
          <w:lang w:val="fa-IR" w:bidi="fa-IR"/>
        </w:rPr>
        <w:footnoteReference w:id="10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ماده ۲۷ وین، حقوق داخلی را توجیه عام عدم اجرا نمی‌پذیرد؛ ماده ۳۲ مواد مسئولیت نیز استناد به حقوق داخلی برای ترک تعهدات ناشی از مسئولیت را رد می‌کند. این دو حکم در مراحل متفاوت عمل می‌کنند. نتیجه آن است که جواز داخلی، به‌تنهایی نقض یا تکلیف جبران را منتفی نمی‌سازد؛ ولی سایر دفاع‌های معتبر بین‌المللی همچنان باید بررسی شوند. تفکیک سطوح، به معنای فرض مسئولیت در همه موارد نیست.</w:t>
      </w:r>
      <w:r>
        <w:rPr>
          <w:rFonts w:ascii="B Nazanin" w:hAnsi="B Nazanin" w:cs="B Nazanin" w:eastAsia="B Nazanin"/>
          <w:b w:val="0"/>
          <w:bCs w:val="0"/>
          <w:i w:val="0"/>
          <w:sz w:val="20"/>
          <w:szCs w:val="20"/>
          <w:vertAlign w:val="superscript"/>
          <w:rtl w:val="1"/>
          <w:lang w:val="fa-IR" w:bidi="fa-IR"/>
        </w:rPr>
        <w:footnoteReference w:id="104"/>
      </w:r>
    </w:p>
    <w:p>
      <w:pPr>
        <w:pStyle w:val="TH-Band"/>
        <w:keepNext w:val="1"/>
        <w:keepLines w:val="1"/>
        <w:widowControl w:val="1"/>
        <w:bidi w:val="1"/>
        <w:spacing w:before="240" w:after="100" w:line="300" w:lineRule="auto"/>
        <w:ind w:firstLine="0"/>
        <w:jc w:val="start"/>
      </w:pPr>
      <w:bookmarkStart w:id="140" w:name="_Toc000140"/>
      <w:r>
        <w:rPr>
          <w:rFonts w:ascii="B Nazanin" w:hAnsi="B Nazanin" w:cs="B Nazanin" w:eastAsia="B Nazanin"/>
          <w:b w:val="1"/>
          <w:bCs w:val="1"/>
          <w:i w:val="0"/>
          <w:color w:val="243B53"/>
          <w:sz w:val="29"/>
          <w:szCs w:val="29"/>
          <w:rtl w:val="1"/>
          <w:lang w:val="fa-IR" w:bidi="fa-IR"/>
        </w:rPr>
        <w:t>بند دوم: تفکیک جواز فقهی، مشروعیت داخلی و مسئولیت بین‌المللی</w:t>
      </w:r>
      <w:bookmarkEnd w:id="14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سه پرسش باید مستقل طرح شوند: آیا رفتار از حیث فقهی جایز است؟ آیا مقام و مسیر تصمیم در حقوق داخلی معتبرند؟ و آیا رفتار از نظر حقوق بین‌الملل متخلفانه و موجب مسئولیت است؟ استقلال تحلیلی این پرسش‌ها، مانع بررسی ارتباط آن‌ها نیست. به‌ویژه، هزینه خارجی می‌تواند در شناخت موضوع و ارزیابی فقهی مصلحت اثر بگذارد.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سطح نخست، جواز فقهی است. معیار آن ادله و مبانی معتبر استنباط و احراز موضوع است. بر فرض پذیرفته‌شده رساله، امکان جواز استثنایی به شرایط فصل چهارم وابسته خواهد بود. داوری علمی درباره این مبنا، با صلاحیت نهاد حکومتی برای اتخاذ تصمیم اجرایی یکی نیست؛ نه رأی پژوهشگر حکم حکومتی است و نه صدور حکم، همه اختلاف‌های نظری را از میان می‌برد.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سطح دوم، اعتبار داخلی است. در این سطح، متن قانون اساسی، قانون تصویب‌کننده معاهده، قواعد صلاحیت و تفسیرهای معتبر بررسی می‌شوند. اصل ۹۸، تفسیر قانون اساسی را به شورای نگهبان می‌سپارد؛ دیگر نهادها نیز صلاحیت‌های خاص خود دارند. نظر پیشنهادی رساله درباره اختیار فوق‌العاده، جایگزین تفسیر رسمی یا رسیدگی قانونی به یک تصمیم معین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سطح سوم، مسئولیت بین‌المللی است. وجود تعهد، انتساب، نقض و اسباب رافع با قواعد بین‌المللی سنجیده می‌شوند. مرجع رسیدگی قضایی یا داوری باید صلاحیت داشته باشد؛ شورای امنیت نیز مرجع عام قضایی تعیین خسارت نیست و وظایف منشوری خاص دارد. بنابراین، نباید همه سازوکارهای بین‌المللی را یک دادگاه واحد یا جانشین یکدیگر فرض کرد.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از جواز فقهی نمی‌توان بی‌مسئولیتی بین‌المللی را نتیجه گرفت و از تحقق مسئولیت نیز، بدون بررسی مبانی، حکم فقهی را استنتاج کرد. بااین‌حال، این تفکیک به معنای بی‌اهمیتی خسارت یا حقوق دیگران در فقه نیست. اگر پیامد خارجی در ارزیابی اولیه نادیده گرفته شده باشد، خودِ تشخیص مصلحت ممکن است نیازمند بازنگری شود. ارتباط موضوعی سطوح باید در کنار تمایز معیارهای آن‌ها حفظ گردد.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تصمیم قابل دفاع، باید در هر سه سطح مستند داشته باشد و حدود عدم‌قطعیت را نیز بشناسد. کم کردن هزینه، جایگزین رعایت حق یا احراز مجوز نیست؛ همان‌گونه که وجود مجوز داخلی، هزینه و مسئولیت خارجی را حذف نمی‌کند. مدیریت تصمیم شامل انتخاب مسیر معتبر، ثبت دلایل، پیش‌بینی پاسخ طرف‌ها و برنامه بازبینی است؛ نه صرف اعلام یک نتیجه کلی درباره مشروعیت.</w:t>
      </w:r>
    </w:p>
    <w:p>
      <w:pPr>
        <w:pStyle w:val="TH-Goftar"/>
        <w:keepNext w:val="1"/>
        <w:keepLines w:val="1"/>
        <w:widowControl w:val="1"/>
        <w:shd w:val="clear" w:fill="F0F3F6"/>
        <w:bidi w:val="1"/>
        <w:spacing w:before="240" w:after="180" w:line="300" w:lineRule="auto"/>
        <w:ind w:firstLine="0"/>
        <w:jc w:val="start"/>
      </w:pPr>
      <w:bookmarkStart w:id="141" w:name="_Toc000141"/>
      <w:r>
        <w:rPr>
          <w:rFonts w:ascii="B Nazanin" w:hAnsi="B Nazanin" w:cs="B Nazanin" w:eastAsia="B Nazanin"/>
          <w:b w:val="1"/>
          <w:bCs w:val="1"/>
          <w:i w:val="0"/>
          <w:color w:val="243B53"/>
          <w:sz w:val="32"/>
          <w:szCs w:val="32"/>
          <w:rtl w:val="1"/>
          <w:lang w:val="fa-IR" w:bidi="fa-IR"/>
        </w:rPr>
        <w:t>گفتار چهارم: اسباب رافع، آثار مسئولیت و راهبردهای کاهش آن</w:t>
      </w:r>
      <w:bookmarkEnd w:id="141"/>
    </w:p>
    <w:p>
      <w:pPr>
        <w:pStyle w:val="TH-Band"/>
        <w:keepNext w:val="1"/>
        <w:keepLines w:val="1"/>
        <w:widowControl w:val="1"/>
        <w:bidi w:val="1"/>
        <w:spacing w:before="240" w:after="100" w:line="300" w:lineRule="auto"/>
        <w:ind w:firstLine="0"/>
        <w:jc w:val="start"/>
      </w:pPr>
      <w:bookmarkStart w:id="142" w:name="_Toc000142"/>
      <w:r>
        <w:rPr>
          <w:rFonts w:ascii="B Nazanin" w:hAnsi="B Nazanin" w:cs="B Nazanin" w:eastAsia="B Nazanin"/>
          <w:b w:val="1"/>
          <w:bCs w:val="1"/>
          <w:i w:val="0"/>
          <w:color w:val="243B53"/>
          <w:sz w:val="29"/>
          <w:szCs w:val="29"/>
          <w:rtl w:val="1"/>
          <w:lang w:val="fa-IR" w:bidi="fa-IR"/>
        </w:rPr>
        <w:t>بند اول: اسباب رافع وصف متخلفانه</w:t>
      </w:r>
      <w:bookmarkEnd w:id="142"/>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مواد ۲۰ تا ۲۵، رضایت، دفاع مشروع، اقدام متقابل، قوه قاهره، اضطرار شخصی و ضرورت را با شرایط متفاوت به‌عنوان اسباب رافع وصف متخلفانه بررسی می‌کنند. کاربرد اصطلاح «رافع مسئولیت» باید با احتیاط باشد: ماده ۲۷، اجرای تعهد پس از زوال سبب و مسئله جبران زیان مادی را محفوظ می‌گذارد. همچنین این اسباب، لزوماً اعتبار یا بقای خود معاهده را تغییر نمی‌دهند. هر سبب باید در حد موضوع و شرایط خاص خود تحلیل شود.</w:t>
      </w:r>
      <w:r>
        <w:rPr>
          <w:rFonts w:ascii="B Nazanin" w:hAnsi="B Nazanin" w:cs="B Nazanin" w:eastAsia="B Nazanin"/>
          <w:b w:val="0"/>
          <w:bCs w:val="0"/>
          <w:i w:val="0"/>
          <w:sz w:val="20"/>
          <w:szCs w:val="20"/>
          <w:vertAlign w:val="superscript"/>
          <w:rtl w:val="1"/>
          <w:lang w:val="fa-IR" w:bidi="fa-IR"/>
        </w:rPr>
        <w:footnoteReference w:id="105"/>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ضرورت در ماده ۲۵، دفاعی استثنایی است: رفتار باید تنها راه حفاظت از منفعت اساسی در برابر خطر شدید و قریب‌الوقوع باشد؛ به منفعت اساسی طرف ذی‌حق یا جامعه بین‌المللی لطمه جدی نزند؛ تعهد، استناد به ضرورت را منتفی نکرده باشد؛ و دولت مستند در ایجاد وضعیت سهم مانعِ استناد نداشته باشد. رأی گابچیکوو بر سخت‌گیری در احراز این عناصر تأکید دارد. این نهاد با مصلحت فقهی ملازمه ندارد و حتی در فرض پذیرش، به‌خودی‌خود معاهده را خاتمه نمی‌دهد.</w:t>
      </w:r>
      <w:r>
        <w:rPr>
          <w:rFonts w:ascii="B Nazanin" w:hAnsi="B Nazanin" w:cs="B Nazanin" w:eastAsia="B Nazanin"/>
          <w:b w:val="0"/>
          <w:bCs w:val="0"/>
          <w:i w:val="0"/>
          <w:sz w:val="20"/>
          <w:szCs w:val="20"/>
          <w:vertAlign w:val="superscript"/>
          <w:rtl w:val="1"/>
          <w:lang w:val="fa-IR" w:bidi="fa-IR"/>
        </w:rPr>
        <w:footnoteReference w:id="106"/>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اقدام متقابل، عدم اجرای موقت تعهداتی در برابر دولت مسئول، برای واداشتن آن به رعایت تعهدات ناشی از مسئولیت است؛ نه مجازات یا انتقام. لزوماً باید همان تعهد یا همان معاهده نقض‌شده نباشد، ولی شرایط مواد ۴۹ تا ۵۳ و محدودیت‌های ماده ۵۰ لازم‌اند. تقابل ساده سیاسی یا شباهت با یک قاعده فقهی، برای احراز این نهاد کافی نیست. همچنین آن را باید از تعلیق یا خاتمه ناشی از نقض اساسی موضوع ماده ۶۰ وین جدا کرد.</w:t>
      </w:r>
      <w:r>
        <w:rPr>
          <w:rFonts w:ascii="B Nazanin" w:hAnsi="B Nazanin" w:cs="B Nazanin" w:eastAsia="B Nazanin"/>
          <w:b w:val="0"/>
          <w:bCs w:val="0"/>
          <w:i w:val="0"/>
          <w:sz w:val="20"/>
          <w:szCs w:val="20"/>
          <w:vertAlign w:val="superscript"/>
          <w:rtl w:val="1"/>
          <w:lang w:val="fa-IR" w:bidi="fa-IR"/>
        </w:rPr>
        <w:footnoteReference w:id="10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قوه قاهره در ماده ۲۳، نیروی مقاومت‌ناپذیر یا واقعه پیش‌بینی‌نشده خارج از کنترل دولت است که اجرای تعهد را از لحاظ مادی ناممکن می‌سازد. دشوارتر یا پرهزینه‌تر شدن اجرا کافی نیست. اگر وضعیت، ناشی از رفتار دولت مستند باشد یا دولت خطر وقوع آن را پذیرفته باشد، محدودیت‌های بند ۲ مطرح می‌شود. حتی جنگ یا بلای طبیعی نیز بدون بررسی رابطه با ناممکن شدن اجرای همان تعهد، دفاعی خودکار نیست.</w:t>
      </w:r>
      <w:r>
        <w:rPr>
          <w:rFonts w:ascii="B Nazanin" w:hAnsi="B Nazanin" w:cs="B Nazanin" w:eastAsia="B Nazanin"/>
          <w:b w:val="0"/>
          <w:bCs w:val="0"/>
          <w:i w:val="0"/>
          <w:sz w:val="20"/>
          <w:szCs w:val="20"/>
          <w:vertAlign w:val="superscript"/>
          <w:rtl w:val="1"/>
          <w:lang w:val="fa-IR" w:bidi="fa-IR"/>
        </w:rPr>
        <w:footnoteReference w:id="108"/>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ماده ۲۶، توسل به اسباب یادشده را در برابر رفتار مغایر با تعهد ناشی از قاعده آمره نمی‌پذیرد. این محدودیت، با تعهدات غیرقابل تأثر از اقدام متقابل در ماده ۵۰ نیز باید همراه خوانده شود. مشابهت برخی این ممنوعیت‌ها با حدود شرعی، برای گفت‌وگوی تطبیقی مهم است؛ اما به معنای همسانی کامل مبانی و مصادیق دو نظام نیست.</w:t>
      </w:r>
      <w:r>
        <w:rPr>
          <w:rFonts w:ascii="B Nazanin" w:hAnsi="B Nazanin" w:cs="B Nazanin" w:eastAsia="B Nazanin"/>
          <w:b w:val="0"/>
          <w:bCs w:val="0"/>
          <w:i w:val="0"/>
          <w:sz w:val="20"/>
          <w:szCs w:val="20"/>
          <w:vertAlign w:val="superscript"/>
          <w:rtl w:val="1"/>
          <w:lang w:val="fa-IR" w:bidi="fa-IR"/>
        </w:rPr>
        <w:footnoteReference w:id="109"/>
      </w:r>
    </w:p>
    <w:p>
      <w:pPr>
        <w:pStyle w:val="TH-Band"/>
        <w:keepNext w:val="1"/>
        <w:keepLines w:val="1"/>
        <w:widowControl w:val="1"/>
        <w:bidi w:val="1"/>
        <w:spacing w:before="240" w:after="100" w:line="300" w:lineRule="auto"/>
        <w:ind w:firstLine="0"/>
        <w:jc w:val="start"/>
      </w:pPr>
      <w:bookmarkStart w:id="143" w:name="_Toc000143"/>
      <w:r>
        <w:rPr>
          <w:rFonts w:ascii="B Nazanin" w:hAnsi="B Nazanin" w:cs="B Nazanin" w:eastAsia="B Nazanin"/>
          <w:b w:val="1"/>
          <w:bCs w:val="1"/>
          <w:i w:val="0"/>
          <w:color w:val="243B53"/>
          <w:sz w:val="29"/>
          <w:szCs w:val="29"/>
          <w:rtl w:val="1"/>
          <w:lang w:val="fa-IR" w:bidi="fa-IR"/>
        </w:rPr>
        <w:t>بند دوم: آثار مسئولیت؛ توقف، جبران و حل‌وفصل اختلاف</w:t>
      </w:r>
      <w:bookmarkEnd w:id="14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با تحقق عمل متخلفانه، تعهدات ناشی از مسئولیت ایجاد می‌شوند؛ صدور رأی دادگاه یا مطالبه طرف زیان‌دیده، شرط پیدایش آن‌ها نیست. اجرای اجباری و تعیین میزان اختلافیِ جبران، مرحله‌ای جداست. مواد ۳۰ و ۳۱ بر توقف نقض مستمر، تضمین عدم تکرار در صورت اقتضا و جبران کامل زیان ناشی از فعل تأکید دارند. اشکال جبران در مواد ۳۴ تا ۳۷، اعاده وضع، غرامت و جلب رضایت‌اند؛ امکان اعاده و رابطه سببیت و شرایط هر شکل نیز باید بررسی شوند.</w:t>
      </w:r>
      <w:r>
        <w:rPr>
          <w:rFonts w:ascii="B Nazanin" w:hAnsi="B Nazanin" w:cs="B Nazanin" w:eastAsia="B Nazanin"/>
          <w:b w:val="0"/>
          <w:bCs w:val="0"/>
          <w:i w:val="0"/>
          <w:sz w:val="20"/>
          <w:szCs w:val="20"/>
          <w:vertAlign w:val="superscript"/>
          <w:rtl w:val="1"/>
          <w:lang w:val="fa-IR" w:bidi="fa-IR"/>
        </w:rPr>
        <w:footnoteReference w:id="110"/>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خاتمه معتبر، ماده ۷۰ اصولاً اجرای آتی را پایان می‌دهد، اما حقوق، تعهدات یا وضعیت‌های حقوقی ایجادشده از اجرای پیشین را محفوظ می‌گذارد، مگر ترتیب دیگری مقرر باشد. ماده ۷۲ نیز آثار تعلیق را در روابط مشمول مشخص می‌کند و خودداری از مانع‌تراشی برای ازسرگیری اجرا را می‌خواهد. بقای تعهدات پس از پایان سند، ممکن است از متن یا قواعد دیگر نیز ناشی شود. ازاین‌رو، خروج معتبر با پاک شدن همه آثار گذشته یکسان نیست.</w:t>
      </w:r>
      <w:r>
        <w:rPr>
          <w:rFonts w:ascii="B Nazanin" w:hAnsi="B Nazanin" w:cs="B Nazanin" w:eastAsia="B Nazanin"/>
          <w:b w:val="0"/>
          <w:bCs w:val="0"/>
          <w:i w:val="0"/>
          <w:sz w:val="20"/>
          <w:szCs w:val="20"/>
          <w:vertAlign w:val="superscript"/>
          <w:rtl w:val="1"/>
          <w:lang w:val="fa-IR" w:bidi="fa-IR"/>
        </w:rPr>
        <w:footnoteReference w:id="11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اختلاف می‌تواند از مسیر مذاکره، میانجیگری، سازش، داوری یا دادرسی نزد مرجع صالح دنبال شود. شورای امنیت در قلمرو صلح و امنیت نقش جداگانه دارد. برای ایران، صلح دعاوی یا ارجاع امور مربوط به اموال عمومی و دولتی به داوری، در موارد مشمول اصل ۱۳۹ قانون اساسی نیز نیازمند بررسی است. طراحی راهبرد حل اختلاف باید پیش از اقدام، با شناخت صلاحیت مرجع و الزامات داخلی و خارجی انجام شود.</w:t>
      </w:r>
    </w:p>
    <w:p>
      <w:pPr>
        <w:pStyle w:val="TH-Band"/>
        <w:keepNext w:val="1"/>
        <w:keepLines w:val="1"/>
        <w:widowControl w:val="1"/>
        <w:bidi w:val="1"/>
        <w:spacing w:before="240" w:after="100" w:line="300" w:lineRule="auto"/>
        <w:ind w:firstLine="0"/>
        <w:jc w:val="start"/>
      </w:pPr>
      <w:bookmarkStart w:id="144" w:name="_Toc000144"/>
      <w:r>
        <w:rPr>
          <w:rFonts w:ascii="B Nazanin" w:hAnsi="B Nazanin" w:cs="B Nazanin" w:eastAsia="B Nazanin"/>
          <w:b w:val="1"/>
          <w:bCs w:val="1"/>
          <w:i w:val="0"/>
          <w:color w:val="243B53"/>
          <w:sz w:val="29"/>
          <w:szCs w:val="29"/>
          <w:rtl w:val="1"/>
          <w:lang w:val="fa-IR" w:bidi="fa-IR"/>
        </w:rPr>
        <w:t>بند سوم: راهبردهای حقوقی کاهش مسئولیت</w:t>
      </w:r>
      <w:bookmarkEnd w:id="14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مدیریت حقوقی تعهدات از مرحله مذاکره آغاز می‌شود. راهبردهای زیر می‌توانند خطر اختلاف یا مسئولیت را کاهش دهند، اما هیچ‌یک تضمین نتیجه مطلوب نیستند و نباید وسیله‌ای برای دور زدن تعهد معتبر تلقی شوند. اثر هر راهبرد به متن، زمان استفاده و پذیرش آن در نظام حقوقی مربوط وابسته 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راهبرد نخست، ارزیابی حق شرط مجاز در مرحله پذیرش معاهده چندجانبه است. ممنوعیت قراردادی، فهرست شرط‌های مجاز و سازگاری با موضوع و هدف باید طبق ماده ۱۹ بررسی شوند؛ پذیرش و اعتراض نیز بر آثار مؤثرند. حق شرطِ هنگام امضای مشروط به تصویب، اصولاً نیازمند تأیید هنگام ابراز رضایت نهایی است. تنظیم آن پس از ایجاد تعهد، راه آزاد و عمومی برای کاهش التزام پیشین نیست.</w:t>
      </w:r>
      <w:r>
        <w:rPr>
          <w:rFonts w:ascii="B Nazanin" w:hAnsi="B Nazanin" w:cs="B Nazanin" w:eastAsia="B Nazanin"/>
          <w:b w:val="0"/>
          <w:bCs w:val="0"/>
          <w:i w:val="0"/>
          <w:sz w:val="20"/>
          <w:szCs w:val="20"/>
          <w:vertAlign w:val="superscript"/>
          <w:rtl w:val="1"/>
          <w:lang w:val="fa-IR" w:bidi="fa-IR"/>
        </w:rPr>
        <w:footnoteReference w:id="112"/>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راهبرد دوم، ثبت روشن موضع تفسیری است. اعلامیه تفسیری می‌تواند یکی از قرائن باشد، اما طرف‌های دیگر و مرجع رسیدگی را خودبه‌خود به برداشت دولت مقید نمی‌کند. اگر هدف واقعی اعلامیه تغییر اثر تعهد باشد، قواعد حق شرط ممکن است مطرح شوند. بنابراین، فایده آن در شفاف‌سازی و مستندسازی است، نه ایجاد حق یک‌جانبه برای تعیین معنای نهایی سند.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راهبرد سوم، مذاکره درباره شروط بازنگری، خروج، تعلیق و حل اختلاف است. چنین شرط‌هایی در صورت توافق، می‌توانند مسیر تصمیم بعدی را روشن کنند. بااین‌حال، انتخاب آن‌ها به ماهیت سند، منافع متقابل و امکان توافق وابسته است. نبود یک شرط، به‌تنهایی خطا یا خیانت مذاکره‌کننده را ثابت نمی‌کند؛ ارزیابی کیفیت مذاکره نیازمند اسناد و شناخت گزینه‌های واقعی 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راهبرد چهارم، استفاده از مذاکره مجدد یا تعلیق توافقی در موارد قابل اجراست. این راه می‌تواند از اختلاف بکاهد، ولی شکست مذاکره به‌خودی‌خود مجوز عدم اجرا نیست. همچنین تکلیف دقیق مذاکره یا اطلاع قبلی، تابع متن و نهاد مورد استناد است و در برخی فروض فوری، قواعد خاص وجود دارد. آنچه برای چارچوب رساله اهمیت دارد، آزمودن و ثبت راه‌های واقعی و کافی، نه رعایت صوری یک مرحله است.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راهبرد پنجم، مستندسازی و ابلاغ معتبر است. تعیین مبنا، شواهد، دامنه اقدام و شرایط بازبینی، ارزیابی و دفاع حقوقی را ممکن‌تر می‌کند. بااین‌حال، شفافیت به‌تنهایی جبران را کاهش نمی‌دهد یا رفتار نامشروع را مشروع نمی‌سازد. انتشار عمومی نیز باید با ملاحظات قانونی محرمانگی و حق اطلاع طرف‌های مربوط جمع شود؛ معیار اصلی، رعایت حق و آیین معتبر است.</w:t>
      </w:r>
    </w:p>
    <w:p>
      <w:pPr>
        <w:pStyle w:val="TH-Band"/>
        <w:keepNext w:val="1"/>
        <w:keepLines w:val="1"/>
        <w:widowControl w:val="1"/>
        <w:bidi w:val="1"/>
        <w:spacing w:before="240" w:after="100" w:line="300" w:lineRule="auto"/>
        <w:ind w:firstLine="0"/>
        <w:jc w:val="start"/>
      </w:pPr>
      <w:bookmarkStart w:id="145" w:name="_Toc000145"/>
      <w:r>
        <w:rPr>
          <w:rFonts w:ascii="B Nazanin" w:hAnsi="B Nazanin" w:cs="B Nazanin" w:eastAsia="B Nazanin"/>
          <w:b w:val="1"/>
          <w:bCs w:val="1"/>
          <w:i w:val="0"/>
          <w:color w:val="243B53"/>
          <w:sz w:val="29"/>
          <w:szCs w:val="29"/>
          <w:rtl w:val="1"/>
          <w:lang w:val="fa-IR" w:bidi="fa-IR"/>
        </w:rPr>
        <w:t>بند چهارم: شرایط اقدام متقابل و جبران در رویه</w:t>
      </w:r>
      <w:bookmarkEnd w:id="14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اقدام متقابل باید علیه دولت مسئول و برای واداشتن آن به انجام تعهدات مسئولیت باشد. ماده ۵۰، منع توسل به زور، حقوق بنیادین بشر، تعهدات بشردوستانه منع‌کننده تلافی، قواعد آمره و برخی تعهدات دیگر را محفوظ می‌دارد. تناسب در ماده ۵۱ به معنای لزوم تلافی هم‌اندازه یا منع اقدام خفیف‌تر نیست. ماده ۵۲ اصل مطالبه و اخطار و پیشنهاد مذاکره و نیز استثنای اقدام فوری لازم برای حفظ حقوق را بیان می‌کند. پایان اقدام طبق ماده ۵۳ به انجام تعهدات مسئولیت وابسته است؛ توقف صرف نقض، همیشه تمام مسئله نیست.</w:t>
      </w:r>
      <w:r>
        <w:rPr>
          <w:rFonts w:ascii="B Nazanin" w:hAnsi="B Nazanin" w:cs="B Nazanin" w:eastAsia="B Nazanin"/>
          <w:b w:val="0"/>
          <w:bCs w:val="0"/>
          <w:i w:val="0"/>
          <w:sz w:val="20"/>
          <w:szCs w:val="20"/>
          <w:vertAlign w:val="superscript"/>
          <w:rtl w:val="1"/>
          <w:lang w:val="fa-IR" w:bidi="fa-IR"/>
        </w:rPr>
        <w:footnoteReference w:id="11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شباهت برخی شرایط اقدام متقابل با ضوابط پیشنهادی، امکان مقایسه فراهم می‌کند؛ اما رعایت چک‌لیست فقهی، جای احراز مواد ۴۹ تا ۵۳ را نمی‌گیرد. به‌ویژه، حقوق دولت‌های ثالث، محدودیت‌های خاص و هدف وادارسازی باید مستقل بررسی شوند. مقایسه علمی باید هم اشتراک‌ها را نشان دهد و هم تفاوت‌ها را؛ از تشابه نمی‌توان مجوز دوگانه و خودکار نتیجه گرفت.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رأی کارخانه کورزو در ۱۹۲۸، از مراجع مهم اصل جبران کامل است. مفاد مشهور آن، تا حد امکان، رفع پیامدهای عمل غیرقانونی و بازسازی وضعیتی است که اگر آن عمل رخ نمی‌داد وجود می‌داشت؛ این معنا با بازگشت مکانیکی به لحظه پیش از نقض یکسان نیست. جبران کامل نیز فقط به خسارت مالی فروکاسته نمی‌شود. در مسئله رساله، رابطه سببیت، نوع زیان و امکان شکل‌های جبران باید پیش از تصمیم برآورد شوند.</w:t>
      </w:r>
      <w:r>
        <w:rPr>
          <w:rFonts w:ascii="B Nazanin" w:hAnsi="B Nazanin" w:cs="B Nazanin" w:eastAsia="B Nazanin"/>
          <w:b w:val="0"/>
          <w:bCs w:val="0"/>
          <w:i w:val="0"/>
          <w:sz w:val="20"/>
          <w:szCs w:val="20"/>
          <w:vertAlign w:val="superscript"/>
          <w:rtl w:val="1"/>
          <w:lang w:val="fa-IR" w:bidi="fa-IR"/>
        </w:rPr>
        <w:footnoteReference w:id="114"/>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صلاحیت دیوان بین‌المللی دادگستری در دعاوی ترافعی، مبتنی بر رضایت است؛ این رضایت ممکن است پیشاپیش در شرط معاهده‌ای، اعلامیه متقابل پذیرش صلاحیت اجباری یا توافق خاص ابراز شود.</w:t>
      </w:r>
      <w:r>
        <w:rPr>
          <w:rFonts w:ascii="B Nazanin" w:hAnsi="B Nazanin" w:cs="B Nazanin" w:eastAsia="B Nazanin"/>
          <w:b w:val="0"/>
          <w:bCs w:val="0"/>
          <w:i w:val="0"/>
          <w:sz w:val="20"/>
          <w:szCs w:val="20"/>
          <w:vertAlign w:val="superscript"/>
          <w:rtl w:val="1"/>
          <w:lang w:val="fa-IR" w:bidi="fa-IR"/>
        </w:rPr>
        <w:footnoteReference w:id="115"/>
      </w:r>
      <w:r>
        <w:rPr>
          <w:rFonts w:ascii="B Nazanin" w:hAnsi="B Nazanin" w:cs="B Nazanin" w:eastAsia="B Nazanin"/>
          <w:b w:val="0"/>
          <w:bCs w:val="0"/>
          <w:i w:val="0"/>
          <w:sz w:val="28"/>
          <w:szCs w:val="28"/>
          <w:rtl w:val="1"/>
          <w:lang w:val="fa-IR" w:bidi="fa-IR"/>
        </w:rPr>
        <w:t xml:space="preserve"> بنابراین، طرح دعوا همیشه به رضایت تازه نیاز ندارد. شورای امنیت، در مقابل، وظایف منشوری صلح و امنیت را انجام می‌دهد؛ قلمرو الزام تصمیم‌های آن باید بر اساس متن، مبنای اختیار و مخاطبان تصمیم سنجیده شود، نه با حکم کلی درباره هر تصمیم فصل هفتم.</w:t>
      </w:r>
      <w:r>
        <w:rPr>
          <w:rFonts w:ascii="B Nazanin" w:hAnsi="B Nazanin" w:cs="B Nazanin" w:eastAsia="B Nazanin"/>
          <w:b w:val="0"/>
          <w:bCs w:val="0"/>
          <w:i w:val="0"/>
          <w:sz w:val="20"/>
          <w:szCs w:val="20"/>
          <w:vertAlign w:val="superscript"/>
          <w:rtl w:val="1"/>
          <w:lang w:val="fa-IR" w:bidi="fa-IR"/>
        </w:rPr>
        <w:footnoteReference w:id="116"/>
      </w:r>
    </w:p>
    <w:p>
      <w:pPr>
        <w:pStyle w:val="TH-Band"/>
        <w:keepNext w:val="1"/>
        <w:keepLines w:val="1"/>
        <w:widowControl w:val="1"/>
        <w:bidi w:val="1"/>
        <w:spacing w:before="240" w:after="100" w:line="300" w:lineRule="auto"/>
        <w:ind w:firstLine="0"/>
        <w:jc w:val="start"/>
      </w:pPr>
      <w:bookmarkStart w:id="146" w:name="_Toc000146"/>
      <w:r>
        <w:rPr>
          <w:rFonts w:ascii="B Nazanin" w:hAnsi="B Nazanin" w:cs="B Nazanin" w:eastAsia="B Nazanin"/>
          <w:b w:val="1"/>
          <w:bCs w:val="1"/>
          <w:i w:val="0"/>
          <w:color w:val="243B53"/>
          <w:sz w:val="29"/>
          <w:szCs w:val="29"/>
          <w:rtl w:val="1"/>
          <w:lang w:val="fa-IR" w:bidi="fa-IR"/>
        </w:rPr>
        <w:t>بند پنجم: نمونه تحلیلی؛ تجربه برجام</w:t>
      </w:r>
      <w:bookmarkEnd w:id="14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برجام به‌عنوان نمونه‌ای برای نشان دادن پرسش‌های چارچوب بررسی می‌شود، نه پرونده‌ای با نتیجه حقوقی از پیش تعیین‌شده. ماهیت تعهدات متن، جایگاه قطعنامه ۲۲۳۱ و تفاوت عبارات اجرایی آن باید جداگانه احراز شوند. تأیید یک توافق توسط شورای امنیت، خودبه‌خود همه بندهای توافق را به تعهد یکسان و الزام‌آور منشوری تبدیل نمی‌کند. بحث حاضر محدود به همین تمایزهاست و گزارش وضعیت روز پرونده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نمونه تاریخی مورد توجه، اعلام توقف مشارکت آمریکا در ۲۰۱۸ و اقدامات بعدی ایران در کاهش اجرای برخی تعهدات از ۲۰۱۹، مسائل حقوقی متفاوتی ایجاد کردند. تحلیل هر اقدام باید به سند، تاریخ و مبنای اعلامی آن بازگردد. به‌ویژه، سازوکار حل اختلاف و امکان توقف تعهدات در بندهای ۳۶ و ۳۷ متن برجام، با حق خروج بی‌قید یکسان نیست. درباره تحولات پسین نیز این بند ادعای پوشش جامع یا داوری نهایی ندارد.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سطح فقهی، باید تحقق موضوع، تکلیف مقابل و ضوابط تصمیم بررسی شود؛ در سطح داخلی، مقام، مصوبه و مسیر قانونی مربوط؛ و در سطح بین‌المللی، ماهیت تعهد، رفتار هر طرف و دفاع قابل استناد. احراز این عناصر در یک پرونده واقعی به اسنادی فراتر از چارچوب نظری نیاز دارد. ازاین‌رو، رساله درباره مشروعیت نهایی همه اقدامات هیچ‌یک از طرف‌ها حکم کلی صادر نمی‌کند.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کارکرد مثال آن است که نشان دهد یک عنوان سیاسی، مانند خروج یا کاهش تعهدات، برای تعیین حکم کافی نیست. باید مشخص شود کدام تعهد، نسبت به کدام طرف، در چه زمان و بر اساس کدام سند تغییر یافته یا اجرا نشده است. این پرسش‌ها قابلیت استفاده چارچوب را نشان می‌دهند، اما به معنای آزمون تجربی کامل یا اثبات صحت آن در همه پرونده‌ها نیستند.</w:t>
      </w:r>
    </w:p>
    <w:p>
      <w:pPr>
        <w:pStyle w:val="TH-Band"/>
        <w:keepNext w:val="1"/>
        <w:keepLines w:val="1"/>
        <w:widowControl w:val="1"/>
        <w:bidi w:val="1"/>
        <w:spacing w:before="240" w:after="100" w:line="300" w:lineRule="auto"/>
        <w:ind w:firstLine="0"/>
        <w:jc w:val="start"/>
      </w:pPr>
      <w:bookmarkStart w:id="147" w:name="_Toc000147"/>
      <w:r>
        <w:rPr>
          <w:rFonts w:ascii="B Nazanin" w:hAnsi="B Nazanin" w:cs="B Nazanin" w:eastAsia="B Nazanin"/>
          <w:b w:val="1"/>
          <w:bCs w:val="1"/>
          <w:i w:val="0"/>
          <w:color w:val="243B53"/>
          <w:sz w:val="29"/>
          <w:szCs w:val="29"/>
          <w:rtl w:val="1"/>
          <w:lang w:val="fa-IR" w:bidi="fa-IR"/>
        </w:rPr>
        <w:t>بند ششم: تجربه تطبیقی؛ خروج از معاهدات در عمل دولت‌ها</w:t>
      </w:r>
      <w:bookmarkEnd w:id="14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مطالعه تطبیقی خروج از اسناد بین‌المللی، زمانی مفید است که حق خروج مندرج، انصراف از یک تعهد سیاسی و عدم اجرای ناموجه از هم جدا شوند. نمونه‌های زیر، برای روشن کردن این تفاوت‌ها انتخاب شده‌اند و ادعای یکسان بودن مشروعیت یا آثار آن‌ها مطرح نیست. رفتار دولت قدرتمند نیز، صرف وقوع، دلیل اعتبار یک قاعده حقوقی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مورد آمریکا، خروج نخست از موافقت‌نامه پاریس، تابع ماده ۲۸ و فاصله میان اعلام سیاسی، اخطار رسمی و اثرگذاری حقوقی بود؛ خروج از پیمان نیروهای هسته‌ای میان‌برد نیز باید با ماده خروج همان سند سنجیده شود. این دو را نمی‌توان بی‌واسطه با توقف مشارکت در برجام یکسان دانست یا هر سه را اعمال حق خروج بی‌قید معرفی کرد. نتیجه روش‌شناختی آن است که پیش از داوری، متن خاص و تشریفات هر سند بررسی شود؛ وجود ادعای حق، به معنای احراز صحت اعمال آن نیست.</w:t>
      </w:r>
      <w:r>
        <w:rPr>
          <w:rFonts w:ascii="B Nazanin" w:hAnsi="B Nazanin" w:cs="B Nazanin" w:eastAsia="B Nazanin"/>
          <w:b w:val="0"/>
          <w:bCs w:val="0"/>
          <w:i w:val="0"/>
          <w:sz w:val="20"/>
          <w:szCs w:val="20"/>
          <w:vertAlign w:val="superscript"/>
          <w:rtl w:val="1"/>
          <w:lang w:val="fa-IR" w:bidi="fa-IR"/>
        </w:rPr>
        <w:footnoteReference w:id="11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تجربه دهه ۲۰۱۰، باید خروج مؤثر بوروندی در ۲۷ اکتبر ۲۰۱۷ را از اخطارهای خروج گامبیا و آفریقای جنوبی که در ۲۰۱۷ پس گرفته شدند، تفکیک کرد؛ تعبیر خروج دسته‌جمعی این دولت‌ها دقیق نیست. ماده ۱۲۷ اساسنامه رم، زمان و آثار خروج را تعیین می‌کند و همه تعهدات یا رسیدگی‌های پیشین را از بین نمی‌برد. این نمونه نشان می‌دهد که اخطار، اثرگذاری خروج و بقای برخی تعهدات، سه مرحله جدا هستند و قواعد داخلی نیز ممکن است بر اختیار ابلاغ اخطار اثر بگذارند.</w:t>
      </w:r>
      <w:r>
        <w:rPr>
          <w:rFonts w:ascii="B Nazanin" w:hAnsi="B Nazanin" w:cs="B Nazanin" w:eastAsia="B Nazanin"/>
          <w:b w:val="0"/>
          <w:bCs w:val="0"/>
          <w:i w:val="0"/>
          <w:sz w:val="20"/>
          <w:szCs w:val="20"/>
          <w:vertAlign w:val="superscript"/>
          <w:rtl w:val="1"/>
          <w:lang w:val="fa-IR" w:bidi="fa-IR"/>
        </w:rPr>
        <w:footnoteReference w:id="118"/>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خروج بریتانیا از اتحادیه اروپا بر مبنای ماده ۵۰ معاهده اتحادیه اروپا و همراه با فرایند مذاکره و توافق خروج انجام شد؛ خروج در ۳۱ ژانویه ۲۰۲۰ مؤثر گردید. این تجربه اهمیت مقررات خاص، نقش نهادهای داخلی و ترتیبات گذار را نشان می‌دهد. از آن نمی‌توان ضرورت موقت بودن همه خروج‌ها را نتیجه گرفت؛ خروج بریتانیا، با توقف موقت اجرای یک تعهد بر اثر تزاحم، ماهیت یکسان ندارد.</w:t>
      </w:r>
      <w:r>
        <w:rPr>
          <w:rFonts w:ascii="B Nazanin" w:hAnsi="B Nazanin" w:cs="B Nazanin" w:eastAsia="B Nazanin"/>
          <w:b w:val="0"/>
          <w:bCs w:val="0"/>
          <w:i w:val="0"/>
          <w:sz w:val="20"/>
          <w:szCs w:val="20"/>
          <w:vertAlign w:val="superscript"/>
          <w:rtl w:val="1"/>
          <w:lang w:val="fa-IR" w:bidi="fa-IR"/>
        </w:rPr>
        <w:footnoteReference w:id="119"/>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نتیجه مقایسه، وجود یک حق عمومی و بی‌قید برای خروج از هر تعهد نیست. هرگاه متن یا قاعده قابل اعمال حق خروج یا خاتمه را بپذیرد، استفاده از آن با شرایط مربوط ممکن است؛ در دیگر موارد، مبنای متفاوتی لازم است. مذاکره، اطلاع و تدریج نیز آثار یکسان و شرط ثابت همه اسناد نیستند. چارچوب رساله باید به شناسایی این تفاوت‌ها کمک کند، نه آن‌که آن‌ها را در یک عنوان مشترک محو سازد.</w:t>
      </w:r>
    </w:p>
    <w:p>
      <w:pPr>
        <w:pStyle w:val="TH-Goftar"/>
        <w:keepNext w:val="1"/>
        <w:keepLines w:val="1"/>
        <w:widowControl w:val="1"/>
        <w:shd w:val="clear" w:fill="F0F3F6"/>
        <w:bidi w:val="1"/>
        <w:spacing w:before="240" w:after="180" w:line="300" w:lineRule="auto"/>
        <w:ind w:firstLine="0"/>
        <w:jc w:val="start"/>
      </w:pPr>
      <w:bookmarkStart w:id="148" w:name="_Toc000148"/>
      <w:r>
        <w:rPr>
          <w:rFonts w:ascii="B Nazanin" w:hAnsi="B Nazanin" w:cs="B Nazanin" w:eastAsia="B Nazanin"/>
          <w:b w:val="1"/>
          <w:bCs w:val="1"/>
          <w:i w:val="0"/>
          <w:color w:val="243B53"/>
          <w:sz w:val="32"/>
          <w:szCs w:val="32"/>
          <w:rtl w:val="1"/>
          <w:lang w:val="fa-IR" w:bidi="fa-IR"/>
        </w:rPr>
        <w:t>گفتار پنجم: جایگاه حقوق اساسی تصمیم ولی فقیه</w:t>
      </w:r>
      <w:bookmarkEnd w:id="148"/>
    </w:p>
    <w:p>
      <w:pPr>
        <w:pStyle w:val="TH-Band"/>
        <w:keepNext w:val="1"/>
        <w:keepLines w:val="1"/>
        <w:widowControl w:val="1"/>
        <w:bidi w:val="1"/>
        <w:spacing w:before="240" w:after="100" w:line="300" w:lineRule="auto"/>
        <w:ind w:firstLine="0"/>
        <w:jc w:val="start"/>
      </w:pPr>
      <w:bookmarkStart w:id="149" w:name="_Toc000149"/>
      <w:r>
        <w:rPr>
          <w:rFonts w:ascii="B Nazanin" w:hAnsi="B Nazanin" w:cs="B Nazanin" w:eastAsia="B Nazanin"/>
          <w:b w:val="1"/>
          <w:bCs w:val="1"/>
          <w:i w:val="0"/>
          <w:color w:val="243B53"/>
          <w:sz w:val="29"/>
          <w:szCs w:val="29"/>
          <w:rtl w:val="1"/>
          <w:lang w:val="fa-IR" w:bidi="fa-IR"/>
        </w:rPr>
        <w:t>بند اول: تحلیل اصول ۵، ۵۷، ۷۷، ۱۱۲ و ۱۲۵</w:t>
      </w:r>
      <w:bookmarkEnd w:id="14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در این گفتار، اصول قانون اساسی از حیث منبع صلاحیت، مجرای تصمیم و حدود استنباط بررسی می‌شوند. هدف، ارائه قرائت تحلیلی است؛ نه نسبت دادن نظر مورد اختلاف به متن صریح قانون یا جایگزین کردن پژوهش با تفسیر رسمی.</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۵، نهاد ولایت امر و شرایط پایه آن را به رسمیت می‌شناسد و به اصل ۱۰۷ ارجاع می‌دهد. دلالت آن برای موضوع معاهده، مبنایی است؛ از شناسایی مقام نمی‌توان بدون واسطه، صلاحیت خاتمه یا عدم اجرای هر سند را استنتاج کرد. حدود اختیار باید با دیگر اصول و نوع تصمیم موردنظر سنجیده شود.</w:t>
      </w:r>
      <w:r>
        <w:rPr>
          <w:rFonts w:ascii="B Nazanin" w:hAnsi="B Nazanin" w:cs="B Nazanin" w:eastAsia="B Nazanin"/>
          <w:b w:val="0"/>
          <w:bCs w:val="0"/>
          <w:i w:val="0"/>
          <w:sz w:val="20"/>
          <w:szCs w:val="20"/>
          <w:vertAlign w:val="superscript"/>
          <w:rtl w:val="1"/>
          <w:lang w:val="fa-IR" w:bidi="fa-IR"/>
        </w:rPr>
        <w:footnoteReference w:id="120"/>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۵۷، ولایت مطلقه امر، اعمال قوا بر طبق اصول قانون و استقلال آن‌ها را در کنار هم قرار می‌دهد. تفسیر این عناصر باید نظام‌مند باشد و هیچ بخش متن به سود بخش دیگر حذف نشود. این اصل در نظریه اختیار فوق‌العاده اهمیت دارد، اما شیوه عدول از یک معاهده معین را صریحاً بیان نمی‌کند. هر نتیجه خاص، به استدلال تکمیلی نیاز خواهد داشت.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۷۷، تصویب اسناد بین‌المللی مشمول را در صلاحیت مجلس قرار می‌دهد. درباره خروج، دو جهت تحلیلی قابل طرح است: حفظ نقش نهاد تصویب‌کننده در تغییر التزام؛ و تفاوت برخی تصمیم‌های اجرایی یا فوق‌العاده با تصویب اولیه. بااین‌حال، سکوت متن، خود به معنای تفویض به مقام بالاتر نیست. نوع معاهده، قانون تصویب، وجود اختیار اجرایی و ماهیت اقدام باید روشن شوند تا بتوان میان پایان مدت، خروج قانونی و عدم اجرای فوق‌العاده داوری کرد.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نظر پیشنهادی رساله آن است که قواعد عادی صلاحیت، نقطه آغاز باشند و استثنا تنها با مستند مشخص پذیرفته شود. نمی‌توان برای همه خاتمه‌های عادی تصویب تازه مجلس را لازم دانست یا برای همه تصمیم‌های فوق‌العاده آن را صرف توصیه تلقی کرد. نقش مجلس در هر مورد، به مستند حقوقی وابسته است. اگر از سازوکار بند ۸ اصل ۱۱۰ استفاده می‌شود، احراز معضل و رعایت مجرای مجمع باید در استدلال حاضر باشند.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۱۱۲ مجمع تشخیص را دارای نقش‌های متنوع قانونی می‌داند؛ از تشخیص مصلحت در اختلاف تقنینی تا مشاوره و وظایف دیگر. بنابراین، فروکاستن آن به کارشناسی صرف برای تصمیم نهایی رهبری در همه موارد، دقیق نیست. در مسئله معاهده باید مشخص شود کدام صلاحیت مجمع فعال شده و تصمیم یا نظر آن چه اثر حقوقی دارد. عنوان کلی مصلحت‌سنجی برای پاسخ کافی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۱۲۵، امضای اسناد پس از تصویب مجلس را به رئیس‌جمهور یا نماینده قانونی او می‌سپارد. این حکم با نقش رهبری در سیاست‌های کلی قابل جمع است، اما امضا را نمی‌توان در همه موارد تشریفاتیِ فاقد اثر دانست. سکوت این اصل درباره خروج نیز نه دلیل نفی مطلق اختیار است و نه اثبات اختیار رهبری. اثبات صلاحیت خاص، بر عهده مدعی آن است و باید با تقسیم وظایف قانون اساسی سازگار باشد.</w:t>
      </w:r>
    </w:p>
    <w:p>
      <w:pPr>
        <w:pStyle w:val="TH-Band"/>
        <w:keepNext w:val="1"/>
        <w:keepLines w:val="1"/>
        <w:widowControl w:val="1"/>
        <w:bidi w:val="1"/>
        <w:spacing w:before="240" w:after="100" w:line="300" w:lineRule="auto"/>
        <w:ind w:firstLine="0"/>
        <w:jc w:val="start"/>
      </w:pPr>
      <w:bookmarkStart w:id="150" w:name="_Toc000150"/>
      <w:r>
        <w:rPr>
          <w:rFonts w:ascii="B Nazanin" w:hAnsi="B Nazanin" w:cs="B Nazanin" w:eastAsia="B Nazanin"/>
          <w:b w:val="1"/>
          <w:bCs w:val="1"/>
          <w:i w:val="0"/>
          <w:color w:val="243B53"/>
          <w:sz w:val="29"/>
          <w:szCs w:val="29"/>
          <w:rtl w:val="1"/>
          <w:lang w:val="fa-IR" w:bidi="fa-IR"/>
        </w:rPr>
        <w:t>بند دوم: اصول ۱۰۷ تا ۱۱۱؛ نصب، شرایط و نظارت</w:t>
      </w:r>
      <w:bookmarkEnd w:id="15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اصول ۱۰۷، ۱۰۹ و ۱۱۱، به تعیین رهبر، شرایط و استمرار صلاحیت نهادی مربوط‌اند. این اصول برای شناخت مقام اهمیت دارند، اما شایستگی شخص و منشأ قانونی سمت، با گستره هر اختیار خاص یکسان نیست. در ادامه، همین تمایز حفظ می‌شود.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۱۰۷ تعیین رهبر را به خبرگان منتخب مردم می‌سپارد و در پایان، بر تساوی رهبر با سایر افراد کشور در برابر قوانین تأکید می‌کند. برای رساله، این اصل نشان‌دهنده جایگاه نهادی مقام است. از قانونی بودن تعیین صاحب مقام نمی‌توان قانونی بودن همه تصمیم‌های احتمالی او را نتیجه گرفت؛ هر تصمیم همچنان باید در چارچوب صلاحیت مربوط تحلیل شود.</w:t>
      </w:r>
      <w:r>
        <w:rPr>
          <w:rFonts w:ascii="B Nazanin" w:hAnsi="B Nazanin" w:cs="B Nazanin" w:eastAsia="B Nazanin"/>
          <w:b w:val="0"/>
          <w:bCs w:val="0"/>
          <w:i w:val="0"/>
          <w:sz w:val="20"/>
          <w:szCs w:val="20"/>
          <w:vertAlign w:val="superscript"/>
          <w:rtl w:val="1"/>
          <w:lang w:val="fa-IR" w:bidi="fa-IR"/>
        </w:rPr>
        <w:footnoteReference w:id="12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۱۰۹، صلاحیت علمی لازم برای افتا، عدالت و تقوا و توانایی‌های سیاسی و مدیریتی را مقرر می‌کند. این شرایط در کیفیت مسئولیت‌پذیری مهم‌اند، اما دلیل مستقلی بر انحصار تصمیم درباره همه معاهدات در یک مقام نیستند. استنتاج صلاحیت از شایستگی، بدون مستند قانونی، خلط دو مسئله است: چه کسی می‌تواند صاحب سمت باشد و آن سمت چه اختیارهایی دارد.</w:t>
      </w:r>
      <w:r>
        <w:rPr>
          <w:rFonts w:ascii="B Nazanin" w:hAnsi="B Nazanin" w:cs="B Nazanin" w:eastAsia="B Nazanin"/>
          <w:b w:val="0"/>
          <w:bCs w:val="0"/>
          <w:i w:val="0"/>
          <w:sz w:val="20"/>
          <w:szCs w:val="20"/>
          <w:vertAlign w:val="superscript"/>
          <w:rtl w:val="1"/>
          <w:lang w:val="fa-IR" w:bidi="fa-IR"/>
        </w:rPr>
        <w:footnoteReference w:id="122"/>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۱۱۱، ناتوانی از انجام وظایف قانونی، فقدان شرایط یا کشف فقدان اولیه آن‌ها را موضوع برکناری می‌داند و تشخیص را به خبرگان می‌سپارد. این اصل را نباید بدون مستند، معادل نظام عام رسیدگی قضایی به تک‌تک تصمیم‌های معاهده‌ای معرفی کرد. سازوکار ارزیابی یک تصمیم، علاوه بر این سطح نهادی، به قواعد خاص، کارشناسی و پاسخ‌گویی قانونی نیاز دارد.</w:t>
      </w:r>
      <w:r>
        <w:rPr>
          <w:rFonts w:ascii="B Nazanin" w:hAnsi="B Nazanin" w:cs="B Nazanin" w:eastAsia="B Nazanin"/>
          <w:b w:val="0"/>
          <w:bCs w:val="0"/>
          <w:i w:val="0"/>
          <w:sz w:val="20"/>
          <w:szCs w:val="20"/>
          <w:vertAlign w:val="superscript"/>
          <w:rtl w:val="1"/>
          <w:lang w:val="fa-IR" w:bidi="fa-IR"/>
        </w:rPr>
        <w:footnoteReference w:id="12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مجموع این اصول، مقام رهبری را در یک ساختار حقوقی معرفی می‌کند: تعیین، شرایط، استمرار و وظایف. نتیجه برای رساله آن است که بحث اختیار باید نهادی باشد، نه شخص‌محور. در عین حال، اصل وجود نهاد و نظارت بر شرایط آن، جای بررسی مستند تصمیم مشخص یا حقوق دیگر نهادها را نمی‌گیرد.</w:t>
      </w:r>
    </w:p>
    <w:p>
      <w:pPr>
        <w:pStyle w:val="TH-Band"/>
        <w:keepNext w:val="1"/>
        <w:keepLines w:val="1"/>
        <w:widowControl w:val="1"/>
        <w:bidi w:val="1"/>
        <w:spacing w:before="240" w:after="100" w:line="300" w:lineRule="auto"/>
        <w:ind w:firstLine="0"/>
        <w:jc w:val="start"/>
      </w:pPr>
      <w:bookmarkStart w:id="151" w:name="_Toc000151"/>
      <w:r>
        <w:rPr>
          <w:rFonts w:ascii="B Nazanin" w:hAnsi="B Nazanin" w:cs="B Nazanin" w:eastAsia="B Nazanin"/>
          <w:b w:val="1"/>
          <w:bCs w:val="1"/>
          <w:i w:val="0"/>
          <w:color w:val="243B53"/>
          <w:sz w:val="29"/>
          <w:szCs w:val="29"/>
          <w:rtl w:val="1"/>
          <w:lang w:val="fa-IR" w:bidi="fa-IR"/>
        </w:rPr>
        <w:t>بند سوم: سیاست‌های کلی نظام؛ حلقه واسطِ رهبری و معاهدات</w:t>
      </w:r>
      <w:bookmarkEnd w:id="15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بند نخست اصل ۱۱۰، تعیین سیاست‌های کلی پس از مشورت با مجمع را مقرر می‌کند. این صلاحیت بر جهت‌گیری دستگاه‌ها در مذاکره و اجرا اثر دارد؛ اما از تعیین سیاست، اختیار خودکار انحلال هر معاهده ناسازگار با سیاست جدید نتیجه نمی‌شود. باید میان سیاست‌گذاری، قانون‌گذاری، اجرا و تغییر تعهد خارجی تفکیک کرد. اصل استمرار تعهد نیز با تغییر ترجیح داخلی از بین نمی‌رود.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سطح حقوق داخلی، سیاست‌های کلی می‌توانند در برنامه‌ریزی، نظارت و بررسی اقدامات نهادها مؤثر باشند. برای استناد به سیاستی معین، متن ابلاغ، تاریخ و قلمرو آن باید احراز شود؛ نام بردن کلی از سیاست‌های امنیتی یا اقتصادی کافی نیست. ناسازگاری ادعاییِ معاهده با سیاست تازه نیز، ابتدا مسئله تفسیر و راه اصلاح را مطرح می‌کند و به‌تنهایی اثبات‌کننده تزاحم شرعی یا حق خروج بین‌المللی نیست.</w:t>
      </w:r>
      <w:r>
        <w:rPr>
          <w:rFonts w:ascii="B Nazanin" w:hAnsi="B Nazanin" w:cs="B Nazanin" w:eastAsia="B Nazanin"/>
          <w:b w:val="0"/>
          <w:bCs w:val="0"/>
          <w:i w:val="0"/>
          <w:sz w:val="20"/>
          <w:szCs w:val="20"/>
          <w:vertAlign w:val="superscript"/>
          <w:rtl w:val="1"/>
          <w:lang w:val="fa-IR" w:bidi="fa-IR"/>
        </w:rPr>
        <w:footnoteReference w:id="124"/>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بنابراین، بند ۱ می‌تواند بخشی از زمینه استدلال درباره نقش رهبری باشد، اما ملازمه‌ای بدیهی میان تعیین چارچوب و اختیار پایان دادن به همه روابط مشمول وجود ندارد. اگر اختیار ضمنی ادعا می‌شود، باید ضرورت آن برای اعمال اختیار اصلی و سازگاری‌اش با صلاحیت دیگر نهادها نشان داده شود. استناد به بند ۸ نیز موضوع و مجرای خاص خود را دارد و نمی‌توان آن را صرفاً با نام‌گذاری مسئله به معضل فعال دانست.</w:t>
      </w:r>
    </w:p>
    <w:p>
      <w:pPr>
        <w:pStyle w:val="TH-Band"/>
        <w:keepNext w:val="1"/>
        <w:keepLines w:val="1"/>
        <w:widowControl w:val="1"/>
        <w:bidi w:val="1"/>
        <w:spacing w:before="240" w:after="100" w:line="300" w:lineRule="auto"/>
        <w:ind w:firstLine="0"/>
        <w:jc w:val="start"/>
      </w:pPr>
      <w:bookmarkStart w:id="152" w:name="_Toc000152"/>
      <w:r>
        <w:rPr>
          <w:rFonts w:ascii="B Nazanin" w:hAnsi="B Nazanin" w:cs="B Nazanin" w:eastAsia="B Nazanin"/>
          <w:b w:val="1"/>
          <w:bCs w:val="1"/>
          <w:i w:val="0"/>
          <w:color w:val="243B53"/>
          <w:sz w:val="29"/>
          <w:szCs w:val="29"/>
          <w:rtl w:val="1"/>
          <w:lang w:val="fa-IR" w:bidi="fa-IR"/>
        </w:rPr>
        <w:t>بند چهارم: تحلیل اصل ۱۱۰؛ نقد ادعای حصر و تفکیک انواع اختیار</w:t>
      </w:r>
      <w:bookmarkEnd w:id="152"/>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اصل ۱۱۰ اختیار عامِ صریحی برای عدول از تمام معاهدات ندارد؛ در عین حال، برخی بندها مانند اعلان جنگ و صلح یا تعیین سیاست‌های کلی به موضوعات خارجی مرتبط‌اند. پرسش دقیق، دامنه هر بند و امکان استنباط اختیار خاص است. نفی صراحت، مساوی نفی همه نقش‌ها نیست؛ همان‌گونه که وجود نقش کلی نیز، صلاحیت نامحدود برای تغییر تعهد را اثبات نمی‌کند.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دو گرایش تفسیری را می‌توان به‌صورت تحلیلی متمایز کرد: تأکید بر احصای صلاحیت‌ها و قیود قانونی؛ و تأکید بر ظرفیت ولایت مطلقه و سازوکارهای فوق‌العاده. برای انتساب این دیدگاه‌ها به نویسنده معین، نشانی دقیق لازم است. مدافع قرائت مقید می‌تواند ظرفیت بند ۸ را نیز بپذیرد؛ پس نباید دیدگاه او را ضرورتاً ناتوان از حل بحران توصیف کرد. مدافع قرائت موسع نیز باید قیود نهادی و حدود حق را توضیح دهد.</w:t>
      </w:r>
      <w:r>
        <w:rPr>
          <w:rFonts w:ascii="B Nazanin" w:hAnsi="B Nazanin" w:cs="B Nazanin" w:eastAsia="B Nazanin"/>
          <w:b w:val="0"/>
          <w:bCs w:val="0"/>
          <w:i w:val="0"/>
          <w:sz w:val="20"/>
          <w:szCs w:val="20"/>
          <w:vertAlign w:val="superscript"/>
          <w:rtl w:val="1"/>
          <w:lang w:val="fa-IR" w:bidi="fa-IR"/>
        </w:rPr>
        <w:footnoteReference w:id="125"/>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ارزیابی این دو گرایش باید از دو افراط بپرهیزد: نادیده گرفتن ظرفیت‌های صریح فوق‌العاده و تبدیل عنوان ولایت به اختیار فاقد معیار. وجود بحران، به‌تنهایی صلاحیت تازه ایجاد نمی‌کند و محدود بودن صلاحیت نیز لزوماً به بن‌بست نمی‌انجامد. برای موضوع رساله، صورت استدلالِ دقیق آن است که مشخص شود کدام اصل، با چه شرایطی و از چه مجرایی، اقدام موردنظر را پوشش می‌دهد.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تفکیک پیشنهادی فصل اول در این‌جا کاربرد دارد: دلالت صریح یا ضمنی متن بر صلاحیت، مبنای ولاییِ مورد پذیرش و حکم حکومتی به‌عنوان صورت تصمیم. این چهار عنوان، چهار منبع هم‌رتبه و مستقل نیستند؛ تفکیک آن‌ها برای روشن کردن مرحله استدلال است، نه افزودن اختیار بدون دلیل.</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اختیار صریح، اصل وجود صلاحیت در متن مقرر است؛ مانند اعلان جنگ و صلح. بااین‌حال، تفسیر قلمرو آن همچنان لازم است. نمی‌توان هر معاهده اقتصادی یا فرهنگی را صرف ارتباط دور با امنیت، تحت عنوان جنگ و صلح قرار داد. مستند باید با موضوع واقعی تصمیم تناسب داشته باشد.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اختیار ضمنی، رابطه اقدام با صلاحیت مقرر باید اثبات شود. به‌ویژه، استناد به بند ۸ مستلزم احراز معضل نظام، ناکافی بودن طرق عادی و اقدام از طریق مجمع تشخیص مصلحت نظام است. زیان‌بار نامیدن یک معاهده یا شکست یک دور مذاکره، به‌تنهایی همه این عناصر را محقق نمی‌کند. قیود متن، جزء دلیل‌اند و حذف آن‌ها استنباط را ناقص می‌سازد.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در مبنای ولایی، رساله از نظریه فقهی مورد پذیرش برای توضیح امکان تصمیم فوق‌العاده بهره می‌گیرد؛ اما اثر آن در نظام حقوق موضوعه، محل بحث تفسیری است. این مبنا نباید به‌عنوان تفسیر رسمیِ احرازشده قانون اساسی یا مجوز عام نادیده گرفتن دیگر اصول عرضه شود. حدود نظر مختار و ادله مخالف باید در نتیجه محفوظ بمانند.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حکم حکومتی، صورت اعمال اختیارِ احرازشده است. برای اعتبار آن، موضوع، صادرکننده یا مأذون، حدود اجرا و نسبت با قوانین باید روشن شوند. اطلاق عنوان حکم، نه نقص صلاحیت را خودبه‌خود برطرف می‌کند و نه اثر خارجی معاهده را تغییر می‌دهد. این مرحله باید پس از تبیین منبع اختیار، نه به جای آن، قرار گیرد.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جمع‌بندی پیشنهادی آن است که اختیار فوق‌العاده، اگر پذیرفته شود، باید با مستند مشخص و قیود فقهی و قانونی بیان شود. شعار «کف و سقف» بدون این توضیح، پاسخ حقوقی دقیقی نیست. رساله بر امکان بررسی استثنا تأکید می‌کند، نه بر این‌که خودِ استثنا اصل صلاحیت و تشریفات را بی‌اثر سازد. عدم حصرِ مورد استدلال، در هر حال، معادل عدم ضابطه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توقف اجرای قانون تصویب‌کننده معاهده، از نسخ قانون و از تعلیق معتبر بین‌المللی متمایز است. بر مبنای نظریه رساله، امکان تصمیم فوق‌العاده داخلی قابل بحث است؛ اما موقت نامیدن آن، به‌تنهایی سازگاری با استقلال قوا یا صحت صلاحیت را ثابت نمی‌کند. همچنین ماده ۷۲ وین، مستند اختیار داخلی برای توقف قانون نیست. رابطه با مجلس و دیگر نهادها باید بر اساس قواعد الزامی هر مورد تعیین شود، نه همیشه در حد توصیه به هماهنگی.</w:t>
      </w:r>
    </w:p>
    <w:p>
      <w:pPr>
        <w:pStyle w:val="TH-Goftar"/>
        <w:keepNext w:val="1"/>
        <w:keepLines w:val="1"/>
        <w:widowControl w:val="1"/>
        <w:shd w:val="clear" w:fill="F0F3F6"/>
        <w:bidi w:val="1"/>
        <w:spacing w:before="240" w:after="180" w:line="300" w:lineRule="auto"/>
        <w:ind w:firstLine="0"/>
        <w:jc w:val="start"/>
      </w:pPr>
      <w:bookmarkStart w:id="153" w:name="_Toc000153"/>
      <w:r>
        <w:rPr>
          <w:rFonts w:ascii="B Nazanin" w:hAnsi="B Nazanin" w:cs="B Nazanin" w:eastAsia="B Nazanin"/>
          <w:b w:val="1"/>
          <w:bCs w:val="1"/>
          <w:i w:val="0"/>
          <w:color w:val="243B53"/>
          <w:sz w:val="32"/>
          <w:szCs w:val="32"/>
          <w:rtl w:val="1"/>
          <w:lang w:val="fa-IR" w:bidi="fa-IR"/>
        </w:rPr>
        <w:t>حاصل فصل پنجم</w:t>
      </w:r>
      <w:bookmarkEnd w:id="15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حاصل فصل، تفکیک مراحل است: تصمیم رسمی اصولاً به دولت منتسب می‌شود؛ نقض بر اساس تعهد لازم‌الاجرا و رفتار احراز می‌گردد؛ و دفاع یا اثر آن با قواعد مستقل سنجیده می‌شود. ضرورت، تعلیق و خاتمه مترادف نیستند و جواز داخلی به‌تنهایی مسئولیت خارجی را رفع نمی‌کند. در داخل نیز اختیار فوق‌العاده، نتیجه استنباط مشروط است، نه نص عام درباره همه معاهدات. چارچوب قابل دفاع باید برای هر سه سطح، دلیل، مرجع صلاحیت‌دار و محدودیت‌های روشن داشته باشد.</w:t>
      </w:r>
    </w:p>
    <w:p>
      <w:r>
        <w:br w:type="page"/>
      </w:r>
    </w:p>
    <w:p/>
    <w:p/>
    <w:p>
      <w:pPr>
        <w:pStyle w:val="TH-Fasl"/>
        <w:keepNext w:val="1"/>
        <w:keepLines w:val="1"/>
        <w:widowControl w:val="1"/>
        <w:pBdr>
          <w:top w:val="single" w:sz="8" w:space="8" w:color="243B53"/>
          <w:bottom w:val="single" w:sz="8" w:space="8" w:color="243B53"/>
        </w:pBdr>
        <w:bidi w:val="1"/>
        <w:spacing w:before="120" w:after="180" w:line="300" w:lineRule="auto"/>
        <w:ind w:firstLine="0"/>
        <w:jc w:val="center"/>
      </w:pPr>
      <w:bookmarkStart w:id="154" w:name="_Toc000154"/>
      <w:r>
        <w:rPr>
          <w:rFonts w:ascii="B Nazanin" w:hAnsi="B Nazanin" w:cs="B Nazanin" w:eastAsia="B Nazanin"/>
          <w:b w:val="1"/>
          <w:bCs w:val="1"/>
          <w:i w:val="0"/>
          <w:color w:val="243B53"/>
          <w:sz w:val="40"/>
          <w:szCs w:val="40"/>
          <w:rtl w:val="1"/>
          <w:lang w:val="fa-IR" w:bidi="fa-IR"/>
        </w:rPr>
        <w:t>نتیجه‌گیری</w:t>
      </w:r>
      <w:bookmarkEnd w:id="15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پرسش اصلی رساله درباره مبنا، شرایط و آثار عدول فوق‌العاده از تعهد معاهده‌ای بود. پاسخ، در چارچوب نظریه فقهی پذیرفته‌شده و با توجه به محدودیت مستندات، مشروط است: نه می‌توان وفا را با هر تغییر منفعت کنار گذاشت و نه می‌توان بدون بررسی ادله، امکان هر وضعیت استثنایی را نفی کرد. پنج نتیجه زیر، جمع‌بندی استدلال‌هاست و باید با همان قیود فصل‌های پیشین خوانده شود.</w:t>
      </w:r>
    </w:p>
    <w:p>
      <w:pPr>
        <w:pStyle w:val="TH-Goftar"/>
        <w:keepNext w:val="1"/>
        <w:keepLines w:val="1"/>
        <w:widowControl w:val="1"/>
        <w:shd w:val="clear" w:fill="F0F3F6"/>
        <w:bidi w:val="1"/>
        <w:spacing w:before="240" w:after="180" w:line="300" w:lineRule="auto"/>
        <w:ind w:firstLine="0"/>
        <w:jc w:val="start"/>
      </w:pPr>
      <w:bookmarkStart w:id="155" w:name="_Toc000155"/>
      <w:r>
        <w:rPr>
          <w:rFonts w:ascii="B Nazanin" w:hAnsi="B Nazanin" w:cs="B Nazanin" w:eastAsia="B Nazanin"/>
          <w:b w:val="1"/>
          <w:bCs w:val="1"/>
          <w:i w:val="0"/>
          <w:color w:val="243B53"/>
          <w:sz w:val="32"/>
          <w:szCs w:val="32"/>
          <w:rtl w:val="1"/>
          <w:lang w:val="fa-IR" w:bidi="fa-IR"/>
        </w:rPr>
        <w:t>دستاورد اول: قاعده اولی، وجوب وفاست</w:t>
      </w:r>
      <w:bookmarkEnd w:id="15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نخست، وفای به عهد معتبر، نقطه آغاز تحلیل است. آیات عام وفا و آیات خاص پیمان با گروه‌های دیگر، همراه با متون روایی و شواهد عقلایی، پشتوانه این اصل‌اند. قوت این مجموعه نباید به ادعای هم‌رتبه بودن همه ادله یا اجماع احرازنشده درباره تمام فروض تبدیل شود. نتیجه عملی روشن است: صرف زیان، دشواری یا تغییر ترجیح سیاسی، دلیل کافی بر جواز عدم اجرا نیست و مدعی استثنا باید مبنای آن را اثبات کند.</w:t>
      </w:r>
    </w:p>
    <w:p>
      <w:pPr>
        <w:pStyle w:val="TH-Goftar"/>
        <w:keepNext w:val="1"/>
        <w:keepLines w:val="1"/>
        <w:widowControl w:val="1"/>
        <w:shd w:val="clear" w:fill="F0F3F6"/>
        <w:bidi w:val="1"/>
        <w:spacing w:before="240" w:after="180" w:line="300" w:lineRule="auto"/>
        <w:ind w:firstLine="0"/>
        <w:jc w:val="start"/>
      </w:pPr>
      <w:bookmarkStart w:id="156" w:name="_Toc000156"/>
      <w:r>
        <w:rPr>
          <w:rFonts w:ascii="B Nazanin" w:hAnsi="B Nazanin" w:cs="B Nazanin" w:eastAsia="B Nazanin"/>
          <w:b w:val="1"/>
          <w:bCs w:val="1"/>
          <w:i w:val="0"/>
          <w:color w:val="243B53"/>
          <w:sz w:val="32"/>
          <w:szCs w:val="32"/>
          <w:rtl w:val="1"/>
          <w:lang w:val="fa-IR" w:bidi="fa-IR"/>
        </w:rPr>
        <w:t xml:space="preserve">دستاورد دوم: امکان استثنا، وابسته به احراز مبنا و موضوع است</w:t>
      </w:r>
      <w:bookmarkEnd w:id="15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دوم، در فرض اثبات دو تکلیف معتبر، ناتوانی از جمع و اهمیت تکلیف مقابل، تحلیل تزاحمی می‌تواند زمینه بررسی جواز استثنایی را فراهم کند. نظریه حکم حکومتی به صلاحیت و صورت تصمیم مربوط می‌شود؛ قواعد ضرر و حرج نیز شرایط و قلمرو مستقل دارند. این عناصر، چهار دلیل مستقلِ بی‌نیاز از مقدمه نیستند. شواهد سیره غالباً مؤید محدودند و از انعقاد صلح یا پذیرش تدبیر، اختیار نقض هر عهد معتبر به‌طور مستقیم به دست نمی‌آید. حق خروج قراردادی و خاتمه توافقی نیز مسیرهایی جدا از عدول فوق‌العاده‌اند.</w:t>
      </w:r>
    </w:p>
    <w:p>
      <w:pPr>
        <w:pStyle w:val="TH-Goftar"/>
        <w:keepNext w:val="1"/>
        <w:keepLines w:val="1"/>
        <w:widowControl w:val="1"/>
        <w:shd w:val="clear" w:fill="F0F3F6"/>
        <w:bidi w:val="1"/>
        <w:spacing w:before="240" w:after="180" w:line="300" w:lineRule="auto"/>
        <w:ind w:firstLine="0"/>
        <w:jc w:val="start"/>
      </w:pPr>
      <w:bookmarkStart w:id="157" w:name="_Toc000157"/>
      <w:r>
        <w:rPr>
          <w:rFonts w:ascii="B Nazanin" w:hAnsi="B Nazanin" w:cs="B Nazanin" w:eastAsia="B Nazanin"/>
          <w:b w:val="1"/>
          <w:bCs w:val="1"/>
          <w:i w:val="0"/>
          <w:color w:val="243B53"/>
          <w:sz w:val="32"/>
          <w:szCs w:val="32"/>
          <w:rtl w:val="1"/>
          <w:lang w:val="fa-IR" w:bidi="fa-IR"/>
        </w:rPr>
        <w:t>دستاورد سوم: ضوابط هشت‌گانه، مهار جواز است</w:t>
      </w:r>
      <w:bookmarkEnd w:id="15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سوم، چارچوب هشت‌گانه رساله شامل احراز تزاحم، بررسی راه معتبر جایگزین، صلاحیت و کارشناسی، تناسب، محدودیت به دوام سبب و بازبینی، ابلاغ معتبر، رعایت منع‌های غیرقابل عدول و ارزیابی پیامدهاست. این چارچوب برای کنترل و مستندسازی پیشنهاد می‌شود؛ تکمیل آن، تضمین صحت در همه نظام‌ها نیست. بعضی ضوابط ماهوی و برخی نهادی یا آیینی‌اند و برای هر یک باید دلیل و مرجع ارزیابی مشخص شود.</w:t>
      </w:r>
    </w:p>
    <w:p>
      <w:pPr>
        <w:pStyle w:val="TH-Goftar"/>
        <w:keepNext w:val="1"/>
        <w:keepLines w:val="1"/>
        <w:widowControl w:val="1"/>
        <w:shd w:val="clear" w:fill="F0F3F6"/>
        <w:bidi w:val="1"/>
        <w:spacing w:before="240" w:after="180" w:line="300" w:lineRule="auto"/>
        <w:ind w:firstLine="0"/>
        <w:jc w:val="start"/>
      </w:pPr>
      <w:bookmarkStart w:id="158" w:name="_Toc000158"/>
      <w:r>
        <w:rPr>
          <w:rFonts w:ascii="B Nazanin" w:hAnsi="B Nazanin" w:cs="B Nazanin" w:eastAsia="B Nazanin"/>
          <w:b w:val="1"/>
          <w:bCs w:val="1"/>
          <w:i w:val="0"/>
          <w:color w:val="243B53"/>
          <w:sz w:val="32"/>
          <w:szCs w:val="32"/>
          <w:rtl w:val="1"/>
          <w:lang w:val="fa-IR" w:bidi="fa-IR"/>
        </w:rPr>
        <w:t xml:space="preserve">دستاورد چهارم: تفکیک سه سطح تحلیل و حفظ ارتباط آن‌ها</w:t>
      </w:r>
      <w:bookmarkEnd w:id="15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چهارم، جواز فقهی، اعتبار داخلی و مسئولیت بین‌المللی معیارهای متفاوت دارند. ممکن است تصمیمی بر مبنای داخلی قابل دفاع باشد، اما در برابر تعهد خارجی مسئولیت ایجاد کند. همچنین پذیرش یک دفاع بین‌المللی، همه شرایط فقهی یا داخلی را اثبات نمی‌کند. این تمایز با ارتباط موضوعی سطوح جمع می‌شود: آثار خارجی و حقوق اشخاص، در تشخیص مصلحت و ارزیابی اهمیت نیز مؤثرند. ازاین‌رو، جداسازی روش‌شناختی نباید به نادیده گرفتن پیامدها بینجامد.</w:t>
      </w:r>
    </w:p>
    <w:p>
      <w:pPr>
        <w:pStyle w:val="TH-Goftar"/>
        <w:keepNext w:val="1"/>
        <w:keepLines w:val="1"/>
        <w:widowControl w:val="1"/>
        <w:shd w:val="clear" w:fill="F0F3F6"/>
        <w:bidi w:val="1"/>
        <w:spacing w:before="240" w:after="180" w:line="300" w:lineRule="auto"/>
        <w:ind w:firstLine="0"/>
        <w:jc w:val="start"/>
      </w:pPr>
      <w:bookmarkStart w:id="159" w:name="_Toc000159"/>
      <w:r>
        <w:rPr>
          <w:rFonts w:ascii="B Nazanin" w:hAnsi="B Nazanin" w:cs="B Nazanin" w:eastAsia="B Nazanin"/>
          <w:b w:val="1"/>
          <w:bCs w:val="1"/>
          <w:i w:val="0"/>
          <w:color w:val="243B53"/>
          <w:sz w:val="32"/>
          <w:szCs w:val="32"/>
          <w:rtl w:val="1"/>
          <w:lang w:val="fa-IR" w:bidi="fa-IR"/>
        </w:rPr>
        <w:t xml:space="preserve">دستاورد پنجم: اختیار فوق‌العاده، نیازمند مستند و مجرای مشخص است</w:t>
      </w:r>
      <w:bookmarkEnd w:id="159"/>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پنجم، اصل ۱۱۰ اختیار عام و صریحی برای عدول از همه معاهدات مقرر نکرده است. برخی صلاحیت‌های آن به سیاست خارجی و صلح مربوط‌اند، اما دامنه هر یک باید با دیگر اصول جمع شود. در فرض استناد به بند ۸، احراز معضل، ناکافی بودن طرق عادی و اقدام از طریق مجمع، اجزای استدلال‌اند. تفکیک اختیار صریح و ضمنی، مبنای ولایی و صورت حکم حکومتی، از خلط مراحل جلوگیری می‌کند؛ بااین‌حال، خود منشأ صلاحیت نیست و نتیجه رساله نیز تفسیر رسمی قانون اساسی محسوب نمی‌شود.</w:t>
      </w:r>
    </w:p>
    <w:p>
      <w:pPr>
        <w:pStyle w:val="TH-Goftar"/>
        <w:keepNext w:val="1"/>
        <w:keepLines w:val="1"/>
        <w:widowControl w:val="1"/>
        <w:shd w:val="clear" w:fill="F0F3F6"/>
        <w:bidi w:val="1"/>
        <w:spacing w:before="240" w:after="180" w:line="300" w:lineRule="auto"/>
        <w:ind w:firstLine="0"/>
        <w:jc w:val="start"/>
      </w:pPr>
      <w:bookmarkStart w:id="160" w:name="_Toc000160"/>
      <w:r>
        <w:rPr>
          <w:rFonts w:ascii="B Nazanin" w:hAnsi="B Nazanin" w:cs="B Nazanin" w:eastAsia="B Nazanin"/>
          <w:b w:val="1"/>
          <w:bCs w:val="1"/>
          <w:i w:val="0"/>
          <w:color w:val="243B53"/>
          <w:sz w:val="32"/>
          <w:szCs w:val="32"/>
          <w:rtl w:val="1"/>
          <w:lang w:val="fa-IR" w:bidi="fa-IR"/>
        </w:rPr>
        <w:t>نوآوری‌ها و پیشنهادها</w:t>
      </w:r>
      <w:bookmarkEnd w:id="160"/>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سهم تحلیلی پیشنهادی رساله در تنظیم سه سطح بررسی، تفکیک تزاحم از انصراف ادله، روشن کردن نقش متفاوت حکم حکومتی و قواعد ضرر و حرج، تفکیک خاتمه معاهده از اسباب رافع وصف متخلفانه و تدوین ضوابط تصمیم است. مقایسه مصلحت با ضرورت نیز بر عدم ملازمه، نه ادعای نسبت منطقی ثابت، استوار شد. اثبات نوآوری نسبت به همه پژوهش‌های پیشین، به تکمیل مرور مستند ادبیات نیاز دارد؛ این محدودیت باید در ارزیابی دستاوردها لحاظ 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برای ادامه پژوهش، شش مسیر پیشنهاد می‌شود: مقایسه مستند مذاهب فقهی درباره عهدهای عمومی؛ مطالعه موردیِ اسنادی یک تجربه معاصر؛ بررسی نسبت قواعد آمره و حدود قطعی شرعی؛ تحلیل فقهی و حقوقی حق شرط و اعلامیه تفسیری؛ مطالعه سازوکار قانونی هماهنگی نهادها در چرخه معاهده؛ و تهیه شرح آموزشی دقیق از حقوق معاهدات و مسئولیت برای پژوهشگران فقه. ایجاد نهاد تازه، اگر پیشنهاد شود، باید از ضرورت و امکان قانونی مستقل برخوردار باشد و در این رساله مفروض نیست.</w:t>
      </w:r>
    </w:p>
    <w:p>
      <w:pPr>
        <w:pStyle w:val="TH-Goftar"/>
        <w:keepNext w:val="1"/>
        <w:keepLines w:val="1"/>
        <w:widowControl w:val="1"/>
        <w:shd w:val="clear" w:fill="F0F3F6"/>
        <w:bidi w:val="1"/>
        <w:spacing w:before="240" w:after="180" w:line="300" w:lineRule="auto"/>
        <w:ind w:firstLine="0"/>
        <w:jc w:val="start"/>
      </w:pPr>
      <w:bookmarkStart w:id="161" w:name="_Toc000161"/>
      <w:r>
        <w:rPr>
          <w:rFonts w:ascii="B Nazanin" w:hAnsi="B Nazanin" w:cs="B Nazanin" w:eastAsia="B Nazanin"/>
          <w:b w:val="1"/>
          <w:bCs w:val="1"/>
          <w:i w:val="0"/>
          <w:color w:val="243B53"/>
          <w:sz w:val="32"/>
          <w:szCs w:val="32"/>
          <w:rtl w:val="1"/>
          <w:lang w:val="fa-IR" w:bidi="fa-IR"/>
        </w:rPr>
        <w:t>پاسخ کوتاه به سؤال‌های فرعی؛ جمع‌بندی برای دفاع</w:t>
      </w:r>
      <w:bookmarkEnd w:id="161"/>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پاسخ‌های کوتاه زیر با هفت سؤال فرعی مقدمه متناظرند. این خلاصه‌ها جایگزین قیود استدلال در فصل‌ها نیستند و برای مرور نتایج، همراه با حدود آن‌ها، ارائه می‌شوند.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پاسخ سؤال نخست: تصمیم رسمی مقام رهبری اصولاً به دولت منتسب است؛ مسئولیت، افزون بر انتساب، به وجود تعهد، نقض و نبود سبب معتبرِ رافع وصف متخلفانه وابسته است. تعهدات مسئولیت با تحقق عمل متخلفانه ایجاد می‌شوند، نه تنها پس از رأی دادگاه. دفاع یا جبران نیز باید بر اساس قواعد مستقل بررسی شود و جواز داخلی آن‌ها را خودبه‌خود منتفی نمی‌کند.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پاسخ سؤال دوم: شرط قراردادی، توافق طرف‌ها و موجبات معتبر قانونی می‌توانند در خاتمه، خروج یا تعلیق مؤثر باشند؛ هر یک شرایط خاص دارند. مواد ۶۵ تا ۶۸ عمدتاً به آیین مربوط‌اند، نه سبب ماهوی مستقل. ضرورت و اقدام متقابل در حقوق مسئولیت، با خاتمه معاهده یکی نیستند و تشریفات مشترک ظاهری، تفاوت مبانی را از میان نمی‌برد.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پاسخ سؤال سوم: ادله وفا، اصل الزام به عهد معتبر را پشتیبانی می‌کنند و برخی آیات مستقیماً به روابط عمومی و پیمان با غیرمسلمان مربوط‌اند. ادعای انصراف کلی آن‌ها به شرایط عادی، بدون قرینه، پذیرفته نیست. در فرض تزاحم احرازشده، بحث در مقام امتثال مطرح می‌شود؛ نه با نفی پیشینی شمول دلیل.</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پاسخ سؤال چهارم: تزاحم، چارچوب بررسی ناتوانی از جمع تکالیف است؛ حکم حکومتی، صورت اعمال اختیار در مبنای مورد پذیرش؛ و ضرر و حرج، قواعد دارای مقدمات مستقل‌اند. جواز استثنایی به احراز موضوع و مرجح و صلاحیت وابسته است. ضوابط هشت‌گانه نیز ابزار کنترل تصمیم‌اند، نه دلیل کافی برای مشروعیت خودکار آن.</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پاسخ سؤال پنجم: نقش رهبری در سیاست خارجی و برخی وضعیت‌های فوق‌العاده، از اصول مرتبط قابل بررسی است؛ اما اختیار عام عدول از همه معاهدات صریحاً مقرر نشده است. استنباط اختیار خاص باید با صلاحیت مجلس و دولت، قیود اصل ۵۷ و مجرای بند ۸ اصل ۱۱۰ سنجیده شود. سکوت قانون، به‌تنهایی دلیل ایجاد یا نفی مطلق صلاحیت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پاسخ سؤال ششم: سیره می‌تواند مؤید پایبندی، تدبیر و واکنش مقید به نقض باشد؛ اما تعمیم آن به معاهده معاصر نیازمند احراز گزارش، شناخت موضوع و اثبات وجه مشترک مؤثر است. حدیبیه، فتح مکه و برائت وقایع متمایزند و انتخاب صلح نیز عین نقض پیمان نیست. از این شواهد نمی‌توان انطباق کامل همه ضوابط پیشنهادی را نتیجه گرفت.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پاسخ سؤال هفتم: آثار داخلی، بین‌المللی و اجتماعی باید جداگانه ثبت شوند. توقف اجرای قانون داخلی، نسخ آن و تعلیق معتبر معاهده آثار یکسان ندارند. در خارج نیز ممکن است تعهد به توقف و جبران یا آثار خاص خاتمه و تعلیق مطرح باشد. برنامه بازبینی، ابلاغ و حل اختلاف باید پیش از اجرا تعیین شود و حقوق اشخاص و تعهدات باقی‌مانده محفوظ بمانند.</w:t>
      </w:r>
    </w:p>
    <w:p>
      <w:pPr>
        <w:pStyle w:val="TH-Goftar"/>
        <w:keepNext w:val="1"/>
        <w:keepLines w:val="1"/>
        <w:widowControl w:val="1"/>
        <w:shd w:val="clear" w:fill="F0F3F6"/>
        <w:bidi w:val="1"/>
        <w:spacing w:before="240" w:after="180" w:line="300" w:lineRule="auto"/>
        <w:ind w:firstLine="0"/>
        <w:jc w:val="start"/>
      </w:pPr>
      <w:bookmarkStart w:id="162" w:name="_Toc000162"/>
      <w:r>
        <w:rPr>
          <w:rFonts w:ascii="B Nazanin" w:hAnsi="B Nazanin" w:cs="B Nazanin" w:eastAsia="B Nazanin"/>
          <w:b w:val="1"/>
          <w:bCs w:val="1"/>
          <w:i w:val="0"/>
          <w:color w:val="243B53"/>
          <w:sz w:val="32"/>
          <w:szCs w:val="32"/>
          <w:rtl w:val="1"/>
          <w:lang w:val="fa-IR" w:bidi="fa-IR"/>
        </w:rPr>
        <w:t>مسیر آینده؛ از رساله تا نظام‌سازی</w:t>
      </w:r>
      <w:bookmarkEnd w:id="162"/>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افق پژوهش، تدوین دقیق‌تر فقه معاهدات معاصر و روشن کردن چرخه نهادی تصمیم در حقوق داخلی است. برای این منظور، مطالعه میان‌رشته‌ای باید با مهارت ارجاع به منابع اصلی، شناخت روش رجالی و اصولی و تحلیل سند حقوقی همراه باشد. همکاری متخصصان فقه، حقوق اساسی و حقوق بین‌الملل می‌تواند خطاهای انتقال مفاهیم را کاهش دهد. هدف، یکسان کردن نظام‌ها نیست؛ بلکه فراهم کردن گفت‌وگویی است که تفاوت معیارها و آثار را حفظ کند.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محدودیت‌های این رساله، به‌ویژه ارجاعات نیازمند تکمیل، نبود بررسی رجالی تفصیلی همه نقل‌ها و فقدان دسترسی به اسناد کامل تصمیم‌های معاصر، بر درجه قطعیت نتایج اثر دارند. ارزش چارچوب پیشنهادی در امکان نقد، تکمیل و آزمون آن است. امید است بازبینی استادان و پژوهشگران، به استحکام استدلال و کاربرد مسئولانه آن کمک کند؛ به‌گونه‌ای که احترام به عهد، حقوق مردم و ضرورت پاسخ‌گویی در مرکز تحلیل باقی بماند. والحمد لله رب العالمین.</w:t>
      </w:r>
    </w:p>
    <w:p>
      <w:r>
        <w:br w:type="page"/>
      </w:r>
    </w:p>
    <w:p/>
    <w:p/>
    <w:p>
      <w:pPr>
        <w:pStyle w:val="TH-Fasl"/>
        <w:keepNext w:val="1"/>
        <w:keepLines w:val="1"/>
        <w:widowControl w:val="1"/>
        <w:pBdr>
          <w:top w:val="single" w:sz="8" w:space="8" w:color="243B53"/>
          <w:bottom w:val="single" w:sz="8" w:space="8" w:color="243B53"/>
        </w:pBdr>
        <w:bidi w:val="1"/>
        <w:spacing w:before="120" w:after="180" w:line="300" w:lineRule="auto"/>
        <w:ind w:firstLine="0"/>
        <w:jc w:val="center"/>
      </w:pPr>
      <w:bookmarkStart w:id="163" w:name="_Toc000163"/>
      <w:r>
        <w:rPr>
          <w:rFonts w:ascii="B Nazanin" w:hAnsi="B Nazanin" w:cs="B Nazanin" w:eastAsia="B Nazanin"/>
          <w:b w:val="1"/>
          <w:bCs w:val="1"/>
          <w:i w:val="0"/>
          <w:color w:val="243B53"/>
          <w:sz w:val="40"/>
          <w:szCs w:val="40"/>
          <w:rtl w:val="1"/>
          <w:lang w:val="fa-IR" w:bidi="fa-IR"/>
        </w:rPr>
        <w:t>فهرست منابع</w:t>
      </w:r>
      <w:bookmarkEnd w:id="163"/>
    </w:p>
    <w:p>
      <w:pPr>
        <w:pStyle w:val="TH-Body"/>
        <w:keepLines w:val="1"/>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منابع و آثار معرفی‌شده، با حفظ ترتیب دسته‌های نسخه اصلی آمده‌اند. برای اسناد حقوقی، عنوان رسمی و شماره ماده یا بند، و برای متون قابل تطبیق، جلد و موضع مشخص درج شده است. بعضی مشخصات کتاب‌شناختی نسخه اولیه هنوز نیازمند احرازند؛ درج نام آن‌ها به معنای مطالعه کامل یا تأیید همه انتساب‌ها نیست. پیش از ارائه نهایی، منابع واقعاً استفاده‌شده باید با فیش‌ها تطبیق داده شوند، مشخصات چاپ تکمیل و مدخل‌های استفاده‌نشده حذف شوند. فهرست تفصیلی موارد باز در گزارش همراه آمده است.</w:t>
      </w:r>
    </w:p>
    <w:p>
      <w:pPr>
        <w:pStyle w:val="TH-Goftar"/>
        <w:keepNext w:val="1"/>
        <w:keepLines w:val="1"/>
        <w:widowControl w:val="1"/>
        <w:shd w:val="clear" w:fill="F0F3F6"/>
        <w:bidi w:val="1"/>
        <w:spacing w:before="240" w:after="180" w:line="300" w:lineRule="auto"/>
        <w:ind w:firstLine="0"/>
        <w:jc w:val="start"/>
      </w:pPr>
      <w:bookmarkStart w:id="164" w:name="_Toc000164"/>
      <w:r>
        <w:rPr>
          <w:rFonts w:ascii="B Nazanin" w:hAnsi="B Nazanin" w:cs="B Nazanin" w:eastAsia="B Nazanin"/>
          <w:b w:val="1"/>
          <w:bCs w:val="1"/>
          <w:i w:val="0"/>
          <w:color w:val="243B53"/>
          <w:sz w:val="32"/>
          <w:szCs w:val="32"/>
          <w:rtl w:val="1"/>
          <w:lang w:val="fa-IR" w:bidi="fa-IR"/>
        </w:rPr>
        <w:t>قرآن کریم و تفاسیر</w:t>
      </w:r>
      <w:bookmarkEnd w:id="164"/>
    </w:p>
    <w:p>
      <w:pPr>
        <w:pStyle w:val="TH-Body"/>
        <w:keepLines w:val="1"/>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قرآن کریم؛ ارجاع بر اساس نام سوره و شماره آیه. ترجمه‌ها و توضیح‌های فارسی آیات در این رساله، بیان توضیحی‌اند و جز در موارد تصریح، نقل لفظی از مترجم معین محسوب نمی‌شوند.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شیخ طوسی، محمد بن حسن، التبیان فی تفسیر القرآن، بیروت، دار احیاء التراث العربی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شیخ طبرسی، فضل بن حسن، مجمع البیان فی تفسیر القرآن، تهران، انتشارات ناصر خسرو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علامه طباطبایی، سیدمحمدحسین، المیزان فی تفسیر القرآن، قم، دفتر انتشارات اسلامی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فخر رازی، محمد بن عمر، مفاتیح الغیب (التفسیر الکبیر)، بیروت، دار احیاء التراث العربی (مشخصات چاپ، نیازمند بررسی منبع اصلی است).</w:t>
      </w:r>
    </w:p>
    <w:p>
      <w:pPr>
        <w:pStyle w:val="TH-Goftar"/>
        <w:keepNext w:val="1"/>
        <w:keepLines w:val="1"/>
        <w:widowControl w:val="1"/>
        <w:shd w:val="clear" w:fill="F0F3F6"/>
        <w:bidi w:val="1"/>
        <w:spacing w:before="240" w:after="180" w:line="300" w:lineRule="auto"/>
        <w:ind w:firstLine="0"/>
        <w:jc w:val="start"/>
      </w:pPr>
      <w:bookmarkStart w:id="165" w:name="_Toc000165"/>
      <w:r>
        <w:rPr>
          <w:rFonts w:ascii="B Nazanin" w:hAnsi="B Nazanin" w:cs="B Nazanin" w:eastAsia="B Nazanin"/>
          <w:b w:val="1"/>
          <w:bCs w:val="1"/>
          <w:i w:val="0"/>
          <w:color w:val="243B53"/>
          <w:sz w:val="32"/>
          <w:szCs w:val="32"/>
          <w:rtl w:val="1"/>
          <w:lang w:val="fa-IR" w:bidi="fa-IR"/>
        </w:rPr>
        <w:t>جوامع حدیثی و نهج‌البلاغه</w:t>
      </w:r>
      <w:bookmarkEnd w:id="165"/>
    </w:p>
    <w:p>
      <w:pPr>
        <w:pStyle w:val="TH-Body"/>
        <w:keepLines w:val="1"/>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کلینی، محمد بن یعقوب، الکافی، تهران، دار الکتب الاسلامیه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شیخ صدوق، محمد بن علی، من لایحضره الفقیه، قم، دفتر انتشارات اسلامی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شیخ صدوق، محمد بن علی، الخصال، قم، دفتر انتشارات اسلامی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شیخ طوسی، محمد بن حسن، تهذیب الاحکام، تهران، دار الکتب الاسلامیه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حر عاملی، محمد بن حسن، وسائل الشیعه، قم، مؤسسه آل‌البیت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مجلسی، محمدباقر، بحار الانوار الجامعة لدرر اخبار الائمة الاطهار، بیروت، دار احیاء التراث العربی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شریف رضی، محمد بن حسین، نهج‌البلاغه، نامه ۵۳، عهدنامه مالک اشتر؛ نسخه دارالکتاب اللبنانی، به‌ویژه صص ۴۴۲–۴۴۳، متن برخط مدرسه فقاهت. بخش وفای به عهد و منع گسستن پیمان به صرف تنگنا با این موضع تطبیق شده است. ترجمه‌های فارسی رساله، توضیحی‌اند و به مترجم خاص نسبت داده نمی‌شوند.</w:t>
      </w:r>
    </w:p>
    <w:p>
      <w:pPr>
        <w:pStyle w:val="TH-Goftar"/>
        <w:keepNext w:val="1"/>
        <w:keepLines w:val="1"/>
        <w:widowControl w:val="1"/>
        <w:shd w:val="clear" w:fill="F0F3F6"/>
        <w:bidi w:val="1"/>
        <w:spacing w:before="240" w:after="180" w:line="300" w:lineRule="auto"/>
        <w:ind w:firstLine="0"/>
        <w:jc w:val="start"/>
      </w:pPr>
      <w:bookmarkStart w:id="166" w:name="_Toc000166"/>
      <w:r>
        <w:rPr>
          <w:rFonts w:ascii="B Nazanin" w:hAnsi="B Nazanin" w:cs="B Nazanin" w:eastAsia="B Nazanin"/>
          <w:b w:val="1"/>
          <w:bCs w:val="1"/>
          <w:i w:val="0"/>
          <w:color w:val="243B53"/>
          <w:sz w:val="32"/>
          <w:szCs w:val="32"/>
          <w:rtl w:val="1"/>
          <w:lang w:val="fa-IR" w:bidi="fa-IR"/>
        </w:rPr>
        <w:t>کتب فقهی و اصولی</w:t>
      </w:r>
      <w:bookmarkEnd w:id="166"/>
    </w:p>
    <w:p>
      <w:pPr>
        <w:pStyle w:val="TH-Body"/>
        <w:keepLines w:val="1"/>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شیخ انصاری، مرتضی، المکاسب (کتاب التجاره)، قم، دفتر انتشارات اسلامی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شیخ انصاری، مرتضی، فرائد الاصول (الرسائل)، قم، دفتر انتشارات اسلامی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میرزای نائینی، محمدحسین، منیة الطالب فی حاشیة المکاسب، تهران، کتابخانه محمدی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میرزای نائینی، محمدحسین، فوائد الاصول (تقریر کاظمی)، قم، دفتر انتشارات اسلامی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آخوند خراسانی، محمدکاظم، کفایة الاصول، قم، مؤسسه آل‌البیت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نجفی، محمدحسن، جواهر الکلام فی شرح شرائع الاسلام، جلد ۲۱، مباحث هدنه، به‌ویژه صفحات ۲۹۹ و ۳۱۳؛ نسخه برخط کتابخانه مدرسه فقاهت. مشخصات چاپ کاغذی مورد استفاده نگارنده نیازمند تکمیل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بجنوردی، سیدحسن، القواعد الفقهیه، قم، نشر الهادی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امام خمینی، سیدروح‌الله، تحریر الوسیله، قم، دفتر انتشارات اسلامی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امام خمینی، سیدروح‌الله، المکاسب المحرمه، قم، مؤسسه تنظیم و نشر آثار امام خمینی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نراقی، احمد، عوائد الایام، عائده ولایت فقیه؛ نائینی، محمدحسین، تنبیه الامه و تنزیه المله. این دو اثر در بحث پیشینه نظری معرفی شده‌اند؛ نسخه و نشانی دقیقِ عبارت‌های مورد استناد باید تکمیل شود.</w:t>
      </w:r>
    </w:p>
    <w:p>
      <w:pPr>
        <w:pStyle w:val="TH-Goftar"/>
        <w:keepNext w:val="1"/>
        <w:keepLines w:val="1"/>
        <w:widowControl w:val="1"/>
        <w:shd w:val="clear" w:fill="F0F3F6"/>
        <w:bidi w:val="1"/>
        <w:spacing w:before="240" w:after="180" w:line="300" w:lineRule="auto"/>
        <w:ind w:firstLine="0"/>
        <w:jc w:val="start"/>
      </w:pPr>
      <w:bookmarkStart w:id="167" w:name="_Toc000167"/>
      <w:r>
        <w:rPr>
          <w:rFonts w:ascii="B Nazanin" w:hAnsi="B Nazanin" w:cs="B Nazanin" w:eastAsia="B Nazanin"/>
          <w:b w:val="1"/>
          <w:bCs w:val="1"/>
          <w:i w:val="0"/>
          <w:color w:val="243B53"/>
          <w:sz w:val="32"/>
          <w:szCs w:val="32"/>
          <w:rtl w:val="1"/>
          <w:lang w:val="fa-IR" w:bidi="fa-IR"/>
        </w:rPr>
        <w:t>فقه سیاسی، ولایت فقیه و حکومت اسلامی</w:t>
      </w:r>
      <w:bookmarkEnd w:id="167"/>
    </w:p>
    <w:p>
      <w:pPr>
        <w:pStyle w:val="TH-Body"/>
        <w:keepLines w:val="1"/>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امام خمینی، سیدروح‌الله، ولایت فقیه (حکومت اسلامی)، تهران، مؤسسه تنظیم و نشر آثار امام خمینی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خمینی، سیدروح‌الله، صحیفه امام، جلد ۲۰، صفحات ۴۵۱–۴۵۲، نامه به آقای خامنه‌ای با موضوع حدود اختیارات حکومت اسلامی، ۱۶ دی ۱۳۶۶؛ متن برخط پایگاه روح‌الله. این موضع، مأخذ عبارت تقدم حکومت بر احکام فرعیه و بحث قراردادهای حکومت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منتظری، حسینعلی، دراسات فی ولایة الفقیه و فقه الدولة الاسلامیه، قم، نشر تفکر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منتظری، حسینعلی، شئون و اختیارات ولایت فقیه؛ عنوان، مترجم و مشخصات نسخه معرفی‌شده در پیش‌نویس نیازمند احراز کتاب‌شناختی است. تا آن زمان، این مدخل مستندِ انتساب رأی خاص نیست.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جوادی آملی، عبدالله، ولایت فقیه؛ ولایت فقاهت و عدالت، قم، نشر اسراء؛ سال و نوبت چاپِ نسخه مورد استفاده نیازمند تکمیل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آثار فقه سیاسی منسوب به جوادی آملی در پیش‌نویس: عنوان مستقل و مشخصات اثر احراز نشده است؛ این مدخل صرفاً برای پیگیری کتاب‌شناختی حفظ شده و مبنای نتیجه‌گیری نیست.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خامنه‌ای، سیدعلی، اجوبة الاستفتائات؛ برای استناد به فتوای خاص، شماره سؤال و نسخه یا نشانی رسمی لازم است. در این رساله از این مدخل، فتوای معینِ احرازشده درباره عدول از معاهده نقل نمی‌شود.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عمید زنجانی، عباسعلی، فقه سیاسی، تهران، انتشارات امیرکبیر (مشخصات چاپ، نیازمند بررسی منبع اصلی است).</w:t>
      </w:r>
    </w:p>
    <w:p>
      <w:pPr>
        <w:pStyle w:val="TH-Goftar"/>
        <w:keepNext w:val="1"/>
        <w:keepLines w:val="1"/>
        <w:widowControl w:val="1"/>
        <w:shd w:val="clear" w:fill="F0F3F6"/>
        <w:bidi w:val="1"/>
        <w:spacing w:before="240" w:after="180" w:line="300" w:lineRule="auto"/>
        <w:ind w:firstLine="0"/>
        <w:jc w:val="start"/>
      </w:pPr>
      <w:bookmarkStart w:id="168" w:name="_Toc000168"/>
      <w:r>
        <w:rPr>
          <w:rFonts w:ascii="B Nazanin" w:hAnsi="B Nazanin" w:cs="B Nazanin" w:eastAsia="B Nazanin"/>
          <w:b w:val="1"/>
          <w:bCs w:val="1"/>
          <w:i w:val="0"/>
          <w:color w:val="243B53"/>
          <w:sz w:val="32"/>
          <w:szCs w:val="32"/>
          <w:rtl w:val="1"/>
          <w:lang w:val="fa-IR" w:bidi="fa-IR"/>
        </w:rPr>
        <w:t>قانون اساسی و اسناد حقوقی داخلی</w:t>
      </w:r>
      <w:bookmarkEnd w:id="168"/>
    </w:p>
    <w:p>
      <w:pPr>
        <w:pStyle w:val="TH-Body"/>
        <w:keepLines w:val="1"/>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قانون اساسی جمهوری اسلامی ایران، مصوب ۱۳۵۸ با بازنگری ۱۳۶۸؛ متن منتشرشده در پایگاه شورای نگهبان، به‌ویژه اصول ۵، ۵۷، ۷۷، ۹۸، ۱۰۷ تا ۱۱۲، ۱۲۵، ۱۳۹، ۱۵۲ تا ۱۵۴ و ۱۷۶.</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صورت مشروح مذاکرات مجلس بررسی نهایی قانون اساسی جمهوری اسلامی ایران، تهران، اداره کل امور فرهنگی و روابط عمومی مجلس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قاضی شریعت‌پناهی، سیدابوالفضل، حقوق اساسی و نهادهای سیاسی، تهران، نشر میزان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هاشمی، سیدمحمد، حقوق اساسی جمهوری اسلامی ایران، تهران، نشر میزان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نظریات تفسیری شورای نگهبان: برای انتساب تفسیر رسمی، شماره، تاریخ و متن نظریه لازم است. معرفی کلی این مجموعه، تأیید وجود تفسیر معینی درباره عدول از معاهدات محسوب نمی‌شود.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قانون آیین‌نامه داخلی مجلس شورای اسلامی (مواد مربوط به بررسی عهدنامه‌ها و مقاوله‌نامه‌های بین‌المللی).</w:t>
      </w:r>
    </w:p>
    <w:p>
      <w:pPr>
        <w:pStyle w:val="TH-Goftar"/>
        <w:keepNext w:val="1"/>
        <w:keepLines w:val="1"/>
        <w:widowControl w:val="1"/>
        <w:shd w:val="clear" w:fill="F0F3F6"/>
        <w:bidi w:val="1"/>
        <w:spacing w:before="240" w:after="180" w:line="300" w:lineRule="auto"/>
        <w:ind w:firstLine="0"/>
        <w:jc w:val="start"/>
      </w:pPr>
      <w:bookmarkStart w:id="169" w:name="_Toc000169"/>
      <w:r>
        <w:rPr>
          <w:rFonts w:ascii="B Nazanin" w:hAnsi="B Nazanin" w:cs="B Nazanin" w:eastAsia="B Nazanin"/>
          <w:b w:val="1"/>
          <w:bCs w:val="1"/>
          <w:i w:val="0"/>
          <w:color w:val="243B53"/>
          <w:sz w:val="32"/>
          <w:szCs w:val="32"/>
          <w:rtl w:val="1"/>
          <w:lang w:val="fa-IR" w:bidi="fa-IR"/>
        </w:rPr>
        <w:t>اسناد بین‌المللی</w:t>
      </w:r>
      <w:bookmarkEnd w:id="169"/>
    </w:p>
    <w:p>
      <w:pPr>
        <w:pStyle w:val="TH-Body"/>
        <w:keepLines w:val="1"/>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منشور ملل متحد، سانفرانسیسکو، ۲۶ ژوئن ۱۹۴۵؛ لازم‌الاجرا از ۲۴ اکتبر ۱۹۴۵؛ به‌ویژه مواد ۲، ۲۵، ۳۳، ۳۹، ۵۱، ۱۰۲ و ۱۰۳. فارسی از زبان‌های اصیل منشور نیست؛ ترجمه‌های این رساله، جای متن معتبر را نمی‌گیرند.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اساسنامه دیوان بین‌المللی دادگستری، ۱۹۴۵، به‌ویژه ماده ۳۶؛ متن رسمی در پایگاه دیوان. اساسنامه جزء لاینفک منشور ملل متحد است.</w:t>
      </w:r>
    </w:p>
    <w:p>
      <w:pPr>
        <w:pStyle w:val="TH-Body"/>
        <w:keepLines w:val="1"/>
        <w:widowControl w:val="1"/>
        <w:bidi w:val="0"/>
        <w:spacing w:before="0" w:after="120" w:line="336" w:lineRule="auto"/>
        <w:ind w:firstLine="0"/>
        <w:jc w:val="both"/>
      </w:pPr>
      <w:r>
        <w:rPr>
          <w:rFonts w:ascii="Times New Roman" w:hAnsi="Times New Roman" w:cs="B Nazanin" w:eastAsia="B Nazanin"/>
          <w:b w:val="0"/>
          <w:bCs w:val="0"/>
          <w:i w:val="0"/>
          <w:sz w:val="24"/>
          <w:szCs w:val="24"/>
          <w:rtl w:val="0"/>
          <w:lang w:val="en-US" w:bidi="fa-IR"/>
        </w:rPr>
        <w:t xml:space="preserve">Vienna Convention on the Law of Treaties, 1969, United Nations Treaty Series, vol. 1155, p. 331; articles 2–8, 19–23, 26–33, 42–46, 48–72. Official text: United Nations, International Law Commission.</w:t>
      </w:r>
    </w:p>
    <w:p>
      <w:pPr>
        <w:pStyle w:val="TH-Body"/>
        <w:keepLines w:val="1"/>
        <w:widowControl w:val="1"/>
        <w:bidi w:val="1"/>
        <w:spacing w:before="0" w:after="120" w:line="336" w:lineRule="auto"/>
        <w:ind w:firstLine="283"/>
        <w:jc w:val="both"/>
      </w:pPr>
      <w:r>
        <w:rPr>
          <w:rFonts w:ascii="Times New Roman" w:hAnsi="Times New Roman" w:cs="B Nazanin" w:eastAsia="B Nazanin"/>
          <w:b w:val="0"/>
          <w:bCs w:val="0"/>
          <w:i w:val="0"/>
          <w:sz w:val="25"/>
          <w:szCs w:val="25"/>
          <w:rtl w:val="0"/>
          <w:lang w:val="en-US" w:bidi="fa-IR"/>
        </w:rPr>
        <w:t xml:space="preserve">Vienna Convention on the Law of Treaties between States and International Organizations or between International Organizations, 1986</w:t>
      </w:r>
      <w:r>
        <w:rPr>
          <w:rFonts w:ascii="B Nazanin" w:hAnsi="B Nazanin" w:cs="B Nazanin" w:eastAsia="B Nazanin"/>
          <w:b w:val="0"/>
          <w:bCs w:val="0"/>
          <w:i w:val="0"/>
          <w:sz w:val="28"/>
          <w:szCs w:val="28"/>
          <w:rtl w:val="1"/>
          <w:lang w:val="fa-IR" w:bidi="fa-IR"/>
        </w:rPr>
        <w:t xml:space="preserve">؛ معرفی این سند در رساله برای تفکیک قلمرو موضوعی است، نه فرض اجرای قراردادی آن بر هر توافق.</w:t>
      </w:r>
    </w:p>
    <w:p>
      <w:pPr>
        <w:pStyle w:val="TH-Body"/>
        <w:keepLines w:val="1"/>
        <w:widowControl w:val="1"/>
        <w:bidi w:val="1"/>
        <w:spacing w:before="0" w:after="120" w:line="336" w:lineRule="auto"/>
        <w:ind w:firstLine="283"/>
        <w:jc w:val="both"/>
      </w:pPr>
      <w:r>
        <w:rPr>
          <w:rFonts w:ascii="Times New Roman" w:hAnsi="Times New Roman" w:cs="B Nazanin" w:eastAsia="B Nazanin"/>
          <w:b w:val="0"/>
          <w:bCs w:val="0"/>
          <w:i w:val="0"/>
          <w:sz w:val="25"/>
          <w:szCs w:val="25"/>
          <w:rtl w:val="0"/>
          <w:lang w:val="en-US" w:bidi="fa-IR"/>
        </w:rPr>
        <w:t xml:space="preserve">International Law Commission, Articles on Responsibility of States for Internationally Wrongful Acts, 2001</w:t>
      </w:r>
      <w:r>
        <w:rPr>
          <w:rFonts w:ascii="B Nazanin" w:hAnsi="B Nazanin" w:cs="B Nazanin" w:eastAsia="B Nazanin"/>
          <w:b w:val="0"/>
          <w:bCs w:val="0"/>
          <w:i w:val="0"/>
          <w:sz w:val="28"/>
          <w:szCs w:val="28"/>
          <w:rtl w:val="1"/>
          <w:lang w:val="fa-IR" w:bidi="fa-IR"/>
        </w:rPr>
        <w:t xml:space="preserve">؛ متن مندرج در ضمیمه قطعنامه مجمع عمومی 56/83، مورخ ۱۲ دسامبر ۲۰۰۱، با اصلاحیه </w:t>
      </w:r>
      <w:r>
        <w:rPr>
          <w:rFonts w:ascii="Times New Roman" w:hAnsi="Times New Roman" w:cs="B Nazanin" w:eastAsia="B Nazanin"/>
          <w:b w:val="0"/>
          <w:bCs w:val="0"/>
          <w:i w:val="0"/>
          <w:sz w:val="25"/>
          <w:szCs w:val="25"/>
          <w:rtl w:val="0"/>
          <w:lang w:val="en-US" w:bidi="fa-IR"/>
        </w:rPr>
        <w:t xml:space="preserve">A/56/49(Vol. I)/Corr.4</w:t>
      </w:r>
      <w:r>
        <w:rPr>
          <w:rFonts w:ascii="B Nazanin" w:hAnsi="B Nazanin" w:cs="B Nazanin" w:eastAsia="B Nazanin"/>
          <w:b w:val="0"/>
          <w:bCs w:val="0"/>
          <w:i w:val="0"/>
          <w:sz w:val="28"/>
          <w:szCs w:val="28"/>
          <w:rtl w:val="1"/>
          <w:lang w:val="fa-IR" w:bidi="fa-IR"/>
        </w:rPr>
        <w:t xml:space="preserve">؛ همراه با شرح کمیسیون در سالنامه ۲۰۰۱، جلد دوم، بخش دوم.</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آرای مورد بحث: دیوان بین‌المللی دادگستری، کارکنان دیپلماتیک و کنسولی ایالات متحده در تهران، رأی ۲۴ مه ۱۹۸۰؛ فعالیت‌های نظامی و شبه‌نظامی در نیکاراگوئه و علیه آن، رأی ماهوی ۲۷ ژوئن ۱۹۸۶؛ پروژه گابچیکوو ـ ناگیماروش، رأی ۲۵ سپتامبر ۱۹۹۷. همچنین دیوان دائمی دادگستری بین‌المللی، کارخانه کورزو، رأی ماهوی ۱۳ سپتامبر ۱۹۲۸، مجموعه </w:t>
      </w:r>
      <w:r>
        <w:rPr>
          <w:rFonts w:ascii="Times New Roman" w:hAnsi="Times New Roman" w:cs="B Nazanin" w:eastAsia="B Nazanin"/>
          <w:b w:val="0"/>
          <w:bCs w:val="0"/>
          <w:i w:val="0"/>
          <w:sz w:val="25"/>
          <w:szCs w:val="25"/>
          <w:rtl w:val="0"/>
          <w:lang w:val="en-US" w:bidi="fa-IR"/>
        </w:rPr>
        <w:t xml:space="preserve">A</w:t>
      </w:r>
      <w:r>
        <w:rPr>
          <w:rFonts w:ascii="B Nazanin" w:hAnsi="B Nazanin" w:cs="B Nazanin" w:eastAsia="B Nazanin"/>
          <w:b w:val="0"/>
          <w:bCs w:val="0"/>
          <w:i w:val="0"/>
          <w:sz w:val="28"/>
          <w:szCs w:val="28"/>
          <w:rtl w:val="1"/>
          <w:lang w:val="fa-IR" w:bidi="fa-IR"/>
        </w:rPr>
        <w:t xml:space="preserve">، شماره ۱۷، به‌ویژه صفحه ۴۷.</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شورای امنیت ملل متحد، قطعنامه </w:t>
      </w:r>
      <w:r>
        <w:rPr>
          <w:rFonts w:ascii="Times New Roman" w:hAnsi="Times New Roman" w:cs="B Nazanin" w:eastAsia="B Nazanin"/>
          <w:b w:val="0"/>
          <w:bCs w:val="0"/>
          <w:i w:val="0"/>
          <w:sz w:val="25"/>
          <w:szCs w:val="25"/>
          <w:rtl w:val="0"/>
          <w:lang w:val="en-US" w:bidi="fa-IR"/>
        </w:rPr>
        <w:t xml:space="preserve">S/RES/2231 (2015)</w:t>
      </w:r>
      <w:r>
        <w:rPr>
          <w:rFonts w:ascii="B Nazanin" w:hAnsi="B Nazanin" w:cs="B Nazanin" w:eastAsia="B Nazanin"/>
          <w:b w:val="0"/>
          <w:bCs w:val="0"/>
          <w:i w:val="0"/>
          <w:sz w:val="28"/>
          <w:szCs w:val="28"/>
          <w:rtl w:val="1"/>
          <w:lang w:val="fa-IR" w:bidi="fa-IR"/>
        </w:rPr>
        <w:t xml:space="preserve">، مصوب ۲۰ ژوئیه ۲۰۱۵، با ضمایم؛ در تحلیل باید میان مفاد قطعنامه و تعهدات متن برجام تفکیک شود.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برنامه جامع اقدام مشترک، ۱۴ ژوئیه ۲۰۱۵، متن و ضمایم، به‌ویژه بندهای ۳۶ و ۳۷ درباره حل اختلاف؛ مندرج در ضمیمه </w:t>
      </w:r>
      <w:r>
        <w:rPr>
          <w:rFonts w:ascii="Times New Roman" w:hAnsi="Times New Roman" w:cs="B Nazanin" w:eastAsia="B Nazanin"/>
          <w:b w:val="0"/>
          <w:bCs w:val="0"/>
          <w:i w:val="0"/>
          <w:sz w:val="25"/>
          <w:szCs w:val="25"/>
          <w:rtl w:val="0"/>
          <w:lang w:val="en-US" w:bidi="fa-IR"/>
        </w:rPr>
        <w:t xml:space="preserve">A</w:t>
      </w:r>
      <w:r>
        <w:rPr>
          <w:rFonts w:ascii="B Nazanin" w:hAnsi="B Nazanin" w:cs="B Nazanin" w:eastAsia="B Nazanin"/>
          <w:b w:val="0"/>
          <w:bCs w:val="0"/>
          <w:i w:val="0"/>
          <w:sz w:val="28"/>
          <w:szCs w:val="28"/>
          <w:rtl w:val="1"/>
          <w:lang w:val="fa-IR" w:bidi="fa-IR"/>
        </w:rPr>
        <w:t xml:space="preserve"> قطعنامه ۲۲۳۱. نمونه‌های تطبیقی دیگر: موافقت‌نامه پاریس، ماده ۲۸؛ اساسنامه رم، ماده ۱۲۷؛ معاهده اتحادیه اروپا، ماده ۵۰؛ و پیمان نیروهای هسته‌ای میان‌برد، ماده </w:t>
      </w:r>
      <w:r>
        <w:rPr>
          <w:rFonts w:ascii="Times New Roman" w:hAnsi="Times New Roman" w:cs="B Nazanin" w:eastAsia="B Nazanin"/>
          <w:b w:val="0"/>
          <w:bCs w:val="0"/>
          <w:i w:val="0"/>
          <w:sz w:val="25"/>
          <w:szCs w:val="25"/>
          <w:rtl w:val="0"/>
          <w:lang w:val="en-US" w:bidi="fa-IR"/>
        </w:rPr>
        <w:t xml:space="preserve">XV</w:t>
      </w:r>
      <w:r>
        <w:rPr>
          <w:rFonts w:ascii="B Nazanin" w:hAnsi="B Nazanin" w:cs="B Nazanin" w:eastAsia="B Nazanin"/>
          <w:b w:val="0"/>
          <w:bCs w:val="0"/>
          <w:i w:val="0"/>
          <w:sz w:val="28"/>
          <w:szCs w:val="28"/>
          <w:rtl w:val="1"/>
          <w:lang w:val="fa-IR" w:bidi="fa-IR"/>
        </w:rPr>
        <w:t xml:space="preserve">.</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بیانیه‌های الجزایر، ۱۹ ژانویه ۱۹۸۱: بیانیه عمومی و بیانیه حل‌وفصل دعاوی؛ معرفی اسناد برای تمایز از عهدنامه ۱۹۷۵ ایران و عراق است. تحلیل ماهوی این اسناد در قلمرو اصلی رساله انجام نشده است.</w:t>
      </w:r>
    </w:p>
    <w:p>
      <w:pPr>
        <w:pStyle w:val="TH-Goftar"/>
        <w:keepNext w:val="1"/>
        <w:keepLines w:val="1"/>
        <w:widowControl w:val="1"/>
        <w:shd w:val="clear" w:fill="F0F3F6"/>
        <w:bidi w:val="1"/>
        <w:spacing w:before="240" w:after="180" w:line="300" w:lineRule="auto"/>
        <w:ind w:firstLine="0"/>
        <w:jc w:val="start"/>
      </w:pPr>
      <w:bookmarkStart w:id="170" w:name="_Toc000170"/>
      <w:r>
        <w:rPr>
          <w:rFonts w:ascii="B Nazanin" w:hAnsi="B Nazanin" w:cs="B Nazanin" w:eastAsia="B Nazanin"/>
          <w:b w:val="1"/>
          <w:bCs w:val="1"/>
          <w:i w:val="0"/>
          <w:color w:val="243B53"/>
          <w:sz w:val="32"/>
          <w:szCs w:val="32"/>
          <w:rtl w:val="1"/>
          <w:lang w:val="fa-IR" w:bidi="fa-IR"/>
        </w:rPr>
        <w:t xml:space="preserve">کتب و مقالات حقوقی</w:t>
      </w:r>
      <w:bookmarkEnd w:id="170"/>
    </w:p>
    <w:p>
      <w:pPr>
        <w:pStyle w:val="TH-Body"/>
        <w:keepLines w:val="1"/>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ضیایی بیگدلی، محمدرضا، حقوق معاهدات بین‌المللی، تهران، انتشارات گنج دانش (مشخصات چاپ، نیازمند بررسی منبع اصلی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مدخل «صفری، محسن، حقوق بین‌الملل عمومی» در پیش‌نویس، از حیث انتساب و مشخصات اثر احراز نشده است. تا تعیین منبع واقعی، این عنوان نباید مستند پژوهش تلقی شود.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مقالات معرفی‌شده در پیش‌نویس با عنوان‌های «ولایت مطلقه فقیه در قانون اساسی» و «مفهوم ولایت مطلقه فقیه در قانون اساسی جمهوری اسلامی ایران»: نویسنده، تاریخ، محل انتشار و نشانی دقیق نیازمند احراز است؛ انتساب دیدگاه مشخص به آن‌ها تا تکمیل ارجاع انجام نمی‌شود.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اثر تکمیلیِ معرفی‌شده: زحیلی، وهبه، آثار الحرب فی الفقه الاسلامی؛ مشخصات نسخه و موضع مورد استفاده نیازمند تکمیل است. مدخل مقاله حق شرطِ فاقد نویسنده و نشانی در نسخه اولیه، مستند نتیجه‌ای قرار نگرفته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منابع تکمیلی غیرفارسیِ معرفی‌شده: </w:t>
      </w:r>
      <w:r>
        <w:rPr>
          <w:rFonts w:ascii="Times New Roman" w:hAnsi="Times New Roman" w:cs="B Nazanin" w:eastAsia="B Nazanin"/>
          <w:b w:val="0"/>
          <w:bCs w:val="0"/>
          <w:i w:val="0"/>
          <w:sz w:val="25"/>
          <w:szCs w:val="25"/>
          <w:rtl w:val="0"/>
          <w:lang w:val="en-US" w:bidi="fa-IR"/>
        </w:rPr>
        <w:t xml:space="preserve">Malcolm N. Shaw, International Law</w:t>
      </w:r>
      <w:r>
        <w:rPr>
          <w:rFonts w:ascii="B Nazanin" w:hAnsi="B Nazanin" w:cs="B Nazanin" w:eastAsia="B Nazanin"/>
          <w:b w:val="0"/>
          <w:bCs w:val="0"/>
          <w:i w:val="0"/>
          <w:sz w:val="28"/>
          <w:szCs w:val="28"/>
          <w:rtl w:val="1"/>
          <w:lang w:val="fa-IR" w:bidi="fa-IR"/>
        </w:rPr>
        <w:t xml:space="preserve">؛ و </w:t>
      </w:r>
      <w:r>
        <w:rPr>
          <w:rFonts w:ascii="Times New Roman" w:hAnsi="Times New Roman" w:cs="B Nazanin" w:eastAsia="B Nazanin"/>
          <w:b w:val="0"/>
          <w:bCs w:val="0"/>
          <w:i w:val="0"/>
          <w:sz w:val="25"/>
          <w:szCs w:val="25"/>
          <w:rtl w:val="0"/>
          <w:lang w:val="en-US" w:bidi="fa-IR"/>
        </w:rPr>
        <w:t xml:space="preserve">James Crawford, The International Law Commission’s Articles on State Responsibility: Introduction, Text and Commentaries</w:t>
      </w:r>
      <w:r>
        <w:rPr>
          <w:rFonts w:ascii="B Nazanin" w:hAnsi="B Nazanin" w:cs="B Nazanin" w:eastAsia="B Nazanin"/>
          <w:b w:val="0"/>
          <w:bCs w:val="0"/>
          <w:i w:val="0"/>
          <w:sz w:val="28"/>
          <w:szCs w:val="28"/>
          <w:rtl w:val="1"/>
          <w:lang w:val="fa-IR" w:bidi="fa-IR"/>
        </w:rPr>
        <w:t xml:space="preserve">. نوبت چاپ و صفحه مورد استفاده باید با نسخه واقعی نگارنده تطبیق داده شود؛ متن رسمی اسناد، مرجع اصلی تحلیل حقوقی رساله است.</w:t>
      </w:r>
    </w:p>
    <w:p>
      <w:pPr>
        <w:pStyle w:val="TH-Goftar"/>
        <w:keepNext w:val="1"/>
        <w:keepLines w:val="1"/>
        <w:widowControl w:val="1"/>
        <w:shd w:val="clear" w:fill="F0F3F6"/>
        <w:bidi w:val="1"/>
        <w:spacing w:before="240" w:after="180" w:line="300" w:lineRule="auto"/>
        <w:ind w:firstLine="0"/>
        <w:jc w:val="start"/>
      </w:pPr>
      <w:bookmarkStart w:id="171" w:name="_Toc000171"/>
      <w:r>
        <w:rPr>
          <w:rFonts w:ascii="B Nazanin" w:hAnsi="B Nazanin" w:cs="B Nazanin" w:eastAsia="B Nazanin"/>
          <w:b w:val="1"/>
          <w:bCs w:val="1"/>
          <w:i w:val="0"/>
          <w:color w:val="243B53"/>
          <w:sz w:val="32"/>
          <w:szCs w:val="32"/>
          <w:rtl w:val="1"/>
          <w:lang w:val="fa-IR" w:bidi="fa-IR"/>
        </w:rPr>
        <w:t>یادداشت‌های کتاب‌شناختی؛ راهنمای خواننده</w:t>
      </w:r>
      <w:bookmarkEnd w:id="171"/>
    </w:p>
    <w:p>
      <w:pPr>
        <w:pStyle w:val="TH-Body"/>
        <w:keepLines w:val="1"/>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یادداشت‌های زیر مسیر پیشنهادی مطالعه‌اند، نه گواه مطالعه کامل همه آثار معرفی‌شده. ترتیب مراجعه باید از متن اولیه و موضع دقیق آغاز شود و سپس به شرح‌ها و ارزیابی دیدگاه‌ها برسد. ثبت نسخه، صفحه، عبارت و حدود برداشت، شرط قابل پیگیری بودن نتیجه پژوهش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برای مبانی وفا، آیات مرتبط و تفاسیر آن‌ها، به‌ویژه ذیل مائده/۱، نحل/۹۱–۹۲، توبه/۴ و ۷ و انفال/۵۸ و ۷۲، نقطه شروع‌اند. پس از آن، روایات شروط و خلف وعده و نامه ۵۳ نهج‌البلاغه، با تفکیک سند و دلالت، بررسی شوند. مباحث لزوم در آثار فقهی و بحث هدنه در جواهر باید با متن دقیق خوانده شوند. منابع واژه‌شناختیِ معرفی‌شده در پاورقی‌ها عبارت‌اند از: کتاب العین فراهیدی، لسان العرب ابن‌منظور و مفردات الفاظ القرآن راغب اصفهانی؛ مشخصات چاپ آن‌ها نیازمند تکمیل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برای حکم حکومتی و تزاحم، باید مطالعه نظریه ولایت از مطالعه قواعد اصولی جدا بماند. عوائد نراقی، تنبیه الامه نائینی و آثار امام خمینی، برای مقایسه مبانی معرفی شده‌اند؛ کفایة الاصول و فوائد الاصول نیز در بحث‌های اصولی مرتبط قابل مراجعه‌اند. پیش از انتساب یک عنوان یا رأی، محل واقعی مبحث و تقریر مؤلف باید احراز شود.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برای حقوق بین‌الملل، متن رسمی وین و مواد مسئولیت، سپس رأی قضایی مرتبط با مسئله مشخص، مبنای مطالعه قرار گیرد. خلاصه رأی با متن رأی و نظر جداگانه قاضی با رأی اکثریت یکسان نیست. شرح‌ها می‌توانند به فهم اختلاف‌ها کمک کنند، اما باید معلوم باشد هر نتیجه به کدام ماده، بند رأی یا استدلال نویسنده متکی است.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برای حقوق اساسی، متن بازنگری‌شده اصول، قانون تصویب‌کننده معاهده و نظریات تفسیریِ دارای شماره و تاریخ، اولویت دارند. مذاکرات و نوشته‌های حقوق‌دانان، منابع تبیینی مهم‌اند، اما جای تفسیر رسمی را نمی‌گیرند. برای مطالعه سیره نیز منابع معرفی‌شده شامل السیرة النبویة ابن‌هشام، تاریخ طبری و الارشاد شیخ مفید است؛ نسخه و صفحات مربوط باید پیش از اتکای استنباطی نهایی تکمیل شوند.</w:t>
      </w:r>
    </w:p>
    <w:p>
      <w:pPr>
        <w:pStyle w:val="TH-Goftar"/>
        <w:keepNext w:val="1"/>
        <w:keepLines w:val="1"/>
        <w:widowControl w:val="1"/>
        <w:shd w:val="clear" w:fill="F0F3F6"/>
        <w:bidi w:val="1"/>
        <w:spacing w:before="240" w:after="180" w:line="300" w:lineRule="auto"/>
        <w:ind w:firstLine="0"/>
        <w:jc w:val="start"/>
      </w:pPr>
      <w:bookmarkStart w:id="172" w:name="_Toc000172"/>
      <w:r>
        <w:rPr>
          <w:rFonts w:ascii="B Nazanin" w:hAnsi="B Nazanin" w:cs="B Nazanin" w:eastAsia="B Nazanin"/>
          <w:b w:val="1"/>
          <w:bCs w:val="1"/>
          <w:i w:val="0"/>
          <w:color w:val="243B53"/>
          <w:sz w:val="32"/>
          <w:szCs w:val="32"/>
          <w:rtl w:val="1"/>
          <w:lang w:val="fa-IR" w:bidi="fa-IR"/>
        </w:rPr>
        <w:t>پایگاه‌های اینترنتی</w:t>
      </w:r>
      <w:bookmarkEnd w:id="172"/>
    </w:p>
    <w:p>
      <w:pPr>
        <w:pStyle w:val="TH-Body"/>
        <w:keepLines w:val="1"/>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پایگاه حوزه، </w:t>
      </w:r>
      <w:r>
        <w:rPr>
          <w:rFonts w:ascii="Times New Roman" w:hAnsi="Times New Roman" w:cs="B Nazanin" w:eastAsia="B Nazanin"/>
          <w:b w:val="0"/>
          <w:bCs w:val="0"/>
          <w:i w:val="0"/>
          <w:sz w:val="25"/>
          <w:szCs w:val="25"/>
          <w:rtl w:val="0"/>
          <w:lang w:val="en-US" w:bidi="fa-IR"/>
        </w:rPr>
        <w:t xml:space="preserve">hawzah.net</w:t>
      </w:r>
      <w:r>
        <w:rPr>
          <w:rFonts w:ascii="B Nazanin" w:hAnsi="B Nazanin" w:cs="B Nazanin" w:eastAsia="B Nazanin"/>
          <w:b w:val="0"/>
          <w:bCs w:val="0"/>
          <w:i w:val="0"/>
          <w:sz w:val="28"/>
          <w:szCs w:val="28"/>
          <w:rtl w:val="1"/>
          <w:lang w:val="fa-IR" w:bidi="fa-IR"/>
        </w:rPr>
        <w:t xml:space="preserve">؛ برای کشف مقاله و پیشینه. عنوان، نویسنده، تاریخ و نشانی هر مطلب باید جداگانه ثبت شود؛ نام پایگاه به‌تنهایی ارجاع کامل نیست.</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پایگاه شورای نگهبان، </w:t>
      </w:r>
      <w:r>
        <w:rPr>
          <w:rFonts w:ascii="Times New Roman" w:hAnsi="Times New Roman" w:cs="B Nazanin" w:eastAsia="B Nazanin"/>
          <w:b w:val="0"/>
          <w:bCs w:val="0"/>
          <w:i w:val="0"/>
          <w:sz w:val="25"/>
          <w:szCs w:val="25"/>
          <w:rtl w:val="0"/>
          <w:lang w:val="en-US" w:bidi="fa-IR"/>
        </w:rPr>
        <w:t xml:space="preserve">shora-gc.ir</w:t>
      </w:r>
      <w:r>
        <w:rPr>
          <w:rFonts w:ascii="B Nazanin" w:hAnsi="B Nazanin" w:cs="B Nazanin" w:eastAsia="B Nazanin"/>
          <w:b w:val="0"/>
          <w:bCs w:val="0"/>
          <w:i w:val="0"/>
          <w:sz w:val="28"/>
          <w:szCs w:val="28"/>
          <w:rtl w:val="1"/>
          <w:lang w:val="fa-IR" w:bidi="fa-IR"/>
        </w:rPr>
        <w:t xml:space="preserve">؛ متن قانون اساسی و مجموعه نظریات تفسیری. برای تمایز نظر رسمی از مقاله تحلیلی منتشرشده در پایگاه، نوع سند باید بررسی شود.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کتابخانه مدرسه فقاهت، </w:t>
      </w:r>
      <w:r>
        <w:rPr>
          <w:rFonts w:ascii="Times New Roman" w:hAnsi="Times New Roman" w:cs="B Nazanin" w:eastAsia="B Nazanin"/>
          <w:b w:val="0"/>
          <w:bCs w:val="0"/>
          <w:i w:val="0"/>
          <w:sz w:val="25"/>
          <w:szCs w:val="25"/>
          <w:rtl w:val="0"/>
          <w:lang w:val="en-US" w:bidi="fa-IR"/>
        </w:rPr>
        <w:t xml:space="preserve">lib.eshia.ir</w:t>
      </w:r>
      <w:r>
        <w:rPr>
          <w:rFonts w:ascii="B Nazanin" w:hAnsi="B Nazanin" w:cs="B Nazanin" w:eastAsia="B Nazanin"/>
          <w:b w:val="0"/>
          <w:bCs w:val="0"/>
          <w:i w:val="0"/>
          <w:sz w:val="28"/>
          <w:szCs w:val="28"/>
          <w:rtl w:val="1"/>
          <w:lang w:val="fa-IR" w:bidi="fa-IR"/>
        </w:rPr>
        <w:t xml:space="preserve"> و </w:t>
      </w:r>
      <w:r>
        <w:rPr>
          <w:rFonts w:ascii="Times New Roman" w:hAnsi="Times New Roman" w:cs="B Nazanin" w:eastAsia="B Nazanin"/>
          <w:b w:val="0"/>
          <w:bCs w:val="0"/>
          <w:i w:val="0"/>
          <w:sz w:val="25"/>
          <w:szCs w:val="25"/>
          <w:rtl w:val="0"/>
          <w:lang w:val="en-US" w:bidi="fa-IR"/>
        </w:rPr>
        <w:t xml:space="preserve">ar.lib.eshia.ir</w:t>
      </w:r>
      <w:r>
        <w:rPr>
          <w:rFonts w:ascii="B Nazanin" w:hAnsi="B Nazanin" w:cs="B Nazanin" w:eastAsia="B Nazanin"/>
          <w:b w:val="0"/>
          <w:bCs w:val="0"/>
          <w:i w:val="0"/>
          <w:sz w:val="28"/>
          <w:szCs w:val="28"/>
          <w:rtl w:val="1"/>
          <w:lang w:val="fa-IR" w:bidi="fa-IR"/>
        </w:rPr>
        <w:t xml:space="preserve">؛ متن برخط جواهر الکلام، وسائل الشیعه و الکافی. پایگاه روح‌الله، </w:t>
      </w:r>
      <w:r>
        <w:rPr>
          <w:rFonts w:ascii="Times New Roman" w:hAnsi="Times New Roman" w:cs="B Nazanin" w:eastAsia="B Nazanin"/>
          <w:b w:val="0"/>
          <w:bCs w:val="0"/>
          <w:i w:val="0"/>
          <w:sz w:val="25"/>
          <w:szCs w:val="25"/>
          <w:rtl w:val="0"/>
          <w:lang w:val="en-US" w:bidi="fa-IR"/>
        </w:rPr>
        <w:t xml:space="preserve">farsi.rouhollah.ir</w:t>
      </w:r>
      <w:r>
        <w:rPr>
          <w:rFonts w:ascii="B Nazanin" w:hAnsi="B Nazanin" w:cs="B Nazanin" w:eastAsia="B Nazanin"/>
          <w:b w:val="0"/>
          <w:bCs w:val="0"/>
          <w:i w:val="0"/>
          <w:sz w:val="28"/>
          <w:szCs w:val="28"/>
          <w:rtl w:val="1"/>
          <w:lang w:val="fa-IR" w:bidi="fa-IR"/>
        </w:rPr>
        <w:t xml:space="preserve">؛ متن صحیفه امام. ارجاع برخط جای تعیین چاپِ مبنای نقل را در موارد اختلاف نسخه نمی‌گیرد.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پایگاه قوانین مرکز پژوهش‌های مجلس و سامانه‌های رسمی قوانین؛ برای متن قوانین تصویب‌کننده و مقررات داخلی مرتبط. اعتبار، تاریخ و اصلاحات سند باید در هر استناد احراز شود.</w:t>
      </w:r>
    </w:p>
    <w:p>
      <w:pPr>
        <w:pStyle w:val="TH-Body"/>
        <w:keepLines w:val="1"/>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پایگاه‌های سازمان ملل و کمیسیون حقوق بین‌الملل، </w:t>
      </w:r>
      <w:r>
        <w:rPr>
          <w:rFonts w:ascii="Times New Roman" w:hAnsi="Times New Roman" w:cs="B Nazanin" w:eastAsia="B Nazanin"/>
          <w:b w:val="0"/>
          <w:bCs w:val="0"/>
          <w:i w:val="0"/>
          <w:sz w:val="25"/>
          <w:szCs w:val="25"/>
          <w:rtl w:val="0"/>
          <w:lang w:val="en-US" w:bidi="fa-IR"/>
        </w:rPr>
        <w:t xml:space="preserve">un.org</w:t>
      </w:r>
      <w:r>
        <w:rPr>
          <w:rFonts w:ascii="B Nazanin" w:hAnsi="B Nazanin" w:cs="B Nazanin" w:eastAsia="B Nazanin"/>
          <w:b w:val="0"/>
          <w:bCs w:val="0"/>
          <w:i w:val="0"/>
          <w:sz w:val="28"/>
          <w:szCs w:val="28"/>
          <w:rtl w:val="1"/>
          <w:lang w:val="fa-IR" w:bidi="fa-IR"/>
        </w:rPr>
        <w:t xml:space="preserve"> و </w:t>
      </w:r>
      <w:r>
        <w:rPr>
          <w:rFonts w:ascii="Times New Roman" w:hAnsi="Times New Roman" w:cs="B Nazanin" w:eastAsia="B Nazanin"/>
          <w:b w:val="0"/>
          <w:bCs w:val="0"/>
          <w:i w:val="0"/>
          <w:sz w:val="25"/>
          <w:szCs w:val="25"/>
          <w:rtl w:val="0"/>
          <w:lang w:val="en-US" w:bidi="fa-IR"/>
        </w:rPr>
        <w:t xml:space="preserve">legal.un.org/ilc</w:t>
      </w:r>
      <w:r>
        <w:rPr>
          <w:rFonts w:ascii="B Nazanin" w:hAnsi="B Nazanin" w:cs="B Nazanin" w:eastAsia="B Nazanin"/>
          <w:b w:val="0"/>
          <w:bCs w:val="0"/>
          <w:i w:val="0"/>
          <w:sz w:val="28"/>
          <w:szCs w:val="28"/>
          <w:rtl w:val="1"/>
          <w:lang w:val="fa-IR" w:bidi="fa-IR"/>
        </w:rPr>
        <w:t xml:space="preserve">؛ مجموعه معاهدات ملل متحد، </w:t>
      </w:r>
      <w:r>
        <w:rPr>
          <w:rFonts w:ascii="Times New Roman" w:hAnsi="Times New Roman" w:cs="B Nazanin" w:eastAsia="B Nazanin"/>
          <w:b w:val="0"/>
          <w:bCs w:val="0"/>
          <w:i w:val="0"/>
          <w:sz w:val="25"/>
          <w:szCs w:val="25"/>
          <w:rtl w:val="0"/>
          <w:lang w:val="en-US" w:bidi="fa-IR"/>
        </w:rPr>
        <w:t xml:space="preserve">treaties.un.org</w:t>
      </w:r>
      <w:r>
        <w:rPr>
          <w:rFonts w:ascii="B Nazanin" w:hAnsi="B Nazanin" w:cs="B Nazanin" w:eastAsia="B Nazanin"/>
          <w:b w:val="0"/>
          <w:bCs w:val="0"/>
          <w:i w:val="0"/>
          <w:sz w:val="28"/>
          <w:szCs w:val="28"/>
          <w:rtl w:val="1"/>
          <w:lang w:val="fa-IR" w:bidi="fa-IR"/>
        </w:rPr>
        <w:t xml:space="preserve">؛ و پایگاه دیوان بین‌المللی دادگستری، </w:t>
      </w:r>
      <w:r>
        <w:rPr>
          <w:rFonts w:ascii="Times New Roman" w:hAnsi="Times New Roman" w:cs="B Nazanin" w:eastAsia="B Nazanin"/>
          <w:b w:val="0"/>
          <w:bCs w:val="0"/>
          <w:i w:val="0"/>
          <w:sz w:val="25"/>
          <w:szCs w:val="25"/>
          <w:rtl w:val="0"/>
          <w:lang w:val="en-US" w:bidi="fa-IR"/>
        </w:rPr>
        <w:t xml:space="preserve">icj-cij.org</w:t>
      </w:r>
      <w:r>
        <w:rPr>
          <w:rFonts w:ascii="B Nazanin" w:hAnsi="B Nazanin" w:cs="B Nazanin" w:eastAsia="B Nazanin"/>
          <w:b w:val="0"/>
          <w:bCs w:val="0"/>
          <w:i w:val="0"/>
          <w:sz w:val="28"/>
          <w:szCs w:val="28"/>
          <w:rtl w:val="1"/>
          <w:lang w:val="fa-IR" w:bidi="fa-IR"/>
        </w:rPr>
        <w:t xml:space="preserve">. تاریخ مراجعه این بازبینی: ۲۱ سپتامبر ۲۰۲۶. نشانی‌های دقیق منابع تطبیق‌شده در گزارش همراه ثبت شده‌اند.</w:t>
      </w:r>
    </w:p>
    <w:p>
      <w:r>
        <w:br w:type="page"/>
      </w:r>
    </w:p>
    <w:p/>
    <w:p/>
    <w:p>
      <w:pPr>
        <w:pStyle w:val="TH-Fasl"/>
        <w:keepNext w:val="1"/>
        <w:keepLines w:val="1"/>
        <w:widowControl w:val="1"/>
        <w:pBdr>
          <w:top w:val="single" w:sz="8" w:space="8" w:color="243B53"/>
          <w:bottom w:val="single" w:sz="8" w:space="8" w:color="243B53"/>
        </w:pBdr>
        <w:bidi w:val="1"/>
        <w:spacing w:before="120" w:after="180" w:line="300" w:lineRule="auto"/>
        <w:ind w:firstLine="0"/>
        <w:jc w:val="center"/>
      </w:pPr>
      <w:bookmarkStart w:id="173" w:name="_Toc000173"/>
      <w:r>
        <w:rPr>
          <w:rFonts w:ascii="B Nazanin" w:hAnsi="B Nazanin" w:cs="B Nazanin" w:eastAsia="B Nazanin"/>
          <w:b w:val="1"/>
          <w:bCs w:val="1"/>
          <w:i w:val="0"/>
          <w:color w:val="243B53"/>
          <w:sz w:val="40"/>
          <w:szCs w:val="40"/>
          <w:rtl w:val="1"/>
          <w:lang w:val="fa-IR" w:bidi="fa-IR"/>
        </w:rPr>
        <w:t>پیوست‌ها</w:t>
      </w:r>
      <w:bookmarkEnd w:id="173"/>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شش پیوست زیر، به ترتیب شامل چک‌لیست تصمیم، گزیده اصول قانون اساسی، ترجمه و خلاصه مواد وین، گاه‌شمار، گزیده عهدنامه مالک اشتر و واژه‌نامه‌اند. این ابزارها برای مرور و مراجعه‌اند؛ خلاصه ماده با متن کامل و ترجمه توضیحی با ترجمه رسمی یکسان نیست. در تصمیم یا استناد حقوقی، متن معتبر سند و شرایط هر مورد باید مبنا قرار گیرد.</w:t>
      </w:r>
    </w:p>
    <w:p>
      <w:pPr>
        <w:pStyle w:val="TH-Goftar"/>
        <w:keepNext w:val="1"/>
        <w:keepLines w:val="1"/>
        <w:widowControl w:val="1"/>
        <w:shd w:val="clear" w:fill="F0F3F6"/>
        <w:bidi w:val="1"/>
        <w:spacing w:before="240" w:after="180" w:line="300" w:lineRule="auto"/>
        <w:ind w:firstLine="0"/>
        <w:jc w:val="start"/>
      </w:pPr>
      <w:bookmarkStart w:id="174" w:name="_Toc000174"/>
      <w:r>
        <w:rPr>
          <w:rFonts w:ascii="B Nazanin" w:hAnsi="B Nazanin" w:cs="B Nazanin" w:eastAsia="B Nazanin"/>
          <w:b w:val="1"/>
          <w:bCs w:val="1"/>
          <w:i w:val="0"/>
          <w:color w:val="243B53"/>
          <w:sz w:val="32"/>
          <w:szCs w:val="32"/>
          <w:rtl w:val="1"/>
          <w:lang w:val="fa-IR" w:bidi="fa-IR"/>
        </w:rPr>
        <w:t>پیوست اول: چک‌لیست عملی تصمیم‌گیری درباره عدول از تعهد بین‌المللی</w:t>
      </w:r>
      <w:bookmarkEnd w:id="174"/>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برای هر مرحله، نتیجه «احراز شد»، «احراز نشد» یا «نیازمند بررسی» همراه با دلیل، مرجع مسئول و تاریخ ثبت شود. پاسخ‌ها جهت یکسان ندارند: برای مثال، وجود راه قانونی کافی، پرونده را به همان مسیر هدایت می‌کند، نه به عدول استثنایی. این چک‌لیست برای غربال و مستندسازی است و تکمیل آن، جای فتوا، احراز صلاحیت یا بررسی شروط دفاع بین‌المللی را نمی‌گیرد.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گام نخست ـ احراز مسئله: تعهد لازم‌الاجرا، رفتار لازم، تکلیف مقابل و خطر مشخص چیست؟ آیا عدم امکان جمع و اهمیت، با دلیل معتبر احراز شده‌اند یا موضوع صرفاً افزایش هزینه است؟ خروجی لازم: گزارش موضوع با مستند تکلیف، داده‌های خطر و موارد عدم‌قطعیت. در نبود مبنای کافی، عدول استثنایی توجیه نمی‌شود.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گام دوم ـ راه‌های معتبر: آیا شرط خروج، بازنگری، انعطاف اجرایی، توافق یا سبب حقوقی دیگری، در فرصت موجود کافی و قابل استفاده است؟ خروجی لازم: مقایسه گزینه‌ها با شرایط، زمان و آثار. در صورت وجود راه معتبر کافی، بررسی باید به همان مسیر منتقل شود؛ شکست مذاکره به‌تنهایی مجوز مسیر دیگر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گام سوم ـ کارشناسی: کدام نهاد طبق قانون مسئول بررسی است و نظرهای حقوقی، فقهی، اقتصادی و امنیتی چه می‌گویند؟ خروجی لازم: گزارش مکتوب، دیدگاه مخالف، ارزیابی حقوق اشخاص و سناریوهای پیامد. هزینه و فایده صرفاً پولی سنجیده نشوند و ممنوعیت‌های قطعی از محاسبه منفعت جدا بمانند.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گام چهارم ـ صلاحیت و تصمیم: مستند اختیارِ مرجع تصمیم‌گیر و مسیر لازم چیست؟ در فرض مداخله رهبری، مبنای قانونی یا تفویض و نقش دیگر نهادها روشن شده است؟ اگر بند ۸ اصل ۱۱۰ مبناست، مجرای مجمع رعایت شود. خروجی لازم: سند تصمیم با موضوع، دامنه، مخاطب و مسئول اجرا.</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گام پنجم ـ تناسب و بازبینی: آیا اقدام، کمترین محدودیت کافی و از نظر حقوقی قابل اجراست؟ موعد بازبینی، شاخص زوال سبب و تکلیف بازگشت چیست؟ خروجی لازم: دامنه دقیق تعهدات متأثر و برنامه زمانی. تعلیق جزئی یا خاتمه دائم هر یک باید مبنای خاص داشته باشند؛ صرف کم‌هزینه بودن کافی نیست.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گام ششم ـ حدود غیرقابل عدول: آیا اقدام به تعهد ناشی از قاعده آمره، حقوق بنیادین یا منع معتبر دیگری لطمه می‌زند؟ خروجی لازم: بررسی مستقل محدودیت‌های ماهوی، از جمله مواد ۲۶ و ۵۰ مواد مسئولیت در موارد مربوط. نام مصلحت یا ضرورت نمی‌تواند جای پاسخ به این ممنوعیت‌ها را بگیرد.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گام هفتم ـ ابلاغ: اخطار باید به چه طرف یا امینی، با چه محتوا و در چه مهلتی ارسال شود؟ خروجی لازم: متن مستدل، مستند دریافت و تقویم آیینی. دبیرکل، امین همه معاهدات نیست؛ ثبت، ابلاغ و انتشار عمومی نیز یکسان نیستند. تشریفات قابل اعمال هر سند باید مستقلاً رعایت شوند.</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گام هشتم ـ مدیریت آثار: آیا مسیر حل اختلاف، دفاع حقوقی، جبران احتمالی، حقوق باقی‌مانده و نظارت بر اجرا تعیین شده است؟ خروجی لازم: مسئول پیگیری و برنامه بازبینی پس از اقدام. پیدایش تعهد مسئولیت را نباید تا صدور رأی دادگاه معلق فرض کرد؛ زوال عذر نیز ممکن است تکلیف ازسرگیری اجرا ایجاد کند.</w:t>
      </w:r>
    </w:p>
    <w:p>
      <w:pPr>
        <w:pStyle w:val="TH-Goftar"/>
        <w:keepNext w:val="1"/>
        <w:keepLines w:val="1"/>
        <w:widowControl w:val="1"/>
        <w:shd w:val="clear" w:fill="F0F3F6"/>
        <w:bidi w:val="1"/>
        <w:spacing w:before="240" w:after="180" w:line="300" w:lineRule="auto"/>
        <w:ind w:firstLine="0"/>
        <w:jc w:val="start"/>
      </w:pPr>
      <w:bookmarkStart w:id="175" w:name="_Toc000175"/>
      <w:r>
        <w:rPr>
          <w:rFonts w:ascii="B Nazanin" w:hAnsi="B Nazanin" w:cs="B Nazanin" w:eastAsia="B Nazanin"/>
          <w:b w:val="1"/>
          <w:bCs w:val="1"/>
          <w:i w:val="0"/>
          <w:color w:val="243B53"/>
          <w:sz w:val="32"/>
          <w:szCs w:val="32"/>
          <w:rtl w:val="1"/>
          <w:lang w:val="fa-IR" w:bidi="fa-IR"/>
        </w:rPr>
        <w:t xml:space="preserve">پیوست دوم: گزیده اصول قانون اساسی مرتبط</w:t>
      </w:r>
      <w:bookmarkEnd w:id="175"/>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اصل ۵: «در زمان غیبت حضرت ولی عصر (عجل الله تعالی 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Fonts w:ascii="B Nazanin" w:hAnsi="B Nazanin" w:cs="B Nazanin" w:eastAsia="B Nazanin"/>
          <w:b w:val="0"/>
          <w:bCs w:val="0"/>
          <w:i w:val="0"/>
          <w:sz w:val="20"/>
          <w:szCs w:val="20"/>
          <w:vertAlign w:val="superscript"/>
          <w:rtl w:val="1"/>
          <w:lang w:val="fa-IR" w:bidi="fa-IR"/>
        </w:rPr>
        <w:footnoteReference w:id="126"/>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۵۷: «قوای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 این قوا مستقل از یکدیگرند.»</w:t>
      </w:r>
      <w:r>
        <w:rPr>
          <w:rFonts w:ascii="B Nazanin" w:hAnsi="B Nazanin" w:cs="B Nazanin" w:eastAsia="B Nazanin"/>
          <w:b w:val="0"/>
          <w:bCs w:val="0"/>
          <w:i w:val="0"/>
          <w:sz w:val="20"/>
          <w:szCs w:val="20"/>
          <w:vertAlign w:val="superscript"/>
          <w:rtl w:val="1"/>
          <w:lang w:val="fa-IR" w:bidi="fa-IR"/>
        </w:rPr>
        <w:footnoteReference w:id="12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اصل ۷۷: «عهدنامه‌ها، مقاوله‌نامه‌ها، قراردادها و موافقت‌نامه‌های بین‌المللی باید به تصویب مجلس شورای اسلامی برسد.»</w:t>
      </w:r>
      <w:r>
        <w:rPr>
          <w:rFonts w:ascii="B Nazanin" w:hAnsi="B Nazanin" w:cs="B Nazanin" w:eastAsia="B Nazanin"/>
          <w:b w:val="0"/>
          <w:bCs w:val="0"/>
          <w:i w:val="0"/>
          <w:sz w:val="20"/>
          <w:szCs w:val="20"/>
          <w:vertAlign w:val="superscript"/>
          <w:rtl w:val="1"/>
          <w:lang w:val="fa-IR" w:bidi="fa-IR"/>
        </w:rPr>
        <w:footnoteReference w:id="128"/>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۱۱۰ (خلاصه، نه نقل کامل): وظایف و اختیارات رهبری شامل تعیین سیاست‌های کلی پس از مشورت با مجمع؛ نظارت بر اجرای آن‌ها؛ فرمان همه‌پرسی؛ فرماندهی کل نیروهای مسلح؛ اعلان جنگ و صلح و بسیج؛ نصب، عزل و قبول استعفای مقامات مذکور؛ حل اختلاف و تنظیم روابط قوا؛ حل معضلات حل‌ناشدنی از طرق عادی از طریق مجمع؛ امضای حکم ریاست‌جمهوری؛ عزل رئیس‌جمهور با شرایط مقرر؛ و عفو یا تخفیف مجازات با شرایط قانونی است. ذیل اصل، تفویض بعضی وظایف و اختیارات به شخص دیگر را نیز می‌پذیرد.</w:t>
      </w:r>
      <w:r>
        <w:rPr>
          <w:rFonts w:ascii="B Nazanin" w:hAnsi="B Nazanin" w:cs="B Nazanin" w:eastAsia="B Nazanin"/>
          <w:b w:val="0"/>
          <w:bCs w:val="0"/>
          <w:i w:val="0"/>
          <w:sz w:val="20"/>
          <w:szCs w:val="20"/>
          <w:vertAlign w:val="superscript"/>
          <w:rtl w:val="1"/>
          <w:lang w:val="fa-IR" w:bidi="fa-IR"/>
        </w:rPr>
        <w:footnoteReference w:id="129"/>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۱۱۲ (گزیده): «مجمع تشخیص مصلحت نظام برای تشخیص مصلحت در مواردی که مصوبه مجلس شورای اسلامی را شورای نگهبان خلاف موازین شرع و یا قانون اساسی بداند و مجلس با در نظر گرفتن مصلحت نظام نظر شورای نگهبان را تأمین نکند و مشاوره در اموری که رهبری به آنان ارجاع می‌دهد و سایر وظایفی که در این قانون ذکر شده است به دستور رهبری تشکیل می‌شود.»</w:t>
      </w:r>
      <w:r>
        <w:rPr>
          <w:rFonts w:ascii="B Nazanin" w:hAnsi="B Nazanin" w:cs="B Nazanin" w:eastAsia="B Nazanin"/>
          <w:b w:val="0"/>
          <w:bCs w:val="0"/>
          <w:i w:val="0"/>
          <w:sz w:val="20"/>
          <w:szCs w:val="20"/>
          <w:vertAlign w:val="superscript"/>
          <w:rtl w:val="1"/>
          <w:lang w:val="fa-IR" w:bidi="fa-IR"/>
        </w:rPr>
        <w:footnoteReference w:id="130"/>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اصل ۱۲۵: «امضا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 جمهور یا نماینده قانونی اوست.»</w:t>
      </w:r>
      <w:r>
        <w:rPr>
          <w:rFonts w:ascii="B Nazanin" w:hAnsi="B Nazanin" w:cs="B Nazanin" w:eastAsia="B Nazanin"/>
          <w:b w:val="0"/>
          <w:bCs w:val="0"/>
          <w:i w:val="0"/>
          <w:sz w:val="20"/>
          <w:szCs w:val="20"/>
          <w:vertAlign w:val="superscript"/>
          <w:rtl w:val="1"/>
          <w:lang w:val="fa-IR" w:bidi="fa-IR"/>
        </w:rPr>
        <w:footnoteReference w:id="13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۱۵۲: «سیاست خارجی جمهوری اسلامی ایران بر اساس نفی هرگونه سلطه‌جویی و سلطه‌پذیری، حفظ استقلال همه‌جانبه و تمامیت ارضی کشور، دفاع از حقوق همه مسلمانان و عدم تعهد در برابر قدرت‌های سلطه‌گر و روابط صلح‌آمیز متقابل با دول غیرمحارب استوار است.»</w:t>
      </w:r>
      <w:r>
        <w:rPr>
          <w:rFonts w:ascii="B Nazanin" w:hAnsi="B Nazanin" w:cs="B Nazanin" w:eastAsia="B Nazanin"/>
          <w:b w:val="0"/>
          <w:bCs w:val="0"/>
          <w:i w:val="0"/>
          <w:sz w:val="20"/>
          <w:szCs w:val="20"/>
          <w:vertAlign w:val="superscript"/>
          <w:rtl w:val="1"/>
          <w:lang w:val="fa-IR" w:bidi="fa-IR"/>
        </w:rPr>
        <w:footnoteReference w:id="132"/>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اصل ۱۵۳: «هرگونه قرارداد که موجب سلطه بیگانه بر منابع طبیعی و اقتصادی، فرهنگ، ارتش و دیگر شئون کشور گردد، ممنوع است.»</w:t>
      </w:r>
      <w:r>
        <w:rPr>
          <w:rFonts w:ascii="B Nazanin" w:hAnsi="B Nazanin" w:cs="B Nazanin" w:eastAsia="B Nazanin"/>
          <w:b w:val="0"/>
          <w:bCs w:val="0"/>
          <w:i w:val="0"/>
          <w:sz w:val="20"/>
          <w:szCs w:val="20"/>
          <w:vertAlign w:val="superscript"/>
          <w:rtl w:val="1"/>
          <w:lang w:val="fa-IR" w:bidi="fa-IR"/>
        </w:rPr>
        <w:footnoteReference w:id="13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۱۵۴: «جمهوری اسلامی ایران سعادت انسان در کل جامعه بشری را آرمان خود می‌داند و استقلال و آزادی و حکومت حق و عدل را حق همه مردم جهان می‌شناسد. بنا بر این در عین خودداری کامل از هرگونه دخالت در امور داخلی ملتهای دیگر از مبارزه حق‌طلبانه مستضعفین در برابر مستکبرین در هر نقطه از جهان حمایت می‌کند.»</w:t>
      </w:r>
      <w:r>
        <w:rPr>
          <w:rFonts w:ascii="B Nazanin" w:hAnsi="B Nazanin" w:cs="B Nazanin" w:eastAsia="B Nazanin"/>
          <w:b w:val="0"/>
          <w:bCs w:val="0"/>
          <w:i w:val="0"/>
          <w:sz w:val="20"/>
          <w:szCs w:val="20"/>
          <w:vertAlign w:val="superscript"/>
          <w:rtl w:val="1"/>
          <w:lang w:val="fa-IR" w:bidi="fa-IR"/>
        </w:rPr>
        <w:footnoteReference w:id="134"/>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اصل ۱۷۶ (خلاصه، نه نقل کامل): شورای عالی امنیت ملی برای تأمین منافع ملی و پاسداری از انقلاب، تمامیت ارضی و حاکمیت ملی، وظایف مقرر در تعیین سیاست‌های دفاعی و امنیتی در محدوده سیاست‌های کلی، هماهنگی فعالیت‌های مرتبط و بهره‌گیری از امکانات برای مقابله با تهدیدها را بر عهده دارد. مصوبات شورا پس از تأیید رهبری قابل اجراست. این اصل باید با صلاحیت سایر نهادها و نوع موضوع معاهده‌ای خوانده شود.</w:t>
      </w:r>
      <w:r>
        <w:rPr>
          <w:rFonts w:ascii="B Nazanin" w:hAnsi="B Nazanin" w:cs="B Nazanin" w:eastAsia="B Nazanin"/>
          <w:b w:val="0"/>
          <w:bCs w:val="0"/>
          <w:i w:val="0"/>
          <w:sz w:val="20"/>
          <w:szCs w:val="20"/>
          <w:vertAlign w:val="superscript"/>
          <w:rtl w:val="1"/>
          <w:lang w:val="fa-IR" w:bidi="fa-IR"/>
        </w:rPr>
        <w:footnoteReference w:id="135"/>
      </w:r>
    </w:p>
    <w:p>
      <w:pPr>
        <w:pStyle w:val="TH-Goftar"/>
        <w:keepNext w:val="1"/>
        <w:keepLines w:val="1"/>
        <w:widowControl w:val="1"/>
        <w:shd w:val="clear" w:fill="F0F3F6"/>
        <w:bidi w:val="1"/>
        <w:spacing w:before="240" w:after="180" w:line="300" w:lineRule="auto"/>
        <w:ind w:firstLine="0"/>
        <w:jc w:val="start"/>
      </w:pPr>
      <w:bookmarkStart w:id="176" w:name="_Toc000176"/>
      <w:r>
        <w:rPr>
          <w:rFonts w:ascii="B Nazanin" w:hAnsi="B Nazanin" w:cs="B Nazanin" w:eastAsia="B Nazanin"/>
          <w:b w:val="1"/>
          <w:bCs w:val="1"/>
          <w:i w:val="0"/>
          <w:color w:val="243B53"/>
          <w:sz w:val="32"/>
          <w:szCs w:val="32"/>
          <w:rtl w:val="1"/>
          <w:lang w:val="fa-IR" w:bidi="fa-IR"/>
        </w:rPr>
        <w:t xml:space="preserve">پیوست سوم: ترجمه و خلاصه مواد کلیدی کنوانسیون وین</w:t>
      </w:r>
      <w:bookmarkEnd w:id="176"/>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ماده ۱ (ترجمه): این کنوانسیون بر معاهدات میان دولت‌ها اعمال می‌شود.</w:t>
      </w:r>
      <w:r>
        <w:rPr>
          <w:rFonts w:ascii="B Nazanin" w:hAnsi="B Nazanin" w:cs="B Nazanin" w:eastAsia="B Nazanin"/>
          <w:b w:val="0"/>
          <w:bCs w:val="0"/>
          <w:i w:val="0"/>
          <w:sz w:val="20"/>
          <w:szCs w:val="20"/>
          <w:vertAlign w:val="superscript"/>
          <w:rtl w:val="1"/>
          <w:lang w:val="fa-IR" w:bidi="fa-IR"/>
        </w:rPr>
        <w:footnoteReference w:id="136"/>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ماده ۲، بند ۱، جزء «الف» (ترجمه): معاهده، توافقی بین‌المللی است که میان دولت‌ها به‌صورت کتبی منعقد شده و تابع حقوق بین‌الملل باشد؛ خواه در یک سند و خواه در دو یا چند سند مرتبط، با هر عنوان خاص.</w:t>
      </w:r>
      <w:r>
        <w:rPr>
          <w:rFonts w:ascii="B Nazanin" w:hAnsi="B Nazanin" w:cs="B Nazanin" w:eastAsia="B Nazanin"/>
          <w:b w:val="0"/>
          <w:bCs w:val="0"/>
          <w:i w:val="0"/>
          <w:sz w:val="20"/>
          <w:szCs w:val="20"/>
          <w:vertAlign w:val="superscript"/>
          <w:rtl w:val="1"/>
          <w:lang w:val="fa-IR" w:bidi="fa-IR"/>
        </w:rPr>
        <w:footnoteReference w:id="137"/>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ماده ۲۶ (ترجمه): هر معاهده لازم‌الاجرا برای طرف‌های آن الزام‌آور است و باید با حسن نیت اجرا شود.</w:t>
      </w:r>
      <w:r>
        <w:rPr>
          <w:rFonts w:ascii="B Nazanin" w:hAnsi="B Nazanin" w:cs="B Nazanin" w:eastAsia="B Nazanin"/>
          <w:b w:val="0"/>
          <w:bCs w:val="0"/>
          <w:i w:val="0"/>
          <w:sz w:val="20"/>
          <w:szCs w:val="20"/>
          <w:vertAlign w:val="superscript"/>
          <w:rtl w:val="1"/>
          <w:lang w:val="fa-IR" w:bidi="fa-IR"/>
        </w:rPr>
        <w:footnoteReference w:id="138"/>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ماده ۲۷ (ترجمه): هیچ طرفی نمی‌تواند به مقررات حقوق داخلی خود برای توجیه عدم اجرای معاهده استناد کند. این قاعده به ماده ۴۶ لطمه نمی‌زند.</w:t>
      </w:r>
      <w:r>
        <w:rPr>
          <w:rFonts w:ascii="B Nazanin" w:hAnsi="B Nazanin" w:cs="B Nazanin" w:eastAsia="B Nazanin"/>
          <w:b w:val="0"/>
          <w:bCs w:val="0"/>
          <w:i w:val="0"/>
          <w:sz w:val="20"/>
          <w:szCs w:val="20"/>
          <w:vertAlign w:val="superscript"/>
          <w:rtl w:val="1"/>
          <w:lang w:val="fa-IR" w:bidi="fa-IR"/>
        </w:rPr>
        <w:footnoteReference w:id="139"/>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ماده ۴۶ (خلاصه): نقض حقوق داخلی درباره صلاحیت انعقاد، تنها اگر آشکار و مربوط به قاعده‌ای با اهمیت بنیادین باشد، می‌تواند مبنای ادعای بی‌اعتباری رضایت قرار گیرد. آشکار بودن، با معیار عینیِ دولتی که مطابق رویه عادی و با حسن نیت رفتار می‌کند سنجیده می‌شود؛ ادعای داخلیِ نقص صلاحیت کافی نیست.</w:t>
      </w:r>
      <w:r>
        <w:rPr>
          <w:rFonts w:ascii="B Nazanin" w:hAnsi="B Nazanin" w:cs="B Nazanin" w:eastAsia="B Nazanin"/>
          <w:b w:val="0"/>
          <w:bCs w:val="0"/>
          <w:i w:val="0"/>
          <w:sz w:val="20"/>
          <w:szCs w:val="20"/>
          <w:vertAlign w:val="superscript"/>
          <w:rtl w:val="1"/>
          <w:lang w:val="fa-IR" w:bidi="fa-IR"/>
        </w:rPr>
        <w:footnoteReference w:id="140"/>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ماده ۵۳ (خلاصه): معاهده‌ای که در زمان انعقاد با قاعده آمره حقوق بین‌الملل عام تعارض داشته باشد، باطل است. قاعده آمره، قاعده‌ای است که جامعه بین‌المللی دولت‌ها در مجموع، آن را غیرقابل عدول می‌شناسد و تغییر آن تنها با قاعده بعدیِ هم‌ماهیت ممکن است. پیدایش قاعده آمره جدید، موضوع ماده ۶۴ است.</w:t>
      </w:r>
      <w:r>
        <w:rPr>
          <w:rFonts w:ascii="B Nazanin" w:hAnsi="B Nazanin" w:cs="B Nazanin" w:eastAsia="B Nazanin"/>
          <w:b w:val="0"/>
          <w:bCs w:val="0"/>
          <w:i w:val="0"/>
          <w:sz w:val="20"/>
          <w:szCs w:val="20"/>
          <w:vertAlign w:val="superscript"/>
          <w:rtl w:val="1"/>
          <w:lang w:val="fa-IR" w:bidi="fa-IR"/>
        </w:rPr>
        <w:footnoteReference w:id="141"/>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مواد ۵۴ تا ۶۴ (خلاصه گزینشی): شرط معاهده، رضایت طرف‌های لازم، خروج در فرض سکوت با شرایط ماده ۵۶، توافق‌های بعدی، نقض اساسی، عدم امکان اجرا و تغییر بنیادین اوضاع، هر یک مقررات خاص دارند. ماده ۶۳ می‌گوید قطع روابط دیپلماتیک یا کنسولی، اصولاً بر رابطه معاهده‌ای اثر ندارد، مگر آن روابط برای اجرا ضروری باشند؛ بنابراین، قطع رابطه سبب عمومی خاتمه نیست. ماده ۶۴ نیز به پیدایش قاعده آمره جدید می‌پردازد.</w:t>
      </w:r>
      <w:r>
        <w:rPr>
          <w:rFonts w:ascii="B Nazanin" w:hAnsi="B Nazanin" w:cs="B Nazanin" w:eastAsia="B Nazanin"/>
          <w:b w:val="0"/>
          <w:bCs w:val="0"/>
          <w:i w:val="0"/>
          <w:sz w:val="20"/>
          <w:szCs w:val="20"/>
          <w:vertAlign w:val="superscript"/>
          <w:rtl w:val="1"/>
          <w:lang w:val="fa-IR" w:bidi="fa-IR"/>
        </w:rPr>
        <w:footnoteReference w:id="142"/>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مواد ۶۵ تا ۶۸ (خلاصه): ادعا و دلایل اقدام باید اعلام و تشریفات کتبی رعایت شود. در حالت عادی، مهلت پس از دریافت اخطار نباید کمتر از سه ماه باشد؛ فوریت خاص استثناست. در صورت اعتراض، راه‌های حل مسالمت‌آمیز مطرح می‌شود و ماده ۶۶ ترتیبات خاص خود را دارد. اخطار یا سند موضوع مواد ۶۵ و ۶۷، تا پیش از اثرگذاری قابل استرداد است. اجرای این آیین برای دولت غیرعضو، به احراز مبنای قابل اعمال نیاز دارد.</w:t>
      </w:r>
      <w:r>
        <w:rPr>
          <w:rFonts w:ascii="B Nazanin" w:hAnsi="B Nazanin" w:cs="B Nazanin" w:eastAsia="B Nazanin"/>
          <w:b w:val="0"/>
          <w:bCs w:val="0"/>
          <w:i w:val="0"/>
          <w:sz w:val="20"/>
          <w:szCs w:val="20"/>
          <w:vertAlign w:val="superscript"/>
          <w:rtl w:val="1"/>
          <w:lang w:val="fa-IR" w:bidi="fa-IR"/>
        </w:rPr>
        <w:footnoteReference w:id="143"/>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مواد ۷۰ و ۷۲ (خلاصه): خاتمه معتبر اصولاً اجرای آتی را پایان می‌دهد، اما حقوق، تعهدات و وضعیت‌های ایجادشده از اجرای پیشین را محفوظ می‌گذارد، مگر ترتیب دیگری مقرر باشد. تعلیق، در روابط مشمول و برای دوره تعلیق، الزام اجرا را متوقف می‌کند و نباید با اقداماتی که مانع ازسرگیری اجرا می‌شوند همراه شود. این آثار با صرف عدم اجرای عملی یا استناد به ضرورت یکسان نیستند.</w:t>
      </w:r>
      <w:r>
        <w:rPr>
          <w:rFonts w:ascii="B Nazanin" w:hAnsi="B Nazanin" w:cs="B Nazanin" w:eastAsia="B Nazanin"/>
          <w:b w:val="0"/>
          <w:bCs w:val="0"/>
          <w:i w:val="0"/>
          <w:sz w:val="20"/>
          <w:szCs w:val="20"/>
          <w:vertAlign w:val="superscript"/>
          <w:rtl w:val="1"/>
          <w:lang w:val="fa-IR" w:bidi="fa-IR"/>
        </w:rPr>
        <w:footnoteReference w:id="144"/>
      </w:r>
    </w:p>
    <w:p>
      <w:pPr>
        <w:pStyle w:val="TH-Goftar"/>
        <w:keepNext w:val="1"/>
        <w:keepLines w:val="1"/>
        <w:widowControl w:val="1"/>
        <w:shd w:val="clear" w:fill="F0F3F6"/>
        <w:bidi w:val="1"/>
        <w:spacing w:before="240" w:after="180" w:line="300" w:lineRule="auto"/>
        <w:ind w:firstLine="0"/>
        <w:jc w:val="start"/>
      </w:pPr>
      <w:bookmarkStart w:id="177" w:name="_Toc000177"/>
      <w:r>
        <w:rPr>
          <w:rFonts w:ascii="B Nazanin" w:hAnsi="B Nazanin" w:cs="B Nazanin" w:eastAsia="B Nazanin"/>
          <w:b w:val="1"/>
          <w:bCs w:val="1"/>
          <w:i w:val="0"/>
          <w:color w:val="243B53"/>
          <w:sz w:val="32"/>
          <w:szCs w:val="32"/>
          <w:rtl w:val="1"/>
          <w:lang w:val="fa-IR" w:bidi="fa-IR"/>
        </w:rPr>
        <w:t>پیوست چهارم: گاه‌شمار تحولات حقوق معاهدات و موضوع پژوهش</w:t>
      </w:r>
      <w:bookmarkEnd w:id="177"/>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۱۹۴۵: امضای منشور ملل متحد و تأسیس سازمان ملل. ۱۹۴۹: آغاز فعالیت کمیسیون حقوق بین‌الملل. ۱۹۶۹: تصویب کنوانسیون وین و گشایش آن برای امضا. ۱۹۷۹: تصویب قانون اساسی جمهوری اسلامی ایران. ۱۹۸۰: لازم‌الاجرا شدن کنوانسیون وین و رأی دیوان در قضیه کارکنان دیپلماتیک و کنسولی آمریکا در تهران. ۱۹۸۱: بیانیه‌های الجزایر درباره حل بحران و دعاوی؛ متمایز از عهدنامه ۱۹۷۵ ایران و عراق. ۱۹۸۶: تصویب کنوانسیون مربوط به معاهدات سازمان‌های بین‌المللی و رأی ماهوی نیکاراگوئه. ۱۹۸۹: بازنگری قانون اساسی ایران. ۱۹۹۷: رأی گابچیکوو ـ ناگیماروش. ۲۰۰۱: تصویب متن مواد مسئولیت دولت‌ها در کمیسیون. ۲۰۱۵: برجام و قطعنامه ۲۲۳۱. ۲۰۱۸ و ۲۰۱۹: وقایع منتخب برجامی مورد اشاره در متن. ۲۰۲۶: بازبینی حاضر؛ این گاه‌شمار، فهرست گزینشی است و گزارش جامع تحولات سیاسی روز نیست.</w:t>
      </w:r>
    </w:p>
    <w:p>
      <w:pPr>
        <w:pStyle w:val="TH-Goftar"/>
        <w:keepNext w:val="1"/>
        <w:keepLines w:val="1"/>
        <w:widowControl w:val="1"/>
        <w:shd w:val="clear" w:fill="F0F3F6"/>
        <w:bidi w:val="1"/>
        <w:spacing w:before="240" w:after="180" w:line="300" w:lineRule="auto"/>
        <w:ind w:firstLine="0"/>
        <w:jc w:val="start"/>
      </w:pPr>
      <w:bookmarkStart w:id="178" w:name="_Toc000178"/>
      <w:r>
        <w:rPr>
          <w:rFonts w:ascii="B Nazanin" w:hAnsi="B Nazanin" w:cs="B Nazanin" w:eastAsia="B Nazanin"/>
          <w:b w:val="1"/>
          <w:bCs w:val="1"/>
          <w:i w:val="0"/>
          <w:color w:val="243B53"/>
          <w:sz w:val="32"/>
          <w:szCs w:val="32"/>
          <w:rtl w:val="1"/>
          <w:lang w:val="fa-IR" w:bidi="fa-IR"/>
        </w:rPr>
        <w:t>پیوست پنجم: گزیده عهدنامه مالک اشتر (متن و ترجمه)</w:t>
      </w:r>
      <w:bookmarkEnd w:id="178"/>
    </w:p>
    <w:p>
      <w:pPr>
        <w:pStyle w:val="TH-Body"/>
        <w:widowControl w:val="1"/>
        <w:bidi w:val="1"/>
        <w:spacing w:before="0" w:after="120" w:line="336" w:lineRule="auto"/>
        <w:ind w:firstLine="0"/>
        <w:jc w:val="both"/>
      </w:pPr>
      <w:r>
        <w:rPr>
          <w:rFonts w:ascii="B Nazanin" w:hAnsi="B Nazanin" w:cs="B Nazanin" w:eastAsia="B Nazanin"/>
          <w:b w:val="0"/>
          <w:bCs w:val="0"/>
          <w:i w:val="0"/>
          <w:sz w:val="28"/>
          <w:szCs w:val="28"/>
          <w:rtl w:val="1"/>
          <w:lang w:val="fa-IR" w:bidi="fa-IR"/>
        </w:rPr>
        <w:t xml:space="preserve">نامه ۵۳ نهج‌البلاغه، از متون مهم اخلاق و مسئولیت حکومتی است. گزیده‌های زیر با ترجمه توضیحی آورده می‌شوند و نباید به مترجم معینی نسبت داده شوند. در استناد فقهی، اعتبار سند، ضبط نسخه و حدود دلالت جداگانه بررسی می‌شوند. این گزیده نیز جای مطالعه کل نامه، به‌ویژه منع گسستن عهد به صرف تنگنا، را نمی‌گیرد.</w:t>
      </w:r>
      <w:r>
        <w:rPr>
          <w:rFonts w:ascii="B Nazanin" w:hAnsi="B Nazanin" w:cs="B Nazanin" w:eastAsia="B Nazanin"/>
          <w:b w:val="0"/>
          <w:bCs w:val="0"/>
          <w:i w:val="0"/>
          <w:sz w:val="20"/>
          <w:szCs w:val="20"/>
          <w:vertAlign w:val="superscript"/>
          <w:rtl w:val="1"/>
          <w:lang w:val="fa-IR" w:bidi="fa-IR"/>
        </w:rPr>
        <w:footnoteReference w:id="145"/>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وَأَشْعِرْ قَلْبَکَ الرَّحْمَةَ لِلرَّعِیَّةِ وَالْمَحَبَّةَ لَهُمْ وَاللُّطْفَ بِهِمْ</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ترجمه توضیحی: «دل خویش را از رحمت و محبت و لطف نسبت به مردم آکنده ساز.» دلالت اخلاقی فراز آن است که ارزیابی تصمیم عمومی، باید حقوق و وضعیت مردم را در مرکز قرار دهد. در موضوع عدول نیز انگیزه انتقام یا مصلحت شخصی نمی‌تواند جانشین دلیل معتبر شود؛ اما تعیین حکم معین، همچنان به ادله و شرایط مربوط نیاز دارد.</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فَإِنَّهُمْ صِنْفَانِ: إِمَّا أَخٌ لَکَ فِی الدِّینِ أَوْ نَظِیرٌ لَکَ فِی الْخَلْقِ</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ترجمه توضیحی: «مردم دو دسته‌اند: یا برادر دینی تو هستند یا در آفرینش همانند تو.» این فراز بر رعایت شأن انسانی فراتر از اشتراک دینی تأکید دارد. در بحث پیمان، می‌تواند مؤید توجه به حقوق طرف غیرمسلمان باشد؛ دلیل مستقیم وجوب وفا، باید همراه با آیات و متون خاص عهد بررسی شود، نه تنها از این بیان اخلاقی نتیجه گرفته شود.</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وَإِنْ عَقَدْتَ بَیْنَکَ وَبَیْنَ عَدُوِّکَ عُقْدَةً أَوْ أَلْبَسْتَهُ مِنْکَ ذِمَّةً فَحُطْ عَهْدَکَ بِالْوَفَاءِ وَارْعَ ذِمَّتَکَ بِالْأَمَانَةِ وَاجْعَلْ نَفْسَکَ جُنَّةً دُونَ مَا أَعْطَیْتَ</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ترجمه توضیحی: «اگر میان خود و دشمنت پیمانی بستی یا او را در پوشش تعهد خود قرار دادی، عهدت را با وفا پاس بدار، تعهدت را با امانت رعایت کن و خود را سپر آنچه پذیرفته‌ای قرار ده.» مخاطب حکومتی و شدت تأکید بر وفا، برای رساله مهم‌اند. همچنین فراز نهی از طلب انفساخ «بغیر الحق» نشان می‌دهد که صرف دشواری، مجوز خروج نیست؛ هر استثنا باید مستند مستقل داشته باشد.</w:t>
      </w:r>
    </w:p>
    <w:p>
      <w:pPr>
        <w:pStyle w:val="TH-Quote"/>
        <w:keepLines w:val="1"/>
        <w:widowControl w:val="1"/>
        <w:pBdr>
          <w:top w:val="single" w:sz="4" w:space="8" w:color="D3DCE6"/>
          <w:left w:val="single" w:sz="4" w:space="8" w:color="D3DCE6"/>
          <w:bottom w:val="single" w:sz="4" w:space="8" w:color="D3DCE6"/>
          <w:right w:val="single" w:sz="4" w:space="8" w:color="D3DCE6"/>
        </w:pBdr>
        <w:shd w:val="clear" w:fill="F5F6F8"/>
        <w:bidi w:val="1"/>
        <w:spacing w:before="160" w:after="160" w:line="324" w:lineRule="auto"/>
        <w:ind w:right="567" w:left="567"/>
        <w:jc w:val="center"/>
      </w:pPr>
      <w:r>
        <w:rPr>
          <w:rFonts w:ascii="B Nazanin" w:hAnsi="B Nazanin" w:cs="B Nazanin" w:eastAsia="B Nazanin"/>
          <w:b w:val="0"/>
          <w:bCs w:val="0"/>
          <w:i w:val="0"/>
          <w:color w:val="202A35"/>
          <w:sz w:val="28"/>
          <w:szCs w:val="28"/>
          <w:rtl w:val="1"/>
          <w:lang w:val="ar-SA" w:bidi="ar-SA"/>
        </w:rPr>
        <w:t>إِیَّاکَ وَالدِّمَاءَ وَسَفْکَهَا بِغَیْرِ حِلِّهَا</w:t>
      </w:r>
    </w:p>
    <w:p>
      <w:pPr>
        <w:pStyle w:val="TH-Body"/>
        <w:widowControl w:val="1"/>
        <w:bidi w:val="1"/>
        <w:spacing w:before="0" w:after="120" w:line="336" w:lineRule="auto"/>
        <w:ind w:firstLine="283"/>
        <w:jc w:val="both"/>
      </w:pPr>
      <w:r>
        <w:rPr>
          <w:rFonts w:ascii="B Nazanin" w:hAnsi="B Nazanin" w:cs="B Nazanin" w:eastAsia="B Nazanin"/>
          <w:b w:val="0"/>
          <w:bCs w:val="0"/>
          <w:i w:val="0"/>
          <w:sz w:val="28"/>
          <w:szCs w:val="28"/>
          <w:rtl w:val="1"/>
          <w:lang w:val="fa-IR" w:bidi="fa-IR"/>
        </w:rPr>
        <w:t xml:space="preserve">ترجمه توضیحی: «از خون‌ها و ریختن آن‌ها به ناحق بپرهیز.» این فراز، محدودیت جدی تصرف عمومی را یادآور می‌شود. در مقایسه با قواعد آمره، می‌توان بر اشتراک برخی منع‌ها تأکید کرد؛ اما تساوی همه مفاهیم و مصادیق، از یک عبارت به دست نمی‌آید. مصلحت‌سنجی باید حدود معتبر حق را رعایت کند و به توجیه خون ناحق تبدیل نشود.</w:t>
      </w:r>
    </w:p>
    <w:p>
      <w:pPr>
        <w:pStyle w:val="TH-Goftar"/>
        <w:keepNext w:val="1"/>
        <w:keepLines w:val="1"/>
        <w:widowControl w:val="1"/>
        <w:shd w:val="clear" w:fill="F0F3F6"/>
        <w:bidi w:val="1"/>
        <w:spacing w:before="240" w:after="180" w:line="300" w:lineRule="auto"/>
        <w:ind w:firstLine="0"/>
        <w:jc w:val="start"/>
      </w:pPr>
      <w:bookmarkStart w:id="179" w:name="_Toc000179"/>
      <w:r>
        <w:rPr>
          <w:rFonts w:ascii="B Nazanin" w:hAnsi="B Nazanin" w:cs="B Nazanin" w:eastAsia="B Nazanin"/>
          <w:b w:val="1"/>
          <w:bCs w:val="1"/>
          <w:i w:val="0"/>
          <w:color w:val="243B53"/>
          <w:sz w:val="32"/>
          <w:szCs w:val="32"/>
          <w:rtl w:val="1"/>
          <w:lang w:val="fa-IR" w:bidi="fa-IR"/>
        </w:rPr>
        <w:t>پیوست ششم: واژه‌نامه فارسی ـ عربی ـ انگلیسی</w:t>
      </w:r>
      <w:bookmarkEnd w:id="179"/>
    </w:p>
    <w:p>
      <w:pPr>
        <w:pStyle w:val="TH-Body"/>
        <w:widowControl w:val="1"/>
        <w:bidi w:val="1"/>
        <w:spacing w:before="0" w:after="120" w:line="300" w:lineRule="auto"/>
        <w:ind w:firstLine="0"/>
        <w:jc w:val="start"/>
      </w:pPr>
      <w:r>
        <w:rPr>
          <w:rFonts w:ascii="B Nazanin" w:hAnsi="B Nazanin" w:cs="B Nazanin" w:eastAsia="B Nazanin"/>
          <w:b w:val="0"/>
          <w:bCs w:val="0"/>
          <w:i w:val="0"/>
          <w:sz w:val="28"/>
          <w:szCs w:val="28"/>
          <w:rtl w:val="1"/>
          <w:lang w:val="fa-IR" w:bidi="fa-IR"/>
        </w:rPr>
        <w:t xml:space="preserve">معاهده؛ معاهدة (</w:t>
      </w:r>
      <w:r>
        <w:rPr>
          <w:rFonts w:ascii="Times New Roman" w:hAnsi="Times New Roman" w:cs="B Nazanin" w:eastAsia="B Nazanin"/>
          <w:b w:val="0"/>
          <w:bCs w:val="0"/>
          <w:i w:val="0"/>
          <w:sz w:val="25"/>
          <w:szCs w:val="25"/>
          <w:rtl w:val="0"/>
          <w:lang w:val="en-US" w:bidi="fa-IR"/>
        </w:rPr>
        <w:t xml:space="preserve">Treaty)</w:t>
      </w:r>
      <w:r>
        <w:rPr>
          <w:rFonts w:ascii="B Nazanin" w:hAnsi="B Nazanin" w:cs="B Nazanin" w:eastAsia="B Nazanin"/>
          <w:b w:val="0"/>
          <w:bCs w:val="0"/>
          <w:i w:val="0"/>
          <w:sz w:val="28"/>
          <w:szCs w:val="28"/>
          <w:rtl w:val="1"/>
          <w:lang w:val="fa-IR" w:bidi="fa-IR"/>
        </w:rPr>
        <w:t xml:space="preserve">: توافق کتبی میان دولت‌ها، تابع حقوق بین‌الملل در قلمرو وین ۱۹۶۹.</w:t>
        <w:br/>
        <w:t xml:space="preserve">ولی فقیه؛ الولي الفقيه (</w:t>
      </w:r>
      <w:r>
        <w:rPr>
          <w:rFonts w:ascii="Times New Roman" w:hAnsi="Times New Roman" w:cs="B Nazanin" w:eastAsia="B Nazanin"/>
          <w:b w:val="0"/>
          <w:bCs w:val="0"/>
          <w:i w:val="0"/>
          <w:sz w:val="25"/>
          <w:szCs w:val="25"/>
          <w:rtl w:val="0"/>
          <w:lang w:val="en-US" w:bidi="fa-IR"/>
        </w:rPr>
        <w:t xml:space="preserve">Guardian Jurist)</w:t>
      </w:r>
      <w:r>
        <w:rPr>
          <w:rFonts w:ascii="B Nazanin" w:hAnsi="B Nazanin" w:cs="B Nazanin" w:eastAsia="B Nazanin"/>
          <w:b w:val="0"/>
          <w:bCs w:val="0"/>
          <w:i w:val="0"/>
          <w:sz w:val="28"/>
          <w:szCs w:val="28"/>
          <w:rtl w:val="1"/>
          <w:lang w:val="fa-IR" w:bidi="fa-IR"/>
        </w:rPr>
        <w:t xml:space="preserve">: در این رساله، مقام رهبری در نظام حقوقی ایران.</w:t>
        <w:br/>
        <w:t xml:space="preserve">عدول حکومتی؛ العدول الحكومي (</w:t>
      </w:r>
      <w:r>
        <w:rPr>
          <w:rFonts w:ascii="Times New Roman" w:hAnsi="Times New Roman" w:cs="B Nazanin" w:eastAsia="B Nazanin"/>
          <w:b w:val="0"/>
          <w:bCs w:val="0"/>
          <w:i w:val="0"/>
          <w:sz w:val="25"/>
          <w:szCs w:val="25"/>
          <w:rtl w:val="0"/>
          <w:lang w:val="en-US" w:bidi="fa-IR"/>
        </w:rPr>
        <w:t xml:space="preserve">Exceptional governmental non-performance)</w:t>
      </w:r>
      <w:r>
        <w:rPr>
          <w:rFonts w:ascii="B Nazanin" w:hAnsi="B Nazanin" w:cs="B Nazanin" w:eastAsia="B Nazanin"/>
          <w:b w:val="0"/>
          <w:bCs w:val="0"/>
          <w:i w:val="0"/>
          <w:sz w:val="28"/>
          <w:szCs w:val="28"/>
          <w:rtl w:val="1"/>
          <w:lang w:val="fa-IR" w:bidi="fa-IR"/>
        </w:rPr>
        <w:t xml:space="preserve">: عنوان تحلیلی تصمیم فوق‌العاده به عدم اجرا؛ نه نام یک نهاد مستقل در وین.</w:t>
        <w:br/>
        <w:t xml:space="preserve">خروج؛ الانسحاب (</w:t>
      </w:r>
      <w:r>
        <w:rPr>
          <w:rFonts w:ascii="Times New Roman" w:hAnsi="Times New Roman" w:cs="B Nazanin" w:eastAsia="B Nazanin"/>
          <w:b w:val="0"/>
          <w:bCs w:val="0"/>
          <w:i w:val="0"/>
          <w:sz w:val="25"/>
          <w:szCs w:val="25"/>
          <w:rtl w:val="0"/>
          <w:lang w:val="en-US" w:bidi="fa-IR"/>
        </w:rPr>
        <w:t xml:space="preserve">Withdrawal)</w:t>
      </w:r>
      <w:r>
        <w:rPr>
          <w:rFonts w:ascii="B Nazanin" w:hAnsi="B Nazanin" w:cs="B Nazanin" w:eastAsia="B Nazanin"/>
          <w:b w:val="0"/>
          <w:bCs w:val="0"/>
          <w:i w:val="0"/>
          <w:sz w:val="28"/>
          <w:szCs w:val="28"/>
          <w:rtl w:val="1"/>
          <w:lang w:val="fa-IR" w:bidi="fa-IR"/>
        </w:rPr>
        <w:t xml:space="preserve">: پایان مشارکت یک طرف بر اساس مبنای معتبر.</w:t>
        <w:br/>
        <w:t xml:space="preserve">تعلیق؛ وقف العمل (</w:t>
      </w:r>
      <w:r>
        <w:rPr>
          <w:rFonts w:ascii="Times New Roman" w:hAnsi="Times New Roman" w:cs="B Nazanin" w:eastAsia="B Nazanin"/>
          <w:b w:val="0"/>
          <w:bCs w:val="0"/>
          <w:i w:val="0"/>
          <w:sz w:val="25"/>
          <w:szCs w:val="25"/>
          <w:rtl w:val="0"/>
          <w:lang w:val="en-US" w:bidi="fa-IR"/>
        </w:rPr>
        <w:t xml:space="preserve">Suspension)</w:t>
      </w:r>
      <w:r>
        <w:rPr>
          <w:rFonts w:ascii="B Nazanin" w:hAnsi="B Nazanin" w:cs="B Nazanin" w:eastAsia="B Nazanin"/>
          <w:b w:val="0"/>
          <w:bCs w:val="0"/>
          <w:i w:val="0"/>
          <w:sz w:val="28"/>
          <w:szCs w:val="28"/>
          <w:rtl w:val="1"/>
          <w:lang w:val="fa-IR" w:bidi="fa-IR"/>
        </w:rPr>
        <w:t xml:space="preserve">: توقف معتبر و موقت اجرا در حدود مقرر.</w:t>
        <w:br/>
        <w:t xml:space="preserve">خاتمه؛ الإنهاء (</w:t>
      </w:r>
      <w:r>
        <w:rPr>
          <w:rFonts w:ascii="Times New Roman" w:hAnsi="Times New Roman" w:cs="B Nazanin" w:eastAsia="B Nazanin"/>
          <w:b w:val="0"/>
          <w:bCs w:val="0"/>
          <w:i w:val="0"/>
          <w:sz w:val="25"/>
          <w:szCs w:val="25"/>
          <w:rtl w:val="0"/>
          <w:lang w:val="en-US" w:bidi="fa-IR"/>
        </w:rPr>
        <w:t xml:space="preserve">Termination)</w:t>
      </w:r>
      <w:r>
        <w:rPr>
          <w:rFonts w:ascii="B Nazanin" w:hAnsi="B Nazanin" w:cs="B Nazanin" w:eastAsia="B Nazanin"/>
          <w:b w:val="0"/>
          <w:bCs w:val="0"/>
          <w:i w:val="0"/>
          <w:sz w:val="28"/>
          <w:szCs w:val="28"/>
          <w:rtl w:val="1"/>
          <w:lang w:val="fa-IR" w:bidi="fa-IR"/>
        </w:rPr>
        <w:t xml:space="preserve">: پایان رابطه معاهده‌ای با آثار مقرر.</w:t>
        <w:br/>
        <w:t xml:space="preserve">نقض اساسی؛ الإخلال الجوهري (</w:t>
      </w:r>
      <w:r>
        <w:rPr>
          <w:rFonts w:ascii="Times New Roman" w:hAnsi="Times New Roman" w:cs="B Nazanin" w:eastAsia="B Nazanin"/>
          <w:b w:val="0"/>
          <w:bCs w:val="0"/>
          <w:i w:val="0"/>
          <w:sz w:val="25"/>
          <w:szCs w:val="25"/>
          <w:rtl w:val="0"/>
          <w:lang w:val="en-US" w:bidi="fa-IR"/>
        </w:rPr>
        <w:t xml:space="preserve">Material breach)</w:t>
      </w:r>
      <w:r>
        <w:rPr>
          <w:rFonts w:ascii="B Nazanin" w:hAnsi="B Nazanin" w:cs="B Nazanin" w:eastAsia="B Nazanin"/>
          <w:b w:val="0"/>
          <w:bCs w:val="0"/>
          <w:i w:val="0"/>
          <w:sz w:val="28"/>
          <w:szCs w:val="28"/>
          <w:rtl w:val="1"/>
          <w:lang w:val="fa-IR" w:bidi="fa-IR"/>
        </w:rPr>
        <w:t xml:space="preserve">: رد نامجاز معاهده یا نقض مقرره اساسی برای تحقق موضوع و هدف آن.</w:t>
        <w:br/>
        <w:t xml:space="preserve">تغییر بنیادین اوضاع؛ التغير الجوهري في الظروف (</w:t>
      </w:r>
      <w:r>
        <w:rPr>
          <w:rFonts w:ascii="Times New Roman" w:hAnsi="Times New Roman" w:cs="B Nazanin" w:eastAsia="B Nazanin"/>
          <w:b w:val="0"/>
          <w:bCs w:val="0"/>
          <w:i w:val="0"/>
          <w:sz w:val="25"/>
          <w:szCs w:val="25"/>
          <w:rtl w:val="0"/>
          <w:lang w:val="en-US" w:bidi="fa-IR"/>
        </w:rPr>
        <w:t xml:space="preserve">Fundamental change of circumstances)</w:t>
      </w:r>
      <w:r>
        <w:rPr>
          <w:rFonts w:ascii="B Nazanin" w:hAnsi="B Nazanin" w:cs="B Nazanin" w:eastAsia="B Nazanin"/>
          <w:b w:val="0"/>
          <w:bCs w:val="0"/>
          <w:i w:val="0"/>
          <w:sz w:val="28"/>
          <w:szCs w:val="28"/>
          <w:rtl w:val="1"/>
          <w:lang w:val="fa-IR" w:bidi="fa-IR"/>
        </w:rPr>
        <w:t xml:space="preserve">: نهاد استثنایی با شرایط ماده ۶۲.</w:t>
        <w:br/>
        <w:t xml:space="preserve">وفای به عهد؛ الوفاء بالعهد (</w:t>
      </w:r>
      <w:r>
        <w:rPr>
          <w:rFonts w:ascii="Times New Roman" w:hAnsi="Times New Roman" w:cs="B Nazanin" w:eastAsia="B Nazanin"/>
          <w:b w:val="0"/>
          <w:bCs w:val="0"/>
          <w:i w:val="0"/>
          <w:sz w:val="25"/>
          <w:szCs w:val="25"/>
          <w:rtl w:val="0"/>
          <w:lang w:val="en-US" w:bidi="fa-IR"/>
        </w:rPr>
        <w:t xml:space="preserve">Pacta sunt servanda)</w:t>
      </w:r>
      <w:r>
        <w:rPr>
          <w:rFonts w:ascii="B Nazanin" w:hAnsi="B Nazanin" w:cs="B Nazanin" w:eastAsia="B Nazanin"/>
          <w:b w:val="0"/>
          <w:bCs w:val="0"/>
          <w:i w:val="0"/>
          <w:sz w:val="28"/>
          <w:szCs w:val="28"/>
          <w:rtl w:val="1"/>
          <w:lang w:val="fa-IR" w:bidi="fa-IR"/>
        </w:rPr>
        <w:t xml:space="preserve">: الزام به اجرای معاهده لازم‌الاجرا با حسن نیت.</w:t>
        <w:br/>
        <w:t xml:space="preserve">حق شرط؛ التحفظ (</w:t>
      </w:r>
      <w:r>
        <w:rPr>
          <w:rFonts w:ascii="Times New Roman" w:hAnsi="Times New Roman" w:cs="B Nazanin" w:eastAsia="B Nazanin"/>
          <w:b w:val="0"/>
          <w:bCs w:val="0"/>
          <w:i w:val="0"/>
          <w:sz w:val="25"/>
          <w:szCs w:val="25"/>
          <w:rtl w:val="0"/>
          <w:lang w:val="en-US" w:bidi="fa-IR"/>
        </w:rPr>
        <w:t xml:space="preserve">Reservation)</w:t>
      </w:r>
      <w:r>
        <w:rPr>
          <w:rFonts w:ascii="B Nazanin" w:hAnsi="B Nazanin" w:cs="B Nazanin" w:eastAsia="B Nazanin"/>
          <w:b w:val="0"/>
          <w:bCs w:val="0"/>
          <w:i w:val="0"/>
          <w:sz w:val="28"/>
          <w:szCs w:val="28"/>
          <w:rtl w:val="1"/>
          <w:lang w:val="fa-IR" w:bidi="fa-IR"/>
        </w:rPr>
        <w:t xml:space="preserve">: اعلام یک‌جانبه برای حذف یا تعدیل اثر حقوقی مقررات، در زمان و شرایط معتبر.</w:t>
        <w:br/>
        <w:t xml:space="preserve">اعلامیه تفسیری؛ الإعلان التفسيري (</w:t>
      </w:r>
      <w:r>
        <w:rPr>
          <w:rFonts w:ascii="Times New Roman" w:hAnsi="Times New Roman" w:cs="B Nazanin" w:eastAsia="B Nazanin"/>
          <w:b w:val="0"/>
          <w:bCs w:val="0"/>
          <w:i w:val="0"/>
          <w:sz w:val="25"/>
          <w:szCs w:val="25"/>
          <w:rtl w:val="0"/>
          <w:lang w:val="en-US" w:bidi="fa-IR"/>
        </w:rPr>
        <w:t xml:space="preserve">Interpretative declaration)</w:t>
      </w:r>
      <w:r>
        <w:rPr>
          <w:rFonts w:ascii="B Nazanin" w:hAnsi="B Nazanin" w:cs="B Nazanin" w:eastAsia="B Nazanin"/>
          <w:b w:val="0"/>
          <w:bCs w:val="0"/>
          <w:i w:val="0"/>
          <w:sz w:val="28"/>
          <w:szCs w:val="28"/>
          <w:rtl w:val="1"/>
          <w:lang w:val="fa-IR" w:bidi="fa-IR"/>
        </w:rPr>
        <w:t xml:space="preserve">: بیان برداشت از معنا یا قلمرو سند، نه تعیین یک‌جانبه تفسیر الزام‌آور.</w:t>
        <w:br/>
        <w:t xml:space="preserve">انتساب؛ الإسناد (</w:t>
      </w:r>
      <w:r>
        <w:rPr>
          <w:rFonts w:ascii="Times New Roman" w:hAnsi="Times New Roman" w:cs="B Nazanin" w:eastAsia="B Nazanin"/>
          <w:b w:val="0"/>
          <w:bCs w:val="0"/>
          <w:i w:val="0"/>
          <w:sz w:val="25"/>
          <w:szCs w:val="25"/>
          <w:rtl w:val="0"/>
          <w:lang w:val="en-US" w:bidi="fa-IR"/>
        </w:rPr>
        <w:t xml:space="preserve">Attribution)</w:t>
      </w:r>
      <w:r>
        <w:rPr>
          <w:rFonts w:ascii="B Nazanin" w:hAnsi="B Nazanin" w:cs="B Nazanin" w:eastAsia="B Nazanin"/>
          <w:b w:val="0"/>
          <w:bCs w:val="0"/>
          <w:i w:val="0"/>
          <w:sz w:val="28"/>
          <w:szCs w:val="28"/>
          <w:rtl w:val="1"/>
          <w:lang w:val="fa-IR" w:bidi="fa-IR"/>
        </w:rPr>
        <w:t xml:space="preserve">: نسبت دادن رفتار به دولت بر اساس قواعد بین‌المللی.</w:t>
        <w:br/>
        <w:t xml:space="preserve">ضرورت؛ حالة الضرورة (</w:t>
      </w:r>
      <w:r>
        <w:rPr>
          <w:rFonts w:ascii="Times New Roman" w:hAnsi="Times New Roman" w:cs="B Nazanin" w:eastAsia="B Nazanin"/>
          <w:b w:val="0"/>
          <w:bCs w:val="0"/>
          <w:i w:val="0"/>
          <w:sz w:val="25"/>
          <w:szCs w:val="25"/>
          <w:rtl w:val="0"/>
          <w:lang w:val="en-US" w:bidi="fa-IR"/>
        </w:rPr>
        <w:t xml:space="preserve">Necessity)</w:t>
      </w:r>
      <w:r>
        <w:rPr>
          <w:rFonts w:ascii="B Nazanin" w:hAnsi="B Nazanin" w:cs="B Nazanin" w:eastAsia="B Nazanin"/>
          <w:b w:val="0"/>
          <w:bCs w:val="0"/>
          <w:i w:val="0"/>
          <w:sz w:val="28"/>
          <w:szCs w:val="28"/>
          <w:rtl w:val="1"/>
          <w:lang w:val="fa-IR" w:bidi="fa-IR"/>
        </w:rPr>
        <w:t xml:space="preserve">: سبب استثنایی رافع وصف متخلفانه با شرایط ماده ۲۵؛ نه موجب خودکار خاتمه.</w:t>
        <w:br/>
        <w:t xml:space="preserve">قوه قاهره؛ القوة القاهرة (</w:t>
      </w:r>
      <w:r>
        <w:rPr>
          <w:rFonts w:ascii="Times New Roman" w:hAnsi="Times New Roman" w:cs="B Nazanin" w:eastAsia="B Nazanin"/>
          <w:b w:val="0"/>
          <w:bCs w:val="0"/>
          <w:i w:val="0"/>
          <w:sz w:val="25"/>
          <w:szCs w:val="25"/>
          <w:rtl w:val="0"/>
          <w:lang w:val="en-US" w:bidi="fa-IR"/>
        </w:rPr>
        <w:t xml:space="preserve">Force majeure)</w:t>
      </w:r>
      <w:r>
        <w:rPr>
          <w:rFonts w:ascii="B Nazanin" w:hAnsi="B Nazanin" w:cs="B Nazanin" w:eastAsia="B Nazanin"/>
          <w:b w:val="0"/>
          <w:bCs w:val="0"/>
          <w:i w:val="0"/>
          <w:sz w:val="28"/>
          <w:szCs w:val="28"/>
          <w:rtl w:val="1"/>
          <w:lang w:val="fa-IR" w:bidi="fa-IR"/>
        </w:rPr>
        <w:t xml:space="preserve">: نیروی مقاومت‌ناپذیر یا واقعه پیش‌بینی‌نشده خارج از کنترل که اجرا را مادّیّاً ناممکن می‌کند.</w:t>
        <w:br/>
        <w:t xml:space="preserve">اقدام متقابل؛ التدابير المضادة (</w:t>
      </w:r>
      <w:r>
        <w:rPr>
          <w:rFonts w:ascii="Times New Roman" w:hAnsi="Times New Roman" w:cs="B Nazanin" w:eastAsia="B Nazanin"/>
          <w:b w:val="0"/>
          <w:bCs w:val="0"/>
          <w:i w:val="0"/>
          <w:sz w:val="25"/>
          <w:szCs w:val="25"/>
          <w:rtl w:val="0"/>
          <w:lang w:val="en-US" w:bidi="fa-IR"/>
        </w:rPr>
        <w:t xml:space="preserve">Countermeasures)</w:t>
      </w:r>
      <w:r>
        <w:rPr>
          <w:rFonts w:ascii="B Nazanin" w:hAnsi="B Nazanin" w:cs="B Nazanin" w:eastAsia="B Nazanin"/>
          <w:b w:val="0"/>
          <w:bCs w:val="0"/>
          <w:i w:val="0"/>
          <w:sz w:val="28"/>
          <w:szCs w:val="28"/>
          <w:rtl w:val="1"/>
          <w:lang w:val="fa-IR" w:bidi="fa-IR"/>
        </w:rPr>
        <w:t xml:space="preserve">: عدم اجرای موقت و مقید برای واداشتن دولت مسئول به انجام تعهدات مسئولیت.</w:t>
        <w:br/>
        <w:t xml:space="preserve">قواعد آمره؛ القواعد الآمرة (</w:t>
      </w:r>
      <w:r>
        <w:rPr>
          <w:rFonts w:ascii="Times New Roman" w:hAnsi="Times New Roman" w:cs="B Nazanin" w:eastAsia="B Nazanin"/>
          <w:b w:val="0"/>
          <w:bCs w:val="0"/>
          <w:i w:val="0"/>
          <w:sz w:val="25"/>
          <w:szCs w:val="25"/>
          <w:rtl w:val="0"/>
          <w:lang w:val="en-US" w:bidi="fa-IR"/>
        </w:rPr>
        <w:t xml:space="preserve">Jus cogens)</w:t>
      </w:r>
      <w:r>
        <w:rPr>
          <w:rFonts w:ascii="B Nazanin" w:hAnsi="B Nazanin" w:cs="B Nazanin" w:eastAsia="B Nazanin"/>
          <w:b w:val="0"/>
          <w:bCs w:val="0"/>
          <w:i w:val="0"/>
          <w:sz w:val="28"/>
          <w:szCs w:val="28"/>
          <w:rtl w:val="1"/>
          <w:lang w:val="fa-IR" w:bidi="fa-IR"/>
        </w:rPr>
        <w:t xml:space="preserve">: قواعد حقوق بین‌الملل عام که عدول از آن‌ها پذیرفته نیست.</w:t>
        <w:br/>
        <w:t xml:space="preserve">تزاحم؛ التزاحم (</w:t>
      </w:r>
      <w:r>
        <w:rPr>
          <w:rFonts w:ascii="Times New Roman" w:hAnsi="Times New Roman" w:cs="B Nazanin" w:eastAsia="B Nazanin"/>
          <w:b w:val="0"/>
          <w:bCs w:val="0"/>
          <w:i w:val="0"/>
          <w:sz w:val="25"/>
          <w:szCs w:val="25"/>
          <w:rtl w:val="0"/>
          <w:lang w:val="en-US" w:bidi="fa-IR"/>
        </w:rPr>
        <w:t xml:space="preserve">Conflict of duties in performance)</w:t>
      </w:r>
      <w:r>
        <w:rPr>
          <w:rFonts w:ascii="B Nazanin" w:hAnsi="B Nazanin" w:cs="B Nazanin" w:eastAsia="B Nazanin"/>
          <w:b w:val="0"/>
          <w:bCs w:val="0"/>
          <w:i w:val="0"/>
          <w:sz w:val="28"/>
          <w:szCs w:val="28"/>
          <w:rtl w:val="1"/>
          <w:lang w:val="fa-IR" w:bidi="fa-IR"/>
        </w:rPr>
        <w:t xml:space="preserve">: ناتوانی از جمع دو تکلیف معتبر در مقام امتثال.</w:t>
        <w:br/>
        <w:t xml:space="preserve">حکم حکومتی؛ الحكم الحكومي (</w:t>
      </w:r>
      <w:r>
        <w:rPr>
          <w:rFonts w:ascii="Times New Roman" w:hAnsi="Times New Roman" w:cs="B Nazanin" w:eastAsia="B Nazanin"/>
          <w:b w:val="0"/>
          <w:bCs w:val="0"/>
          <w:i w:val="0"/>
          <w:sz w:val="25"/>
          <w:szCs w:val="25"/>
          <w:rtl w:val="0"/>
          <w:lang w:val="en-US" w:bidi="fa-IR"/>
        </w:rPr>
        <w:t xml:space="preserve">Governmental ruling)</w:t>
      </w:r>
      <w:r>
        <w:rPr>
          <w:rFonts w:ascii="B Nazanin" w:hAnsi="B Nazanin" w:cs="B Nazanin" w:eastAsia="B Nazanin"/>
          <w:b w:val="0"/>
          <w:bCs w:val="0"/>
          <w:i w:val="0"/>
          <w:sz w:val="28"/>
          <w:szCs w:val="28"/>
          <w:rtl w:val="1"/>
          <w:lang w:val="fa-IR" w:bidi="fa-IR"/>
        </w:rPr>
        <w:t xml:space="preserve">: تصمیم الزام‌آور مرجع دارای صلاحیت در امور عمومی، بر مبنای معتبر.</w:t>
        <w:br/>
        <w:t xml:space="preserve">مصلحت عمومی؛ المصلحة العامة (</w:t>
      </w:r>
      <w:r>
        <w:rPr>
          <w:rFonts w:ascii="Times New Roman" w:hAnsi="Times New Roman" w:cs="B Nazanin" w:eastAsia="B Nazanin"/>
          <w:b w:val="0"/>
          <w:bCs w:val="0"/>
          <w:i w:val="0"/>
          <w:sz w:val="25"/>
          <w:szCs w:val="25"/>
          <w:rtl w:val="0"/>
          <w:lang w:val="en-US" w:bidi="fa-IR"/>
        </w:rPr>
        <w:t xml:space="preserve">Public interest)</w:t>
      </w:r>
      <w:r>
        <w:rPr>
          <w:rFonts w:ascii="B Nazanin" w:hAnsi="B Nazanin" w:cs="B Nazanin" w:eastAsia="B Nazanin"/>
          <w:b w:val="0"/>
          <w:bCs w:val="0"/>
          <w:i w:val="0"/>
          <w:sz w:val="28"/>
          <w:szCs w:val="28"/>
          <w:rtl w:val="1"/>
          <w:lang w:val="fa-IR" w:bidi="fa-IR"/>
        </w:rPr>
        <w:t xml:space="preserve">: منفعت عمومی قابل احراز؛ نه ترجیح شخصی یا مجوز خودکار عدول.</w:t>
        <w:br/>
        <w:t xml:space="preserve">انباذ؛ النبذ على سواء (</w:t>
      </w:r>
      <w:r>
        <w:rPr>
          <w:rFonts w:ascii="Times New Roman" w:hAnsi="Times New Roman" w:cs="B Nazanin" w:eastAsia="B Nazanin"/>
          <w:b w:val="0"/>
          <w:bCs w:val="0"/>
          <w:i w:val="0"/>
          <w:sz w:val="25"/>
          <w:szCs w:val="25"/>
          <w:rtl w:val="0"/>
          <w:lang w:val="en-US" w:bidi="fa-IR"/>
        </w:rPr>
        <w:t xml:space="preserve">Notification of renunciation)</w:t>
      </w:r>
      <w:r>
        <w:rPr>
          <w:rFonts w:ascii="B Nazanin" w:hAnsi="B Nazanin" w:cs="B Nazanin" w:eastAsia="B Nazanin"/>
          <w:b w:val="0"/>
          <w:bCs w:val="0"/>
          <w:i w:val="0"/>
          <w:sz w:val="28"/>
          <w:szCs w:val="28"/>
          <w:rtl w:val="1"/>
          <w:lang w:val="fa-IR" w:bidi="fa-IR"/>
        </w:rPr>
        <w:t xml:space="preserve">: اعلام پایان عهد در موضوع و شرایط معتبر، با پرهیز از غدر.</w:t>
        <w:br/>
        <w:t xml:space="preserve">هدنه؛ الهدنة (</w:t>
      </w:r>
      <w:r>
        <w:rPr>
          <w:rFonts w:ascii="Times New Roman" w:hAnsi="Times New Roman" w:cs="B Nazanin" w:eastAsia="B Nazanin"/>
          <w:b w:val="0"/>
          <w:bCs w:val="0"/>
          <w:i w:val="0"/>
          <w:sz w:val="25"/>
          <w:szCs w:val="25"/>
          <w:rtl w:val="0"/>
          <w:lang w:val="en-US" w:bidi="fa-IR"/>
        </w:rPr>
        <w:t xml:space="preserve">Truce)</w:t>
      </w:r>
      <w:r>
        <w:rPr>
          <w:rFonts w:ascii="B Nazanin" w:hAnsi="B Nazanin" w:cs="B Nazanin" w:eastAsia="B Nazanin"/>
          <w:b w:val="0"/>
          <w:bCs w:val="0"/>
          <w:i w:val="0"/>
          <w:sz w:val="28"/>
          <w:szCs w:val="28"/>
          <w:rtl w:val="1"/>
          <w:lang w:val="fa-IR" w:bidi="fa-IR"/>
        </w:rPr>
        <w:t xml:space="preserve">: پیمان ترک مخاصمه در شرایط مقرر فقهی.</w:t>
        <w:br/>
        <w:t xml:space="preserve">امان؛ الأمان (</w:t>
      </w:r>
      <w:r>
        <w:rPr>
          <w:rFonts w:ascii="Times New Roman" w:hAnsi="Times New Roman" w:cs="B Nazanin" w:eastAsia="B Nazanin"/>
          <w:b w:val="0"/>
          <w:bCs w:val="0"/>
          <w:i w:val="0"/>
          <w:sz w:val="25"/>
          <w:szCs w:val="25"/>
          <w:rtl w:val="0"/>
          <w:lang w:val="en-US" w:bidi="fa-IR"/>
        </w:rPr>
        <w:t xml:space="preserve">Safe conduct)</w:t>
      </w:r>
      <w:r>
        <w:rPr>
          <w:rFonts w:ascii="B Nazanin" w:hAnsi="B Nazanin" w:cs="B Nazanin" w:eastAsia="B Nazanin"/>
          <w:b w:val="0"/>
          <w:bCs w:val="0"/>
          <w:i w:val="0"/>
          <w:sz w:val="28"/>
          <w:szCs w:val="28"/>
          <w:rtl w:val="1"/>
          <w:lang w:val="fa-IR" w:bidi="fa-IR"/>
        </w:rPr>
        <w:t xml:space="preserve">: تأمین امنیت شخص یا گروه در حدود معتبر.</w:t>
        <w:br/>
        <w:t xml:space="preserve">ذمه؛ الذمة (</w:t>
      </w:r>
      <w:r>
        <w:rPr>
          <w:rFonts w:ascii="Times New Roman" w:hAnsi="Times New Roman" w:cs="B Nazanin" w:eastAsia="B Nazanin"/>
          <w:b w:val="0"/>
          <w:bCs w:val="0"/>
          <w:i w:val="0"/>
          <w:sz w:val="25"/>
          <w:szCs w:val="25"/>
          <w:rtl w:val="0"/>
          <w:lang w:val="en-US" w:bidi="fa-IR"/>
        </w:rPr>
        <w:t xml:space="preserve">Dhimma)</w:t>
      </w:r>
      <w:r>
        <w:rPr>
          <w:rFonts w:ascii="B Nazanin" w:hAnsi="B Nazanin" w:cs="B Nazanin" w:eastAsia="B Nazanin"/>
          <w:b w:val="0"/>
          <w:bCs w:val="0"/>
          <w:i w:val="0"/>
          <w:sz w:val="28"/>
          <w:szCs w:val="28"/>
          <w:rtl w:val="1"/>
          <w:lang w:val="fa-IR" w:bidi="fa-IR"/>
        </w:rPr>
        <w:t xml:space="preserve">: نهاد عهد و حمایت در فقه کلاسیک، متمایز از تابعیت معاصر.</w:t>
        <w:br/>
        <w:t xml:space="preserve">جزیه؛ الجزية (</w:t>
      </w:r>
      <w:r>
        <w:rPr>
          <w:rFonts w:ascii="Times New Roman" w:hAnsi="Times New Roman" w:cs="B Nazanin" w:eastAsia="B Nazanin"/>
          <w:b w:val="0"/>
          <w:bCs w:val="0"/>
          <w:i w:val="0"/>
          <w:sz w:val="25"/>
          <w:szCs w:val="25"/>
          <w:rtl w:val="0"/>
          <w:lang w:val="en-US" w:bidi="fa-IR"/>
        </w:rPr>
        <w:t xml:space="preserve">Jizya)</w:t>
      </w:r>
      <w:r>
        <w:rPr>
          <w:rFonts w:ascii="B Nazanin" w:hAnsi="B Nazanin" w:cs="B Nazanin" w:eastAsia="B Nazanin"/>
          <w:b w:val="0"/>
          <w:bCs w:val="0"/>
          <w:i w:val="0"/>
          <w:sz w:val="28"/>
          <w:szCs w:val="28"/>
          <w:rtl w:val="1"/>
          <w:lang w:val="fa-IR" w:bidi="fa-IR"/>
        </w:rPr>
        <w:t xml:space="preserve">: تکلیف مالی در نظام ذمه با شرایط مقرر.</w:t>
        <w:br/>
        <w:t xml:space="preserve">خراج؛ الخراج (</w:t>
      </w:r>
      <w:r>
        <w:rPr>
          <w:rFonts w:ascii="Times New Roman" w:hAnsi="Times New Roman" w:cs="B Nazanin" w:eastAsia="B Nazanin"/>
          <w:b w:val="0"/>
          <w:bCs w:val="0"/>
          <w:i w:val="0"/>
          <w:sz w:val="25"/>
          <w:szCs w:val="25"/>
          <w:rtl w:val="0"/>
          <w:lang w:val="en-US" w:bidi="fa-IR"/>
        </w:rPr>
        <w:t xml:space="preserve">Kharaj)</w:t>
      </w:r>
      <w:r>
        <w:rPr>
          <w:rFonts w:ascii="B Nazanin" w:hAnsi="B Nazanin" w:cs="B Nazanin" w:eastAsia="B Nazanin"/>
          <w:b w:val="0"/>
          <w:bCs w:val="0"/>
          <w:i w:val="0"/>
          <w:sz w:val="28"/>
          <w:szCs w:val="28"/>
          <w:rtl w:val="1"/>
          <w:lang w:val="fa-IR" w:bidi="fa-IR"/>
        </w:rPr>
        <w:t xml:space="preserve">: عنوان مالیات ارضی در مباحث مربوط.</w:t>
        <w:br/>
        <w:t xml:space="preserve">نفی سبیل؛ نفي السبيل (</w:t>
      </w:r>
      <w:r>
        <w:rPr>
          <w:rFonts w:ascii="Times New Roman" w:hAnsi="Times New Roman" w:cs="B Nazanin" w:eastAsia="B Nazanin"/>
          <w:b w:val="0"/>
          <w:bCs w:val="0"/>
          <w:i w:val="0"/>
          <w:sz w:val="25"/>
          <w:szCs w:val="25"/>
          <w:rtl w:val="0"/>
          <w:lang w:val="en-US" w:bidi="fa-IR"/>
        </w:rPr>
        <w:t xml:space="preserve">Negation of prohibited domination)</w:t>
      </w:r>
      <w:r>
        <w:rPr>
          <w:rFonts w:ascii="B Nazanin" w:hAnsi="B Nazanin" w:cs="B Nazanin" w:eastAsia="B Nazanin"/>
          <w:b w:val="0"/>
          <w:bCs w:val="0"/>
          <w:i w:val="0"/>
          <w:sz w:val="28"/>
          <w:szCs w:val="28"/>
          <w:rtl w:val="1"/>
          <w:lang w:val="fa-IR" w:bidi="fa-IR"/>
        </w:rPr>
        <w:t xml:space="preserve">: قاعده فقهی مورد بحث درباره سلطه نامشروع، با قلمرو نیازمند تبیین.</w:t>
      </w:r>
    </w:p>
    <w:sectPr w:rsidR="00FC693F" w:rsidRPr="0006063C" w:rsidSect="00034616">
      <w:headerReference w:type="default" r:id="rId9"/>
      <w:footerReference w:type="default" r:id="rId10"/>
      <w:pgSz w:w="11906" w:h="16838"/>
      <w:pgMar w:top="1417" w:right="1701" w:bottom="1417" w:left="1134" w:header="68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 Nazani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AD3DD"/>
      </w:pBdr>
      <w:bidi w:val="1"/>
      <w:spacing w:before="80" w:after="0" w:line="288" w:lineRule="auto"/>
      <w:jc w:val="center"/>
    </w:pPr>
    <w:r>
      <w:rPr>
        <w:rFonts w:ascii="B Nazanin" w:hAnsi="B Nazanin" w:cs="B Nazanin" w:eastAsia="B Nazanin"/>
        <w:color w:val="52616F"/>
        <w:sz w:val="22"/>
        <w:szCs w:val="22"/>
        <w:rtl w:val="1"/>
        <w:lang w:val="fa-IR" w:bidi="fa-IR"/>
      </w:rPr>
    </w:r>
    <w:r>
      <w:rPr>
        <w:rFonts w:ascii="B Nazanin" w:hAnsi="B Nazanin" w:cs="B Nazanin" w:eastAsia="B Nazanin"/>
        <w:b/>
        <w:i w:val="0"/>
        <w:color w:val="52616F"/>
        <w:sz w:val="22"/>
        <w:szCs w:val="22"/>
        <w:rtl w:val="1"/>
        <w:lang w:val="fa-IR" w:bidi="fa-IR"/>
      </w:rPr>
      <w:t xml:space="preserve">صفحه </w:t>
    </w:r>
    <w:r>
      <w:rPr>
        <w:rFonts w:ascii="B Nazanin" w:hAnsi="B Nazanin" w:cs="B Nazanin" w:eastAsia="B Nazanin"/>
        <w:b/>
        <w:i w:val="0"/>
        <w:color w:val="52616F"/>
        <w:sz w:val="22"/>
        <w:szCs w:val="22"/>
        <w:rtl w:val="1"/>
        <w:lang w:val="fa-IR" w:bidi="fa-IR"/>
      </w:rPr>
      <w:fldChar w:fldCharType="begin"/>
    </w:r>
    <w:r>
      <w:rPr>
        <w:rFonts w:ascii="B Nazanin" w:hAnsi="B Nazanin" w:cs="B Nazanin" w:eastAsia="B Nazanin"/>
        <w:b/>
        <w:i w:val="0"/>
        <w:color w:val="52616F"/>
        <w:sz w:val="22"/>
        <w:szCs w:val="22"/>
        <w:rtl w:val="1"/>
        <w:lang w:val="fa-IR" w:bidi="fa-IR"/>
      </w:rPr>
      <w:instrText xml:space="preserve">PAGE \* MERGEFORMAT</w:instrText>
    </w:r>
    <w:r>
      <w:rPr>
        <w:rFonts w:ascii="B Nazanin" w:hAnsi="B Nazanin" w:cs="B Nazanin" w:eastAsia="B Nazanin"/>
        <w:b/>
        <w:i w:val="0"/>
        <w:color w:val="52616F"/>
        <w:sz w:val="22"/>
        <w:szCs w:val="22"/>
        <w:rtl w:val="1"/>
        <w:lang w:val="fa-IR" w:bidi="fa-IR"/>
      </w:rPr>
      <w:fldChar w:fldCharType="end"/>
    </w:r>
  </w:p>
</w:ftr>
</file>

<file path=word/footnotes.xml><?xml version="1.0" encoding="utf-8"?>
<w:footnotes xmlns:w="http://schemas.openxmlformats.org/wordprocessingml/2006/main">
  <w:footnote w:id="0" w:type="separator">
    <w:p>
      <w:pPr>
        <w:widowControl w:val="1"/>
        <w:bidi w:val="1"/>
        <w:spacing w:before="20" w:after="40" w:line="264" w:lineRule="auto"/>
        <w:ind w:firstLine="0" w:right="0" w:left="0"/>
        <w:jc w:val="start"/>
      </w:pPr>
      <w:r>
        <w:rPr>
          <w:rFonts w:ascii="B Nazanin" w:hAnsi="B Nazanin" w:cs="B Nazanin" w:eastAsia="B Nazanin"/>
          <w:b w:val="0"/>
          <w:bCs w:val="0"/>
          <w:sz w:val="22"/>
          <w:szCs w:val="22"/>
          <w:rtl w:val="1"/>
          <w:lang w:val="fa-IR" w:bidi="fa-IR"/>
        </w:rPr>
        <w:separator/>
      </w:r>
    </w:p>
  </w:footnote>
  <w:footnote w:id="1" w:type="continuationSeparator">
    <w:p>
      <w:pPr>
        <w:widowControl w:val="1"/>
        <w:bidi w:val="1"/>
        <w:spacing w:before="20" w:after="40" w:line="264" w:lineRule="auto"/>
        <w:ind w:firstLine="0" w:right="0" w:left="0"/>
        <w:jc w:val="start"/>
      </w:pPr>
      <w:r>
        <w:rPr>
          <w:rFonts w:ascii="B Nazanin" w:hAnsi="B Nazanin" w:cs="B Nazanin" w:eastAsia="B Nazanin"/>
          <w:b w:val="0"/>
          <w:bCs w:val="0"/>
          <w:sz w:val="22"/>
          <w:szCs w:val="22"/>
          <w:rtl w:val="1"/>
          <w:lang w:val="fa-IR" w:bidi="fa-IR"/>
        </w:rPr>
        <w:continuationSeparator/>
      </w:r>
    </w:p>
  </w:footnote>
  <w:footnote w:id="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مائده، آیه ۱.</w:t>
      </w:r>
    </w:p>
  </w:footnote>
  <w:footnote w:id="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زحیلی، وهبه، آثار الحرب فی الفقه الاسلامی؛ معرفی منبع تطبیقی، نه انتساب فتوای امامی. مشخصات نسخه و محل استفاده باید با نسخه در دسترس نگارنده تطبیق داده شود.</w:t>
      </w:r>
    </w:p>
  </w:footnote>
  <w:footnote w:id="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Times New Roman" w:hAnsi="Times New Roman" w:cs="B Nazanin" w:eastAsia="B Nazanin"/>
          <w:b w:val="0"/>
          <w:bCs w:val="0"/>
          <w:sz w:val="19"/>
          <w:szCs w:val="19"/>
          <w:rtl w:val="0"/>
          <w:lang w:val="en-US" w:bidi="fa-IR"/>
        </w:rPr>
        <w:t xml:space="preserve">Malcolm N. Shaw, International Law; James Crawford, The International Law Commission’s Articles on State Responsibility: Introduction, Text and Commentaries</w:t>
      </w:r>
      <w:r>
        <w:rPr>
          <w:rFonts w:ascii="B Nazanin" w:hAnsi="B Nazanin" w:cs="B Nazanin" w:eastAsia="B Nazanin"/>
          <w:b w:val="0"/>
          <w:bCs w:val="0"/>
          <w:sz w:val="22"/>
          <w:szCs w:val="22"/>
          <w:rtl w:val="1"/>
          <w:lang w:val="fa-IR" w:bidi="fa-IR"/>
        </w:rPr>
        <w:t xml:space="preserve">. معرفی منابع تکمیلی است؛ چاپ و صفحه مورد استفاده نیازمند تعیین است.</w:t>
      </w:r>
    </w:p>
  </w:footnote>
  <w:footnote w:id="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خلیل بن احمد فراهیدی، کتاب العین، ماده «عهد»؛ و ابن‌منظور، لسان العرب، ماده «عهد» (مشخصات چاپ، نیازمند بررسی منبع اصلی است).</w:t>
      </w:r>
    </w:p>
  </w:footnote>
  <w:footnote w:id="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۲، بند ۱ (الف).</w:t>
      </w:r>
    </w:p>
  </w:footnote>
  <w:footnote w:id="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۳.</w:t>
      </w:r>
    </w:p>
  </w:footnote>
  <w:footnote w:id="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اصول ۵ و ۱۰۷.</w:t>
      </w:r>
    </w:p>
  </w:footnote>
  <w:footnote w:id="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امام خمینی، سیدروح‌الله، ولایت فقیه (حکومت اسلامی)، تهران، مؤسسه تنظیم و نشر آثار امام خمینی (مشخصات چاپ، نیازمند بررسی منبع اصلی است).</w:t>
      </w:r>
    </w:p>
  </w:footnote>
  <w:footnote w:id="1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انفال، آیه ۵۸.</w:t>
      </w:r>
    </w:p>
  </w:footnote>
  <w:footnote w:id="1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ابن‌منظور، لسان العرب، ماده «صلح»؛ مشخصات چاپ نیازمند تکمیل است. تعریف اصطلاحی مصلحت در این بند، تعریف عملیاتی رساله است، نه نقل مستقیم از این مأخذ.</w:t>
      </w:r>
    </w:p>
  </w:footnote>
  <w:footnote w:id="1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کمیسیون حقوق بین‌الملل، مواد مسئولیت دولت‌ها برای اعمال متخلفانه بین‌المللی، ۲۰۰۱، مواد ۲۵ و ۲۷؛ از این پس: «مواد مسئولیت».</w:t>
      </w:r>
    </w:p>
  </w:footnote>
  <w:footnote w:id="1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نجفی، محمدحسن، جواهر الکلام، ج ۲۱، مبحث هدنه، ص ۲۹۹؛ نسخه برخط مدرسه فقاهت: </w:t>
      </w:r>
      <w:r>
        <w:rPr>
          <w:rFonts w:ascii="Times New Roman" w:hAnsi="Times New Roman" w:cs="B Nazanin" w:eastAsia="B Nazanin"/>
          <w:b w:val="0"/>
          <w:bCs w:val="0"/>
          <w:sz w:val="19"/>
          <w:szCs w:val="19"/>
          <w:rtl w:val="0"/>
          <w:lang w:val="en-US" w:bidi="fa-IR"/>
        </w:rPr>
        <w:t xml:space="preserve">ar.lib.eshia.ir/10088/21/299</w:t>
      </w:r>
      <w:r>
        <w:rPr>
          <w:rFonts w:ascii="B Nazanin" w:hAnsi="B Nazanin" w:cs="B Nazanin" w:eastAsia="B Nazanin"/>
          <w:b w:val="0"/>
          <w:bCs w:val="0"/>
          <w:sz w:val="22"/>
          <w:szCs w:val="22"/>
          <w:rtl w:val="1"/>
          <w:lang w:val="fa-IR" w:bidi="fa-IR"/>
        </w:rPr>
        <w:t xml:space="preserve">. موضع بررسی‌شده به مدت و امکان شرط اختیار نقض مربوط است؛ نه اختیار بی‌قید برای پیمان‌شکنی.</w:t>
      </w:r>
    </w:p>
  </w:footnote>
  <w:footnote w:id="1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همان، ج ۲۱، صص ۲۹۹ و ۳۱۳. در ص ۳۱۳، استمرار هدنه امام پیشین تا پایان مدت و منع نقض توسط جانشین مطرح است: </w:t>
      </w:r>
      <w:r>
        <w:rPr>
          <w:rFonts w:ascii="Times New Roman" w:hAnsi="Times New Roman" w:cs="B Nazanin" w:eastAsia="B Nazanin"/>
          <w:b w:val="0"/>
          <w:bCs w:val="0"/>
          <w:sz w:val="19"/>
          <w:szCs w:val="19"/>
          <w:rtl w:val="0"/>
          <w:lang w:val="en-US" w:bidi="fa-IR"/>
        </w:rPr>
        <w:t xml:space="preserve">ar.lib.eshia.ir/10088/21/313</w:t>
      </w:r>
      <w:r>
        <w:rPr>
          <w:rFonts w:ascii="B Nazanin" w:hAnsi="B Nazanin" w:cs="B Nazanin" w:eastAsia="B Nazanin"/>
          <w:b w:val="0"/>
          <w:bCs w:val="0"/>
          <w:sz w:val="22"/>
          <w:szCs w:val="22"/>
          <w:rtl w:val="1"/>
          <w:lang w:val="fa-IR" w:bidi="fa-IR"/>
        </w:rPr>
        <w:t xml:space="preserve">.</w:t>
      </w:r>
    </w:p>
  </w:footnote>
  <w:footnote w:id="1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برای نهاد امان، نجفی، جواهر الکلام، کتاب جهاد، مبحث امان؛ نشانی صفحه باید با چاپ مورد استفاده تکمیل شود. ارجاع نسخه اولیه به «تحریر الوسیله، کتاب الجهاد، احکام امان» احراز نشد و مبنای انتساب قرار نگرفت.</w:t>
      </w:r>
    </w:p>
  </w:footnote>
  <w:footnote w:id="1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نجفی، محمدحسن (صاحب جواهر)، جواهر الکلام، کتاب الجهاد، احکام ذمه و صلح (نشانی دقیق، نیازمند بررسی منبع اصلی است).</w:t>
      </w:r>
    </w:p>
  </w:footnote>
  <w:footnote w:id="1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کنوانسیون وین حقوق معاهدات، ۲۳ مه ۱۹۶۹، لازم‌الاجرا از ۲۷ ژانویه ۱۹۸۰؛ متن رسمی: </w:t>
      </w:r>
      <w:r>
        <w:rPr>
          <w:rFonts w:ascii="Times New Roman" w:hAnsi="Times New Roman" w:cs="B Nazanin" w:eastAsia="B Nazanin"/>
          <w:b w:val="0"/>
          <w:bCs w:val="0"/>
          <w:sz w:val="19"/>
          <w:szCs w:val="19"/>
          <w:rtl w:val="0"/>
          <w:lang w:val="en-US" w:bidi="fa-IR"/>
        </w:rPr>
        <w:t xml:space="preserve">legal.un.org/ilc/texts/instruments/english/conventions/1_1_1969.pdf</w:t>
      </w:r>
      <w:r>
        <w:rPr>
          <w:rFonts w:ascii="B Nazanin" w:hAnsi="B Nazanin" w:cs="B Nazanin" w:eastAsia="B Nazanin"/>
          <w:b w:val="0"/>
          <w:bCs w:val="0"/>
          <w:sz w:val="22"/>
          <w:szCs w:val="22"/>
          <w:rtl w:val="1"/>
          <w:lang w:val="fa-IR" w:bidi="fa-IR"/>
        </w:rPr>
        <w:t xml:space="preserve">. وضعیت ایران: مجموعه معاهدات ملل متحد، فصل </w:t>
      </w:r>
      <w:r>
        <w:rPr>
          <w:rFonts w:ascii="Times New Roman" w:hAnsi="Times New Roman" w:cs="B Nazanin" w:eastAsia="B Nazanin"/>
          <w:b w:val="0"/>
          <w:bCs w:val="0"/>
          <w:sz w:val="19"/>
          <w:szCs w:val="19"/>
          <w:rtl w:val="0"/>
          <w:lang w:val="en-US" w:bidi="fa-IR"/>
        </w:rPr>
        <w:t xml:space="preserve">XXIII</w:t>
      </w:r>
      <w:r>
        <w:rPr>
          <w:rFonts w:ascii="B Nazanin" w:hAnsi="B Nazanin" w:cs="B Nazanin" w:eastAsia="B Nazanin"/>
          <w:b w:val="0"/>
          <w:bCs w:val="0"/>
          <w:sz w:val="22"/>
          <w:szCs w:val="22"/>
          <w:rtl w:val="1"/>
          <w:lang w:val="fa-IR" w:bidi="fa-IR"/>
        </w:rPr>
        <w:t xml:space="preserve">، شماره ۱؛ امضا در ۲۳ مه ۱۹۶۹، بدون ثبت تصویب یا الحاق در بررسی ۲۱ سپتامبر ۲۰۲۶. استناد به عرف، از عضویت قراردادی مستقل است.</w:t>
      </w:r>
    </w:p>
  </w:footnote>
  <w:footnote w:id="1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۲۶.</w:t>
      </w:r>
    </w:p>
  </w:footnote>
  <w:footnote w:id="1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۲۷.</w:t>
      </w:r>
    </w:p>
  </w:footnote>
  <w:footnote w:id="2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کنوانسیون وین، مواد ۲۷ و ۴۶. ماده ۴۶ به اعتبار رضایت و نقض آشکار قاعده بنیادینِ صلاحیت انعقاد مربوط است، نه مجوز عمومی برای عدم اجرای بعدی.</w:t>
      </w:r>
    </w:p>
  </w:footnote>
  <w:footnote w:id="2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کنوانسیون وین، مواد ۴۲، ۵۴، ۵۶ و ۵۷؛ برای آیین، مواد ۶۵ تا ۶۸. سبب ماهوی و تشریفات باید جداگانه احراز شوند.</w:t>
      </w:r>
    </w:p>
  </w:footnote>
  <w:footnote w:id="2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کنوانسیون وین، مواد ۵۴، ۵۶، ۵۷ و ۵۹؛ خروج از معاهده فاقد شرط خروج، حق عمومی و بی‌قید نیست.</w:t>
      </w:r>
    </w:p>
  </w:footnote>
  <w:footnote w:id="2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۶۰ (به‌اجمال).</w:t>
      </w:r>
    </w:p>
  </w:footnote>
  <w:footnote w:id="2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توبه، آیه ۷.</w:t>
      </w:r>
    </w:p>
  </w:footnote>
  <w:footnote w:id="2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مواد ۶۵ تا ۶۸ (به‌اجمال).</w:t>
      </w:r>
    </w:p>
  </w:footnote>
  <w:footnote w:id="2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۶۲ (به‌اجمال).</w:t>
      </w:r>
    </w:p>
  </w:footnote>
  <w:footnote w:id="2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دیوان بین‌المللی دادگستری، پروژه گابچیکوو ـ ناگیماروش (مجارستان/اسلواکی)، رأی ۲۵ سپتامبر ۱۹۹۷؛ برای بحث تغییر بنیادین اوضاع و عدم خاتمه، خلاصه منتشرشده در پایگاه دیوان، بخش مربوط به بندهای ۸۹–۱۱۵ رأی: </w:t>
      </w:r>
      <w:r>
        <w:rPr>
          <w:rFonts w:ascii="Times New Roman" w:hAnsi="Times New Roman" w:cs="B Nazanin" w:eastAsia="B Nazanin"/>
          <w:b w:val="0"/>
          <w:bCs w:val="0"/>
          <w:sz w:val="19"/>
          <w:szCs w:val="19"/>
          <w:rtl w:val="0"/>
          <w:lang w:val="en-US" w:bidi="fa-IR"/>
        </w:rPr>
        <w:t xml:space="preserve">icj-cij.org/public/files/case-related/92/7377.pdf</w:t>
      </w:r>
      <w:r>
        <w:rPr>
          <w:rFonts w:ascii="B Nazanin" w:hAnsi="B Nazanin" w:cs="B Nazanin" w:eastAsia="B Nazanin"/>
          <w:b w:val="0"/>
          <w:bCs w:val="0"/>
          <w:sz w:val="22"/>
          <w:szCs w:val="22"/>
          <w:rtl w:val="1"/>
          <w:lang w:val="fa-IR" w:bidi="fa-IR"/>
        </w:rPr>
        <w:t xml:space="preserve">. خلاصه، جای نقل لفظی از متن کامل رأی را نمی‌گیرد.</w:t>
      </w:r>
    </w:p>
  </w:footnote>
  <w:footnote w:id="2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۶۱ (به‌اجمال).</w:t>
      </w:r>
    </w:p>
  </w:footnote>
  <w:footnote w:id="2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مواد ۱۹ تا ۲۳ (به‌اجمال).</w:t>
      </w:r>
    </w:p>
  </w:footnote>
  <w:footnote w:id="3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کنوانسیون وین، ماده ۳۱، به‌ویژه بند ۳ درباره توافق بعدی، رویه بعدی و قواعد مرتبط قابل اعمال؛ ماده ۳۲ درباره وسایل تکمیلی است.</w:t>
      </w:r>
    </w:p>
  </w:footnote>
  <w:footnote w:id="3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۳۲.</w:t>
      </w:r>
    </w:p>
  </w:footnote>
  <w:footnote w:id="3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کنوانسیون وین، مواد ۶، ۷ و ۸؛ نیز ماده ۴۶ درباره حدود استناد به نقض صلاحیت داخلی. کامل نبودن تشریفات داخلی با فقدان اختیار نمایندگی یکسان نیست.</w:t>
      </w:r>
    </w:p>
  </w:footnote>
  <w:footnote w:id="3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کنوانسیون وین، مواد ۴۸ تا ۵۳ و ۶۴. میان عیوب رضایت، تعارض با قاعده آمره در زمان انعقاد و پیدایش قاعده آمره جدید تفکیک شود.</w:t>
      </w:r>
    </w:p>
  </w:footnote>
  <w:footnote w:id="3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منشور سازمان ملل متحد، ماده ۱۰۲.</w:t>
      </w:r>
    </w:p>
  </w:footnote>
  <w:footnote w:id="3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قانون اساسی جمهوری اسلامی ایران، متن بازنگری‌شده ۱۳۶۸، اصل ۵؛ پایگاه رسمی شورای نگهبان: </w:t>
      </w:r>
      <w:r>
        <w:rPr>
          <w:rFonts w:ascii="Times New Roman" w:hAnsi="Times New Roman" w:cs="B Nazanin" w:eastAsia="B Nazanin"/>
          <w:b w:val="0"/>
          <w:bCs w:val="0"/>
          <w:sz w:val="19"/>
          <w:szCs w:val="19"/>
          <w:rtl w:val="0"/>
          <w:lang w:val="en-US" w:bidi="fa-IR"/>
        </w:rPr>
        <w:t xml:space="preserve">shora-gc.ir/fa/news/1884</w:t>
      </w:r>
      <w:r>
        <w:rPr>
          <w:rFonts w:ascii="B Nazanin" w:hAnsi="B Nazanin" w:cs="B Nazanin" w:eastAsia="B Nazanin"/>
          <w:b w:val="0"/>
          <w:bCs w:val="0"/>
          <w:sz w:val="22"/>
          <w:szCs w:val="22"/>
          <w:rtl w:val="1"/>
          <w:lang w:val="fa-IR" w:bidi="fa-IR"/>
        </w:rPr>
        <w:t xml:space="preserve">. در نقل‌ها، رسم‌الخط یکدست شده است؛ معنای متن نباید با تحلیل رساله خلط شود.</w:t>
      </w:r>
    </w:p>
  </w:footnote>
  <w:footnote w:id="3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۵۷.</w:t>
      </w:r>
    </w:p>
  </w:footnote>
  <w:footnote w:id="3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۷۷.</w:t>
      </w:r>
    </w:p>
  </w:footnote>
  <w:footnote w:id="3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۱۲۵.</w:t>
      </w:r>
    </w:p>
  </w:footnote>
  <w:footnote w:id="3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۱۱۰.</w:t>
      </w:r>
    </w:p>
  </w:footnote>
  <w:footnote w:id="4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۱۱۲ (به‌اجمال).</w:t>
      </w:r>
    </w:p>
  </w:footnote>
  <w:footnote w:id="4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۱۵۲.</w:t>
      </w:r>
    </w:p>
  </w:footnote>
  <w:footnote w:id="4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۱۵۳.</w:t>
      </w:r>
    </w:p>
  </w:footnote>
  <w:footnote w:id="4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۱۵۴ (به‌اجمال).</w:t>
      </w:r>
    </w:p>
  </w:footnote>
  <w:footnote w:id="4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۱۷۶ (به‌اجمال).</w:t>
      </w:r>
    </w:p>
  </w:footnote>
  <w:footnote w:id="4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مائده، آیه ۱.</w:t>
      </w:r>
    </w:p>
  </w:footnote>
  <w:footnote w:id="4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انصاری، مرتضی، المکاسب، مباحث لزوم؛ و بجنوردی، سیدحسن، القواعد الفقهیة، ج ۴، قاعده لزوم. مشخصات چاپ و صفحه مورد استناد باید تطبیق داده شود؛ این ارجاع، اثبات اجماع درباره تمام معاهدات معاصر نیست.</w:t>
      </w:r>
    </w:p>
  </w:footnote>
  <w:footnote w:id="4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نحل، آیات ۹۱ و ۹۲.</w:t>
      </w:r>
    </w:p>
  </w:footnote>
  <w:footnote w:id="4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علامه طباطبایی، سیدمحمدحسین، المیزان فی تفسیر القرآن، ذیل آیه ۹۱ نحل (مشخصات چاپ، نیازمند بررسی منبع اصلی است).</w:t>
      </w:r>
    </w:p>
  </w:footnote>
  <w:footnote w:id="4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اسراء، آیه ۳۴.</w:t>
      </w:r>
    </w:p>
  </w:footnote>
  <w:footnote w:id="5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سوره رعد، آیه ۲۰؛ برای زمینه مقابل، آیه ۲۵. عبارت عربی متن از آیه ۲۰ است.</w:t>
      </w:r>
    </w:p>
  </w:footnote>
  <w:footnote w:id="5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مؤمنون، آیه ۸؛ و نیز سوره معارج، آیه ۳۲.</w:t>
      </w:r>
    </w:p>
  </w:footnote>
  <w:footnote w:id="5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توبه، آیه ۴.</w:t>
      </w:r>
    </w:p>
  </w:footnote>
  <w:footnote w:id="5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توبه، آیه ۷.</w:t>
      </w:r>
    </w:p>
  </w:footnote>
  <w:footnote w:id="5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انفال، آیه ۵۸.</w:t>
      </w:r>
    </w:p>
  </w:footnote>
  <w:footnote w:id="5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انفال، آیه ۷۲.</w:t>
      </w:r>
    </w:p>
  </w:footnote>
  <w:footnote w:id="5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حر عاملی، محمد بن حسن، وسائل الشیعة، چاپ مؤسسه آل‌البیت، ج ۱۸، ص ۱۶، حدیث ۲۳۰۴۲، روایت عبدالله بن سنان از امام صادق علیه‌السلام؛ متن برخط: </w:t>
      </w:r>
      <w:r>
        <w:rPr>
          <w:rFonts w:ascii="Times New Roman" w:hAnsi="Times New Roman" w:cs="B Nazanin" w:eastAsia="B Nazanin"/>
          <w:b w:val="0"/>
          <w:bCs w:val="0"/>
          <w:sz w:val="19"/>
          <w:szCs w:val="19"/>
          <w:rtl w:val="0"/>
          <w:lang w:val="en-US" w:bidi="fa-IR"/>
        </w:rPr>
        <w:t xml:space="preserve">ar.lib.eshia.ir/11025/18/16</w:t>
      </w:r>
      <w:r>
        <w:rPr>
          <w:rFonts w:ascii="B Nazanin" w:hAnsi="B Nazanin" w:cs="B Nazanin" w:eastAsia="B Nazanin"/>
          <w:b w:val="0"/>
          <w:bCs w:val="0"/>
          <w:sz w:val="22"/>
          <w:szCs w:val="22"/>
          <w:rtl w:val="1"/>
          <w:lang w:val="fa-IR" w:bidi="fa-IR"/>
        </w:rPr>
        <w:t xml:space="preserve">. در این طریق، لفظ «المسلمون» آمده است. مأخذ معرفی‌شده در حاشیه: تهذیب الاحکام، ج ۷، ص ۲۲، ح ۹۳.</w:t>
      </w:r>
    </w:p>
  </w:footnote>
  <w:footnote w:id="5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برای مشاهده طریق و متن روایت مورد بحث، همان، ج ۱۸، ص ۱۶، ح ۲۳۰۴۲. ارجاع کلی نسخه اولیه به بحار الانوار، بدون موضع مشخص، تحقیق سندی به شمار نمی‌رود؛ در این رساله ادعای بررسی رجالی تفصیلی همه طرق مطرح نیست.</w:t>
      </w:r>
    </w:p>
  </w:footnote>
  <w:footnote w:id="5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شریف رضی، نهج‌البلاغه، نامه ۵۳؛ نسخه دارالکتاب اللبنانی، صص ۴۴۲–۴۴۳، متن برخط: </w:t>
      </w:r>
      <w:r>
        <w:rPr>
          <w:rFonts w:ascii="Times New Roman" w:hAnsi="Times New Roman" w:cs="B Nazanin" w:eastAsia="B Nazanin"/>
          <w:b w:val="0"/>
          <w:bCs w:val="0"/>
          <w:sz w:val="19"/>
          <w:szCs w:val="19"/>
          <w:rtl w:val="0"/>
          <w:lang w:val="en-US" w:bidi="fa-IR"/>
        </w:rPr>
        <w:t xml:space="preserve">lib.eshia.ir/10419/1/442</w:t>
      </w:r>
      <w:r>
        <w:rPr>
          <w:rFonts w:ascii="B Nazanin" w:hAnsi="B Nazanin" w:cs="B Nazanin" w:eastAsia="B Nazanin"/>
          <w:b w:val="0"/>
          <w:bCs w:val="0"/>
          <w:sz w:val="22"/>
          <w:szCs w:val="22"/>
          <w:rtl w:val="1"/>
          <w:lang w:val="fa-IR" w:bidi="fa-IR"/>
        </w:rPr>
        <w:t xml:space="preserve"> و صفحه بعد. تأکید بر وفا و نهی از طلب انفساخ «بغیر الحق» در این موضع قابل تطبیق است. تطبیق متن، معادل احراز سند مستقل نیست.</w:t>
      </w:r>
    </w:p>
  </w:footnote>
  <w:footnote w:id="5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کلینی، محمد بن یعقوب، الکافی، چاپ اسلامیه، ج ۲، ص ۳۶۳ و ادامه، باب «خلف الوعد»؛ متن برخط: </w:t>
      </w:r>
      <w:r>
        <w:rPr>
          <w:rFonts w:ascii="Times New Roman" w:hAnsi="Times New Roman" w:cs="B Nazanin" w:eastAsia="B Nazanin"/>
          <w:b w:val="0"/>
          <w:bCs w:val="0"/>
          <w:sz w:val="19"/>
          <w:szCs w:val="19"/>
          <w:rtl w:val="0"/>
          <w:lang w:val="en-US" w:bidi="fa-IR"/>
        </w:rPr>
        <w:t xml:space="preserve">ar.lib.eshia.ir/11005/2/363</w:t>
      </w:r>
      <w:r>
        <w:rPr>
          <w:rFonts w:ascii="B Nazanin" w:hAnsi="B Nazanin" w:cs="B Nazanin" w:eastAsia="B Nazanin"/>
          <w:b w:val="0"/>
          <w:bCs w:val="0"/>
          <w:sz w:val="22"/>
          <w:szCs w:val="22"/>
          <w:rtl w:val="1"/>
          <w:lang w:val="fa-IR" w:bidi="fa-IR"/>
        </w:rPr>
        <w:t xml:space="preserve">. وجود باب تطبیق شد؛ همه اسناد و دلالت‌های روایات آن در این رساله مستقلاً بررسی نشده‌اند.</w:t>
      </w:r>
    </w:p>
  </w:footnote>
  <w:footnote w:id="6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نقل «لا دین لمن لا عهد له» و گزارش‌های لعنت در نسخه اولیه، بدون مأخذ دقیق آمده بود. تا تعیین متن، طریق و موضع معتبر، این نقل‌ها در بازبینی حاضر دلیل مستقل شمرده نشده‌اند.</w:t>
      </w:r>
    </w:p>
  </w:footnote>
  <w:footnote w:id="6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ابن‌هشام، السیرة النبویة، ماجرای حدیبیه (مشخصات چاپ، نیازمند بررسی منبع اصلی است).</w:t>
      </w:r>
    </w:p>
  </w:footnote>
  <w:footnote w:id="6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توبه، آیات ۱ تا ۴؛ و ر.ک: طبری، تاریخ الامم و الملوک، ماجرای فتح مکه (مشخصات چاپ، نیازمند بررسی منبع اصلی است).</w:t>
      </w:r>
    </w:p>
  </w:footnote>
  <w:footnote w:id="6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نهج‌البلاغه، خطبه‌ها و نامه‌های مربوط به صفین (نشانی دقیق، نیازمند بررسی منبع اصلی است).</w:t>
      </w:r>
    </w:p>
  </w:footnote>
  <w:footnote w:id="6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این بند، تقریر تحلیلی استدلال عقل عملی است. ارجاع نسخه اولیه به «کفایة الاصول، مبحث ملازمه عقلیه» بدون تعیین موضع دقیق، برای انتساب همین استدلال کافی نیست؛ چاپ و صفحه مرتبط باید مشخص شود.</w:t>
      </w:r>
    </w:p>
  </w:footnote>
  <w:footnote w:id="6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درباره حجیت سیره و بنای عقلا، منابع اصولی از جمله فوائد الاصول نائینی معرفی شده‌اند؛ تعیین محل بحث و تقریر مورد استفاده لازم است. تحلیل این بند به مؤلف خاص نسبت داده نمی‌شود.</w:t>
      </w:r>
    </w:p>
  </w:footnote>
  <w:footnote w:id="6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بجنوردی، سیدحسن، القواعد الفقهیة، ج ۴، قاعده لزوم؛ چاپ و صفحه مورد استفاده نیازمند تطبیق است. تسری قاعده به عهد عمومی، مرحله استدلالی جداگانه دارد.</w:t>
      </w:r>
    </w:p>
  </w:footnote>
  <w:footnote w:id="6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انفال، آیه ۵۸.</w:t>
      </w:r>
    </w:p>
  </w:footnote>
  <w:footnote w:id="6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برای متن حکومتیِ وفا و منع غدر، نهج‌البلاغه، نامه ۵۳، نسخه دارالکتاب اللبنانی، صص ۴۴۲–۴۴۳. ارجاع کلی نسخه اولیه به ابواب جهاد وسائل، تا تعیین حدیث و باب، مستند مستقل قرار نگرفته است.</w:t>
      </w:r>
    </w:p>
  </w:footnote>
  <w:footnote w:id="6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نساء، آیه ۱۴۱.</w:t>
      </w:r>
    </w:p>
  </w:footnote>
  <w:footnote w:id="7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نساء، آیه ۵۸.</w:t>
      </w:r>
    </w:p>
  </w:footnote>
  <w:footnote w:id="7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علامه طباطبایی، سیدمحمدحسین، المیزان فی تفسیر القرآن، ذیل آیه ۵۸ نساء (مشخصات چاپ، نیازمند بررسی منبع اصلی است).</w:t>
      </w:r>
    </w:p>
  </w:footnote>
  <w:footnote w:id="7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مائده، آیه ۸۹.</w:t>
      </w:r>
    </w:p>
  </w:footnote>
  <w:footnote w:id="7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کلینی، الکافی، چاپ اسلامیه، ج ۲، صص ۲۹۰–۲۹۱، باب «اصول الکفر و ارکانه»، حدیث ۸؛ متن برخط: </w:t>
      </w:r>
      <w:r>
        <w:rPr>
          <w:rFonts w:ascii="Times New Roman" w:hAnsi="Times New Roman" w:cs="B Nazanin" w:eastAsia="B Nazanin"/>
          <w:b w:val="0"/>
          <w:bCs w:val="0"/>
          <w:sz w:val="19"/>
          <w:szCs w:val="19"/>
          <w:rtl w:val="0"/>
          <w:lang w:val="en-US" w:bidi="fa-IR"/>
        </w:rPr>
        <w:t xml:space="preserve">ar.lib.eshia.ir/11005/2/290</w:t>
      </w:r>
      <w:r>
        <w:rPr>
          <w:rFonts w:ascii="B Nazanin" w:hAnsi="B Nazanin" w:cs="B Nazanin" w:eastAsia="B Nazanin"/>
          <w:b w:val="0"/>
          <w:bCs w:val="0"/>
          <w:sz w:val="22"/>
          <w:szCs w:val="22"/>
          <w:rtl w:val="1"/>
          <w:lang w:val="fa-IR" w:bidi="fa-IR"/>
        </w:rPr>
        <w:t xml:space="preserve"> و صفحه بعد. نقل حاضر، بخش نخست حدیث است. در طریق، سهل بن زیاد و «عن بعض اصحابه» آمده‌اند؛ از تطبیق عبارت، صحت اصطلاحی سند نتیجه نمی‌شود. لفظ نامنطبق نسخه اولیه جایگزین شد.</w:t>
      </w:r>
    </w:p>
  </w:footnote>
  <w:footnote w:id="7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ابن‌هشام، السیرة النبویة، ماجرای هجرت و میثاق مدینه (مشخصات چاپ، نیازمند بررسی منبع اصلی است).</w:t>
      </w:r>
    </w:p>
  </w:footnote>
  <w:footnote w:id="7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ابن‌هشام، السیرة النبویة، ماجرای نجران (مشخصات چاپ، نیازمند بررسی منبع اصلی است).</w:t>
      </w:r>
    </w:p>
  </w:footnote>
  <w:footnote w:id="7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نجفی، جواهر الکلام، ج ۲۱، صص ۲۹۹ و ۳۱۳. بحث شرط اختیار نقض، نباید از لزوم وفای به هدنه معتبر و احترام جانشین به آن جدا شود.</w:t>
      </w:r>
    </w:p>
  </w:footnote>
  <w:footnote w:id="7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خمینی، تحریر الوسیله، کتاب امر به معروف و نهی از منکر، مباحث دفاع؛ شماره مسئله و چاپِ ناظر به ادعای معین باید تکمیل شود. ارجاع به عنوان کلی «کتاب الجهاد» در نسخه اولیه برای نسبت دادن حکم هدنه معتبر نبود.</w:t>
      </w:r>
    </w:p>
  </w:footnote>
  <w:footnote w:id="7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انصاری، المکاسب، مباحث لزوم عقد؛ نشانی چاپ و موضع دقیق نیازمند تکمیل است. از مباحث عمومی عقود، فتوای صریح درباره همه معاهدات جدید به مؤلف نسبت داده نمی‌شود.</w:t>
      </w:r>
    </w:p>
  </w:footnote>
  <w:footnote w:id="7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راغب اصفهانی، حسین بن محمد، مفردات الفاظ القرآن، ماده «عهد» (مشخصات چاپ، نیازمند بررسی منبع اصلی است).</w:t>
      </w:r>
    </w:p>
  </w:footnote>
  <w:footnote w:id="8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راغب اصفهانی، حسین بن محمد، مفردات الفاظ القرآن، ماده «عقد» (مشخصات چاپ، نیازمند بررسی منبع اصلی است).</w:t>
      </w:r>
    </w:p>
  </w:footnote>
  <w:footnote w:id="8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راغب اصفهانی، حسین بن محمد، مفردات الفاظ القرآن، ماده «وثق» (مشخصات چاپ، نیازمند بررسی منبع اصلی است).</w:t>
      </w:r>
    </w:p>
  </w:footnote>
  <w:footnote w:id="8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آل‌عمران، آیه ۹.</w:t>
      </w:r>
    </w:p>
  </w:footnote>
  <w:footnote w:id="8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برای تفکیک تعارض و تزاحم، مباحث اصولی مربوط در کفایة الاصول و فوائد الاصول قابل مراجعه‌اند؛ چاپ، صفحه و تقریر باید تعیین شوند. معرفی عنوان کلی، به معنای تطبیق تفصیلی آن منابع یا انتساب تمام تحلیل متن به آن‌ها نیست.</w:t>
      </w:r>
    </w:p>
  </w:footnote>
  <w:footnote w:id="8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خمینی، سیدروح‌الله، صحیفه امام، ج ۲۰، صص ۴۵۱–۴۵۲، نامه به آقای خامنه‌ای، ۱۶ دی ۱۳۶۶؛ متن رسمی: </w:t>
      </w:r>
      <w:r>
        <w:rPr>
          <w:rFonts w:ascii="Times New Roman" w:hAnsi="Times New Roman" w:cs="B Nazanin" w:eastAsia="B Nazanin"/>
          <w:b w:val="0"/>
          <w:bCs w:val="0"/>
          <w:sz w:val="19"/>
          <w:szCs w:val="19"/>
          <w:rtl w:val="0"/>
          <w:lang w:val="en-US" w:bidi="fa-IR"/>
        </w:rPr>
        <w:t xml:space="preserve">farsi.rouhollah.ir/library/sahifeh-imam-khomeini/vol/20/title/233</w:t>
      </w:r>
      <w:r>
        <w:rPr>
          <w:rFonts w:ascii="B Nazanin" w:hAnsi="B Nazanin" w:cs="B Nazanin" w:eastAsia="B Nazanin"/>
          <w:b w:val="0"/>
          <w:bCs w:val="0"/>
          <w:sz w:val="22"/>
          <w:szCs w:val="22"/>
          <w:rtl w:val="1"/>
          <w:lang w:val="fa-IR" w:bidi="fa-IR"/>
        </w:rPr>
        <w:t xml:space="preserve">. انتساب این عبارت به نامه آقای قدیری در نسخه اولیه نادرست بود. تعبیر قرارداد در متن، ناظر به قرارداد حکومت با مردم است و تسری به معاهده دولت‌ها به استدلال نیاز دارد.</w:t>
      </w:r>
    </w:p>
  </w:footnote>
  <w:footnote w:id="8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کلینی، الکافی، چاپ اسلامیه، ج ۵، صص ۲۹۲–۲۹۳، کتاب المعیشة، باب «الضرار»، حدیث ۲، روایت زراره از امام باقر علیه‌السلام در قضیه سمره؛ متن برخط: </w:t>
      </w:r>
      <w:r>
        <w:rPr>
          <w:rFonts w:ascii="Times New Roman" w:hAnsi="Times New Roman" w:cs="B Nazanin" w:eastAsia="B Nazanin"/>
          <w:b w:val="0"/>
          <w:bCs w:val="0"/>
          <w:sz w:val="19"/>
          <w:szCs w:val="19"/>
          <w:rtl w:val="0"/>
          <w:lang w:val="en-US" w:bidi="fa-IR"/>
        </w:rPr>
        <w:t xml:space="preserve">ar.lib.eshia.ir/11005/5/292</w:t>
      </w:r>
      <w:r>
        <w:rPr>
          <w:rFonts w:ascii="B Nazanin" w:hAnsi="B Nazanin" w:cs="B Nazanin" w:eastAsia="B Nazanin"/>
          <w:b w:val="0"/>
          <w:bCs w:val="0"/>
          <w:sz w:val="22"/>
          <w:szCs w:val="22"/>
          <w:rtl w:val="1"/>
          <w:lang w:val="fa-IR" w:bidi="fa-IR"/>
        </w:rPr>
        <w:t xml:space="preserve"> و صفحه بعد. عبارت این طریق «لا ضرر و لا ضرار» است و «فی الاسلام» در این موضع نیامده است.</w:t>
      </w:r>
    </w:p>
  </w:footnote>
  <w:footnote w:id="8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سوره حج، آیه ۷۸.</w:t>
      </w:r>
    </w:p>
  </w:footnote>
  <w:footnote w:id="8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برای تبیین جایگاه حکومت در مبنای امام خمینی، صحیفه امام، ج ۲۰، صص ۴۵۱–۴۵۲. کلیت اهمیت حکومت، به‌تنهایی صغرا و اهمّیت هر تصمیم معاهده‌ای را اثبات نمی‌کند.</w:t>
      </w:r>
    </w:p>
  </w:footnote>
  <w:footnote w:id="8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نراقی، ملا احمد، عوائد الایام، عائده ولایت فقیه (مشخصات چاپ و نشانی دقیق، نیازمند بررسی منبع اصلی است).</w:t>
      </w:r>
    </w:p>
  </w:footnote>
  <w:footnote w:id="8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میرزای نائینی، محمدحسین، تنبیه الامه و تنزیه المله، تهران (مشخصات چاپ، نیازمند بررسی منبع اصلی است).</w:t>
      </w:r>
    </w:p>
  </w:footnote>
  <w:footnote w:id="9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امام خمینی، سیدروح‌الله، ولایت فقیه (حکومت اسلامی) (مشخصات چاپ، نیازمند بررسی منبع اصلی است).</w:t>
      </w:r>
    </w:p>
  </w:footnote>
  <w:footnote w:id="9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خمینی، صحیفه امام، ج ۲۰، صص ۴۵۱–۴۵۲، نامه ۱۶ دی ۱۳۶۶ به آقای خامنه‌ای؛ مأخذ برخط در پاورقیِ بحث حکم حکومتی معرفی شده است. نامه آقای قدیری، مأخذ عبارت مورد بحث نیست.</w:t>
      </w:r>
    </w:p>
  </w:footnote>
  <w:footnote w:id="9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ر.ک: شیخ مفید، محمد بن محمد، الارشاد، احوال امام حسن؛ و طبری، محمد بن جریر، تاریخ الامم و الملوک، حوادث سال ۴۱ (مشخصات چاپ، نیازمند بررسی منبع اصلی است).</w:t>
      </w:r>
    </w:p>
  </w:footnote>
  <w:footnote w:id="9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در مباحث اصولی تزاحم، صورت‌های احراز و احتمال اهمیت باید تفکیک شوند. ارجاع کلی نسخه اولیه به کفایه و فوائد، برای نسبت دادن حکم بی‌قید به مشهور کافی نیست؛ موضع و تقریر مورد استفاده باید تکمیل شود.</w:t>
      </w:r>
    </w:p>
  </w:footnote>
  <w:footnote w:id="9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کمیسیون حقوق بین‌الملل، گزارش ۲۰۰۱، </w:t>
      </w:r>
      <w:r>
        <w:rPr>
          <w:rFonts w:ascii="Times New Roman" w:hAnsi="Times New Roman" w:cs="B Nazanin" w:eastAsia="B Nazanin"/>
          <w:b w:val="0"/>
          <w:bCs w:val="0"/>
          <w:sz w:val="19"/>
          <w:szCs w:val="19"/>
          <w:rtl w:val="0"/>
          <w:lang w:val="en-US" w:bidi="fa-IR"/>
        </w:rPr>
        <w:t xml:space="preserve">A/56/10</w:t>
      </w:r>
      <w:r>
        <w:rPr>
          <w:rFonts w:ascii="B Nazanin" w:hAnsi="B Nazanin" w:cs="B Nazanin" w:eastAsia="B Nazanin"/>
          <w:b w:val="0"/>
          <w:bCs w:val="0"/>
          <w:sz w:val="22"/>
          <w:szCs w:val="22"/>
          <w:rtl w:val="1"/>
          <w:lang w:val="fa-IR" w:bidi="fa-IR"/>
        </w:rPr>
        <w:t xml:space="preserve">، فصل چهارم؛ قطعنامه مجمع عمومی 56/83، ضمیمه؛ متن مواد: </w:t>
      </w:r>
      <w:r>
        <w:rPr>
          <w:rFonts w:ascii="Times New Roman" w:hAnsi="Times New Roman" w:cs="B Nazanin" w:eastAsia="B Nazanin"/>
          <w:b w:val="0"/>
          <w:bCs w:val="0"/>
          <w:sz w:val="19"/>
          <w:szCs w:val="19"/>
          <w:rtl w:val="0"/>
          <w:lang w:val="en-US" w:bidi="fa-IR"/>
        </w:rPr>
        <w:t xml:space="preserve">legal.un.org/ilc/texts/instruments/english/draft_articles/9_6_2001.pdf</w:t>
      </w:r>
      <w:r>
        <w:rPr>
          <w:rFonts w:ascii="B Nazanin" w:hAnsi="B Nazanin" w:cs="B Nazanin" w:eastAsia="B Nazanin"/>
          <w:b w:val="0"/>
          <w:bCs w:val="0"/>
          <w:sz w:val="22"/>
          <w:szCs w:val="22"/>
          <w:rtl w:val="1"/>
          <w:lang w:val="fa-IR" w:bidi="fa-IR"/>
        </w:rPr>
        <w:t xml:space="preserve">. این متن ۵۹ ماده دارد و به خودی خود کنوانسیون نیست.</w:t>
      </w:r>
    </w:p>
  </w:footnote>
  <w:footnote w:id="9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دیوان بین‌المللی دادگستری، فعالیت‌های نظامی و شبه‌نظامی در نیکاراگوئه و علیه آن، رأی ماهوی ۲۷ ژوئن ۱۹۸۶؛ بحث شرط مربوط به معاهدات چندجانبه و استقلال قواعد عرفی از تعهد قراردادی. برای نقل مستقیم یا شماره بند خاص، متن کامل رأی باید تطبیق شود.</w:t>
      </w:r>
    </w:p>
  </w:footnote>
  <w:footnote w:id="9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طرح مواد مسئولیت بین‌المللی دولت‌ها، مواد ۱ و ۲.</w:t>
      </w:r>
    </w:p>
  </w:footnote>
  <w:footnote w:id="9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طرح مواد مسئولیت بین‌المللی دولت‌ها، ماده ۴.</w:t>
      </w:r>
    </w:p>
  </w:footnote>
  <w:footnote w:id="9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طرح مواد مسئولیت بین‌المللی دولت‌ها، ماده ۷.</w:t>
      </w:r>
    </w:p>
  </w:footnote>
  <w:footnote w:id="9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طرح مواد مسئولیت بین‌المللی دولت‌ها، ماده ۸.</w:t>
      </w:r>
    </w:p>
  </w:footnote>
  <w:footnote w:id="10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طرح مواد مسئولیت بین‌المللی دولت‌ها، ماده ۱۱.</w:t>
      </w:r>
    </w:p>
  </w:footnote>
  <w:footnote w:id="10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دیوان بین‌المللی دادگستری، کارکنان دیپلماتیک و کنسولی ایالات متحده در تهران، رأی ۲۴ مه ۱۹۸۰؛ بحث انتساب حمله اولیه، قصور دولت در حفاظت و پذیرش و تداوم رفتار. شماره بند دقیقِ هر نقل باید با متن کامل رأی تطبیق داده شود.</w:t>
      </w:r>
    </w:p>
  </w:footnote>
  <w:footnote w:id="10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مواد مسئولیت، مواد ۱۲ و ۱۳؛ شرط زمانیِ لازم‌الاجرا بودن تعهد از تعریف عدم انطباق متمایز است.</w:t>
      </w:r>
    </w:p>
  </w:footnote>
  <w:footnote w:id="10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طرح مواد مسئولیت بین‌المللی دولت‌ها، مواد ۱۴ و ۱۵ (به‌اجمال).</w:t>
      </w:r>
    </w:p>
  </w:footnote>
  <w:footnote w:id="10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کنوانسیون وین، ماده ۲۷؛ مواد مسئولیت، ماده ۳۲. دومی به تعهدات ناشی از مسئولیت مربوط است.</w:t>
      </w:r>
    </w:p>
  </w:footnote>
  <w:footnote w:id="10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مواد مسئولیت، مواد ۲۰ تا ۲۷؛ به‌ویژه ماده ۲۷ درباره اجرای تعهد پس از زوال سبب و محفوظ ماندن مسئله جبران زیان مادی.</w:t>
      </w:r>
    </w:p>
  </w:footnote>
  <w:footnote w:id="10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مواد مسئولیت، ماده ۲۵؛ نیز گابچیکوو ـ ناگیماروش، رأی ۲۵ سپتامبر ۱۹۹۷، خلاصه منتشرشده در پایگاه دیوان، بخش ضرورت و بخش مربوط به بندهای ۸۹–۱۱۵. در رأی ۱۹۹۷، شماره ماده پیش‌نویس قدیم ۳۳ است؛ نباید شماره ماده نهایی ۲۵ به زمان رأی نسبت داده شود.</w:t>
      </w:r>
    </w:p>
  </w:footnote>
  <w:footnote w:id="10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مواد مسئولیت، مواد ۲۲ و ۴۹ تا ۵۳؛ برای تفکیک با اثر نقض اساسی بر معاهده، ماده ۶۰ وین. ماده ۵۴ متضمن شرط محفوظ درباره اقدامات دیگر دولت‌هاست، نه تکرار بی‌قید مجوز ماده ۴۹.</w:t>
      </w:r>
    </w:p>
  </w:footnote>
  <w:footnote w:id="10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طرح مواد مسئولیت بین‌المللی دولت‌ها، ماده ۲۳.</w:t>
      </w:r>
    </w:p>
  </w:footnote>
  <w:footnote w:id="10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مواد مسئولیت، مواد ۲۶ و ۵۰. غیرقابل عدول بودن تعهد ناشی از قاعده آمره و محدودیت‌های اقدام متقابل باید جداگانه بررسی شوند.</w:t>
      </w:r>
    </w:p>
  </w:footnote>
  <w:footnote w:id="11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طرح مواد مسئولیت بین‌المللی دولت‌ها، مواد ۳۰، ۳۱ و ۳۴ تا ۳۷.</w:t>
      </w:r>
    </w:p>
  </w:footnote>
  <w:footnote w:id="11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مواد ۷۰ و ۷۲.</w:t>
      </w:r>
    </w:p>
  </w:footnote>
  <w:footnote w:id="11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مواد ۱۹ تا ۲۳.</w:t>
      </w:r>
    </w:p>
  </w:footnote>
  <w:footnote w:id="11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مواد مسئولیت، مواد ۴۹ تا ۵۳؛ به‌ویژه ۵۰ درباره محدودیت‌ها، ۵۱ درباره تناسب، بند ۲ ماده ۵۲ درباره اقدام فوری و ۵۳ درباره پایان اقدام پس از انجام تعهدات مسئولیت.</w:t>
      </w:r>
    </w:p>
  </w:footnote>
  <w:footnote w:id="11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دیوان دائمی دادگستری بین‌المللی، کارخانه کورزو، رأی ماهوی ۱۳ سپتامبر ۱۹۲۸، مجموعه </w:t>
      </w:r>
      <w:r>
        <w:rPr>
          <w:rFonts w:ascii="Times New Roman" w:hAnsi="Times New Roman" w:cs="B Nazanin" w:eastAsia="B Nazanin"/>
          <w:b w:val="0"/>
          <w:bCs w:val="0"/>
          <w:sz w:val="19"/>
          <w:szCs w:val="19"/>
          <w:rtl w:val="0"/>
          <w:lang w:val="en-US" w:bidi="fa-IR"/>
        </w:rPr>
        <w:t xml:space="preserve">A</w:t>
      </w:r>
      <w:r>
        <w:rPr>
          <w:rFonts w:ascii="B Nazanin" w:hAnsi="B Nazanin" w:cs="B Nazanin" w:eastAsia="B Nazanin"/>
          <w:b w:val="0"/>
          <w:bCs w:val="0"/>
          <w:sz w:val="22"/>
          <w:szCs w:val="22"/>
          <w:rtl w:val="1"/>
          <w:lang w:val="fa-IR" w:bidi="fa-IR"/>
        </w:rPr>
        <w:t xml:space="preserve">، شماره ۱۷، ص ۴۷؛ اصل جبران با توجه به وضعیت فرضیِ نبود عمل متخلفانه. نقل متن در این رساله، بیان مضمون است؛ برای نقل لفظی، نسخه رأی باید مقابله شود.</w:t>
      </w:r>
    </w:p>
  </w:footnote>
  <w:footnote w:id="11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اساسنامه دیوان بین‌المللی دادگستری، ماده ۳۶ (به‌اجمال).</w:t>
      </w:r>
    </w:p>
  </w:footnote>
  <w:footnote w:id="11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منشور ملل متحد، مواد ۲۵ و ۳۳ تا ۵۱؛ صلاحیت سیاسی و اجرایی شورای امنیت با صلاحیت قضایی دیوان یکسان نیست.</w:t>
      </w:r>
    </w:p>
  </w:footnote>
  <w:footnote w:id="11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موافقت‌نامه پاریس، ماده ۲۸؛ پیمان نیروهای هسته‌ای میان‌برد، ماده </w:t>
      </w:r>
      <w:r>
        <w:rPr>
          <w:rFonts w:ascii="Times New Roman" w:hAnsi="Times New Roman" w:cs="B Nazanin" w:eastAsia="B Nazanin"/>
          <w:b w:val="0"/>
          <w:bCs w:val="0"/>
          <w:sz w:val="19"/>
          <w:szCs w:val="19"/>
          <w:rtl w:val="0"/>
          <w:lang w:val="en-US" w:bidi="fa-IR"/>
        </w:rPr>
        <w:t xml:space="preserve">XV</w:t>
      </w:r>
      <w:r>
        <w:rPr>
          <w:rFonts w:ascii="B Nazanin" w:hAnsi="B Nazanin" w:cs="B Nazanin" w:eastAsia="B Nazanin"/>
          <w:b w:val="0"/>
          <w:bCs w:val="0"/>
          <w:sz w:val="22"/>
          <w:szCs w:val="22"/>
          <w:rtl w:val="1"/>
          <w:lang w:val="fa-IR" w:bidi="fa-IR"/>
        </w:rPr>
        <w:t xml:space="preserve">؛ برجام، بندهای ۳۶ و ۳۷، و قطعنامه ۲۲۳۱. این بند نمونه‌ها را برای تفکیک نهادها معرفی می‌کند؛ بررسی کامل اسناد اخطار و دعوای اعتبار هر اقدام در این رساله انجام نشده است.</w:t>
      </w:r>
    </w:p>
  </w:footnote>
  <w:footnote w:id="11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اساسنامه رم، ماده ۱۲۷؛ مجموعه معاهدات ملل متحد، فصل </w:t>
      </w:r>
      <w:r>
        <w:rPr>
          <w:rFonts w:ascii="Times New Roman" w:hAnsi="Times New Roman" w:cs="B Nazanin" w:eastAsia="B Nazanin"/>
          <w:b w:val="0"/>
          <w:bCs w:val="0"/>
          <w:sz w:val="19"/>
          <w:szCs w:val="19"/>
          <w:rtl w:val="0"/>
          <w:lang w:val="en-US" w:bidi="fa-IR"/>
        </w:rPr>
        <w:t xml:space="preserve">XVIII</w:t>
      </w:r>
      <w:r>
        <w:rPr>
          <w:rFonts w:ascii="B Nazanin" w:hAnsi="B Nazanin" w:cs="B Nazanin" w:eastAsia="B Nazanin"/>
          <w:b w:val="0"/>
          <w:bCs w:val="0"/>
          <w:sz w:val="22"/>
          <w:szCs w:val="22"/>
          <w:rtl w:val="1"/>
          <w:lang w:val="fa-IR" w:bidi="fa-IR"/>
        </w:rPr>
        <w:t xml:space="preserve">، شماره ۱۰، یادداشت پایانی ۲: اخطار بوروندی در ۲۷ اکتبر ۲۰۱۶ و اثر خروج در ۲۷ اکتبر ۲۰۱۷؛ اخطارهای گامبیا و آفریقای جنوبی پس گرفته شدند. مرجع: </w:t>
      </w:r>
      <w:r>
        <w:rPr>
          <w:rFonts w:ascii="Times New Roman" w:hAnsi="Times New Roman" w:cs="B Nazanin" w:eastAsia="B Nazanin"/>
          <w:b w:val="0"/>
          <w:bCs w:val="0"/>
          <w:sz w:val="19"/>
          <w:szCs w:val="19"/>
          <w:rtl w:val="0"/>
          <w:lang w:val="en-US" w:bidi="fa-IR"/>
        </w:rPr>
        <w:t xml:space="preserve">treaties.un.org</w:t>
      </w:r>
      <w:r>
        <w:rPr>
          <w:rFonts w:ascii="B Nazanin" w:hAnsi="B Nazanin" w:cs="B Nazanin" w:eastAsia="B Nazanin"/>
          <w:b w:val="0"/>
          <w:bCs w:val="0"/>
          <w:sz w:val="22"/>
          <w:szCs w:val="22"/>
          <w:rtl w:val="1"/>
          <w:lang w:val="fa-IR" w:bidi="fa-IR"/>
        </w:rPr>
        <w:t xml:space="preserve">، مدخل </w:t>
      </w:r>
      <w:r>
        <w:rPr>
          <w:rFonts w:ascii="Times New Roman" w:hAnsi="Times New Roman" w:cs="B Nazanin" w:eastAsia="B Nazanin"/>
          <w:b w:val="0"/>
          <w:bCs w:val="0"/>
          <w:sz w:val="19"/>
          <w:szCs w:val="19"/>
          <w:rtl w:val="0"/>
          <w:lang w:val="en-US" w:bidi="fa-IR"/>
        </w:rPr>
        <w:t xml:space="preserve">Rome Statute of the International Criminal Court</w:t>
      </w:r>
      <w:r>
        <w:rPr>
          <w:rFonts w:ascii="B Nazanin" w:hAnsi="B Nazanin" w:cs="B Nazanin" w:eastAsia="B Nazanin"/>
          <w:b w:val="0"/>
          <w:bCs w:val="0"/>
          <w:sz w:val="22"/>
          <w:szCs w:val="22"/>
          <w:rtl w:val="1"/>
          <w:lang w:val="fa-IR" w:bidi="fa-IR"/>
        </w:rPr>
        <w:t xml:space="preserve">؛ مراجعه ۲۱ سپتامبر ۲۰۲۶.</w:t>
      </w:r>
    </w:p>
  </w:footnote>
  <w:footnote w:id="11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معاهده اتحادیه اروپا، ماده ۵۰؛ موافقت‌نامه خروج بریتانیا، لازم‌الاجرا از ۱ فوریه ۲۰۲۰. زمان خروج ۳۱ ژانویه ۲۰۲۰، ساعت ۲۳ بریتانیا بود؛ جزئیات فرایند داخلی و ترتیبات گذار، موضوع مطالعه مستقل است.</w:t>
      </w:r>
    </w:p>
  </w:footnote>
  <w:footnote w:id="12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۵.</w:t>
      </w:r>
    </w:p>
  </w:footnote>
  <w:footnote w:id="12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۱۰۷ (به‌اجمال).</w:t>
      </w:r>
    </w:p>
  </w:footnote>
  <w:footnote w:id="12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۱۰۹ (به‌اجمال).</w:t>
      </w:r>
    </w:p>
  </w:footnote>
  <w:footnote w:id="12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۱۱۱ (به‌اجمال).</w:t>
      </w:r>
    </w:p>
  </w:footnote>
  <w:footnote w:id="12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این بند درباره لزوم احراز متن سیاست‌های کلی است و به سیاست ابلاغی خاصی استناد ماهوی نمی‌کند. برای چنین استنادی، عنوان، تاریخ و متن رسمی سند لازم است؛ معرفی کلی پایگاه اطلاع‌رسانی کافی نیست.</w:t>
      </w:r>
    </w:p>
  </w:footnote>
  <w:footnote w:id="12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دو گرایش، به‌صورت تحلیلی و بدون انتساب قطعی به نویسنده خاص صورت‌بندی شده‌اند. مدخل‌های فاقد نویسنده و نشانی دقیق در نسخه اولیه، برای انتساب رأی کافی نبودند. برای پیشینه عمومی، آثار قاضی شریعت‌پناهی و سیدمحمد هاشمی معرفی شده‌اند؛ محل دقیق دیدگاه باید تکمیل شود.</w:t>
      </w:r>
    </w:p>
  </w:footnote>
  <w:footnote w:id="12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۵.</w:t>
      </w:r>
    </w:p>
  </w:footnote>
  <w:footnote w:id="12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۵۷.</w:t>
      </w:r>
    </w:p>
  </w:footnote>
  <w:footnote w:id="12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۷۷.</w:t>
      </w:r>
    </w:p>
  </w:footnote>
  <w:footnote w:id="12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۱۱۰.</w:t>
      </w:r>
    </w:p>
  </w:footnote>
  <w:footnote w:id="13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۱۱۲.</w:t>
      </w:r>
    </w:p>
  </w:footnote>
  <w:footnote w:id="13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۱۲۵.</w:t>
      </w:r>
    </w:p>
  </w:footnote>
  <w:footnote w:id="13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۱۵۲.</w:t>
      </w:r>
    </w:p>
  </w:footnote>
  <w:footnote w:id="13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۱۵۳.</w:t>
      </w:r>
    </w:p>
  </w:footnote>
  <w:footnote w:id="13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۱۵۴.</w:t>
      </w:r>
    </w:p>
  </w:footnote>
  <w:footnote w:id="13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قانون اساسی جمهوری اسلامی ایران، اصل ۱۷۶ (به‌اجمال).</w:t>
      </w:r>
    </w:p>
  </w:footnote>
  <w:footnote w:id="136">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۱.</w:t>
      </w:r>
    </w:p>
  </w:footnote>
  <w:footnote w:id="137">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۲ (به‌اجمال).</w:t>
      </w:r>
    </w:p>
  </w:footnote>
  <w:footnote w:id="138">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۲۶.</w:t>
      </w:r>
    </w:p>
  </w:footnote>
  <w:footnote w:id="139">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۲۷.</w:t>
      </w:r>
    </w:p>
  </w:footnote>
  <w:footnote w:id="140">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۴۶ (به‌اجمال).</w:t>
      </w:r>
    </w:p>
  </w:footnote>
  <w:footnote w:id="141">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ماده ۵۳ (به‌اجمال).</w:t>
      </w:r>
    </w:p>
  </w:footnote>
  <w:footnote w:id="142">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مواد ۵۴ تا ۶۴ (به‌اجمال).</w:t>
      </w:r>
    </w:p>
  </w:footnote>
  <w:footnote w:id="143">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مواد ۶۵ تا ۶۸ (به‌اجمال).</w:t>
      </w:r>
    </w:p>
  </w:footnote>
  <w:footnote w:id="144">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w:t>
      </w:r>
      <w:r>
        <w:rPr>
          <w:rFonts w:ascii="B Nazanin" w:hAnsi="B Nazanin" w:cs="B Nazanin" w:eastAsia="B Nazanin"/>
          <w:b w:val="0"/>
          <w:bCs w:val="0"/>
          <w:sz w:val="22"/>
          <w:szCs w:val="22"/>
          <w:rtl w:val="1"/>
          <w:lang w:val="fa-IR" w:bidi="fa-IR"/>
        </w:rPr>
        <w:t xml:space="preserve">کنوانسیون وین حقوق معاهدات، مواد ۷۰ و ۷۲ (به‌اجمال).</w:t>
      </w:r>
    </w:p>
  </w:footnote>
  <w:footnote w:id="145">
    <w:p>
      <w:pPr>
        <w:widowControl w:val="1"/>
        <w:bidi w:val="1"/>
        <w:spacing w:after="40" w:line="264" w:lineRule="auto" w:before="20"/>
        <w:ind w:firstLine="0" w:right="0" w:left="0"/>
        <w:jc w:val="both"/>
      </w:pPr>
      <w:r>
        <w:rPr>
          <w:rFonts w:ascii="B Nazanin" w:hAnsi="B Nazanin" w:cs="B Nazanin" w:eastAsia="B Nazanin"/>
          <w:b w:val="0"/>
          <w:bCs w:val="0"/>
          <w:sz w:val="18"/>
          <w:szCs w:val="18"/>
          <w:vertAlign w:val="superscript"/>
          <w:rtl w:val="1"/>
          <w:lang w:val="fa-IR" w:bidi="fa-IR"/>
        </w:rPr>
        <w:footnoteRef/>
      </w:r>
      <w:r>
        <w:rPr>
          <w:rFonts w:ascii="B Nazanin" w:hAnsi="B Nazanin" w:cs="B Nazanin" w:eastAsia="B Nazanin"/>
          <w:b w:val="0"/>
          <w:bCs w:val="0"/>
          <w:sz w:val="22"/>
          <w:szCs w:val="22"/>
          <w:rtl w:val="1"/>
          <w:lang w:val="fa-IR" w:bidi="fa-IR"/>
        </w:rPr>
        <w:t xml:space="preserve"> نهج‌البلاغه، نامه ۵۳. بخش‌های وفای به عهد و منع خون ناروا با متن برخط نسخه دارالکتاب اللبنانی، صص ۴۴۲–۴۴۳ تطبیق شدند؛ نقل‌های دیگر این پیوست نیازمند مقابله نهایی با نسخه منتخب نگارنده‌اند. ترجمه‌های فارسی، توضیحی‌اند و به فیض‌الاسلام یا مترجم دیگر نسبت داده نمی‌شوند.</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Bdr>
        <w:bottom w:val="single" w:sz="4" w:space="6" w:color="CAD3DD"/>
      </w:pBdr>
      <w:bidi w:val="1"/>
      <w:spacing w:before="0" w:after="40" w:line="336" w:lineRule="auto"/>
      <w:jc w:val="start"/>
    </w:pPr>
    <w:r>
      <w:rPr>
        <w:rFonts w:ascii="B Nazanin" w:hAnsi="B Nazanin" w:cs="B Nazanin" w:eastAsia="B Nazanin"/>
        <w:color w:val="52616F"/>
        <w:sz w:val="20"/>
        <w:szCs w:val="20"/>
        <w:rtl w:val="1"/>
        <w:lang w:val="fa-IR" w:bidi="fa-IR"/>
      </w:rPr>
    </w:r>
    <w:r>
      <w:rPr>
        <w:rFonts w:ascii="B Nazanin" w:hAnsi="B Nazanin" w:cs="B Nazanin" w:eastAsia="B Nazanin"/>
        <w:b w:val="0"/>
        <w:i w:val="0"/>
        <w:color w:val="52616F"/>
        <w:sz w:val="20"/>
        <w:szCs w:val="20"/>
        <w:rtl w:val="1"/>
        <w:lang w:val="fa-IR" w:bidi="fa-IR"/>
      </w:rPr>
      <w:fldChar w:fldCharType="begin"/>
    </w:r>
    <w:r>
      <w:rPr>
        <w:rFonts w:ascii="B Nazanin" w:hAnsi="B Nazanin" w:cs="B Nazanin" w:eastAsia="B Nazanin"/>
        <w:b w:val="0"/>
        <w:i w:val="0"/>
        <w:color w:val="52616F"/>
        <w:sz w:val="20"/>
        <w:szCs w:val="20"/>
        <w:rtl w:val="1"/>
        <w:lang w:val="fa-IR" w:bidi="fa-IR"/>
      </w:rPr>
      <w:instrText xml:space="preserve">STYLEREF "TH-Fasl" \* MERGEFORMAT</w:instrText>
    </w:r>
    <w:r>
      <w:rPr>
        <w:rFonts w:ascii="B Nazanin" w:hAnsi="B Nazanin" w:cs="B Nazanin" w:eastAsia="B Nazanin"/>
        <w:b w:val="0"/>
        <w:i w:val="0"/>
        <w:color w:val="52616F"/>
        <w:sz w:val="20"/>
        <w:szCs w:val="20"/>
        <w:rtl w:val="1"/>
        <w:lang w:val="fa-IR" w:bidi="fa-IR"/>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 Nazanin" w:hAnsi="B Nazanin" w:cs="B Nazanin" w:eastAsia="B Nazanin"/>
        <w:sz w:val="28"/>
        <w:szCs w:val="28"/>
        <w:rtl w:val="1"/>
        <w:lang w:val="fa-IR"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1"/>
      <w:bidi w:val="1"/>
      <w:spacing w:before="0" w:after="120" w:line="336" w:lineRule="auto"/>
      <w:ind w:firstLine="283"/>
      <w:jc w:val="both"/>
    </w:pPr>
    <w:rPr>
      <w:rFonts w:ascii="B Nazanin" w:hAnsi="B Nazanin" w:cs="B Nazanin" w:eastAsia="B Nazanin"/>
      <w:sz w:val="28"/>
      <w:szCs w:val="28"/>
      <w:rtl w:val="1"/>
      <w:lang w:val="fa-IR"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B Nazanin" w:hAnsi="B Nazanin" w:cs="B Nazanin" w:eastAsia="B Nazanin"/>
      <w:sz w:val="20"/>
      <w:szCs w:val="20"/>
      <w:rtl w:val="1"/>
      <w:lang w:val="fa-IR" w:bidi="fa-IR"/>
    </w:rPr>
  </w:style>
  <w:style w:type="character" w:customStyle="1" w:styleId="HeaderChar">
    <w:name w:val="Header Char"/>
    <w:basedOn w:val="DefaultParagraphFont"/>
    <w:link w:val="Header"/>
    <w:uiPriority w:val="99"/>
    <w:rsid w:val="00E618BF"/>
    <w:rPr>
      <w:rFonts w:ascii="B Nazanin" w:hAnsi="B Nazanin" w:cs="B Nazanin" w:eastAsia="B Nazanin"/>
      <w:rtl w:val="1"/>
      <w:lang w:val="fa-IR" w:bidi="fa-I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B Nazanin" w:hAnsi="B Nazanin" w:cs="B Nazanin" w:eastAsia="B Nazanin"/>
      <w:sz w:val="22"/>
      <w:szCs w:val="22"/>
      <w:rtl w:val="1"/>
      <w:lang w:val="fa-IR" w:bidi="fa-IR"/>
    </w:rPr>
  </w:style>
  <w:style w:type="character" w:customStyle="1" w:styleId="FooterChar">
    <w:name w:val="Footer Char"/>
    <w:basedOn w:val="DefaultParagraphFont"/>
    <w:link w:val="Footer"/>
    <w:uiPriority w:val="99"/>
    <w:rsid w:val="00E618BF"/>
    <w:rPr>
      <w:rFonts w:ascii="B Nazanin" w:hAnsi="B Nazanin" w:cs="B Nazanin" w:eastAsia="B Nazanin"/>
      <w:rtl w:val="1"/>
      <w:lang w:val="fa-IR" w:bidi="fa-IR"/>
    </w:rPr>
  </w:style>
  <w:style w:type="paragraph" w:styleId="Heading1">
    <w:name w:val="heading 1"/>
    <w:basedOn w:val="Normal"/>
    <w:next w:val="Normal"/>
    <w:link w:val="Heading1Char"/>
    <w:uiPriority w:val="9"/>
    <w:qFormat/>
    <w:rsid w:val="00FC693F"/>
    <w:pPr>
      <w:keepNext/>
      <w:keepLines/>
      <w:spacing w:before="480" w:after="0"/>
      <w:outlineLvl w:val="0"/>
    </w:pPr>
    <w:rPr>
      <w:rFonts w:ascii="B Nazanin" w:hAnsi="B Nazanin" w:cs="B Nazanin" w:eastAsia="B Nazanin"/>
      <w:b/>
      <w:bCs/>
      <w:color w:val="365F91" w:themeColor="accent1" w:themeShade="BF"/>
      <w:sz w:val="28"/>
      <w:szCs w:val="28"/>
      <w:rtl w:val="1"/>
      <w:lang w:val="fa-IR" w:bidi="fa-IR"/>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B Nazanin" w:hAnsi="B Nazanin" w:cs="B Nazanin" w:eastAsia="B Nazanin"/>
      <w:b/>
      <w:bCs/>
      <w:color w:val="4F81BD" w:themeColor="accent1"/>
      <w:sz w:val="26"/>
      <w:szCs w:val="26"/>
      <w:rtl w:val="1"/>
      <w:lang w:val="fa-IR" w:bidi="fa-I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B Nazanin" w:hAnsi="B Nazanin" w:cs="B Nazanin" w:eastAsia="B Nazanin"/>
      <w:b/>
      <w:bCs/>
      <w:color w:val="4F81BD" w:themeColor="accent1"/>
      <w:rtl w:val="1"/>
      <w:lang w:val="fa-IR" w:bidi="fa-I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B Nazanin" w:hAnsi="B Nazanin" w:cs="B Nazanin" w:eastAsia="B Nazanin"/>
      <w:b/>
      <w:bCs/>
      <w:i/>
      <w:iCs/>
      <w:color w:val="4F81BD" w:themeColor="accent1"/>
      <w:rtl w:val="1"/>
      <w:lang w:val="fa-IR" w:bidi="fa-I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B Nazanin" w:hAnsi="B Nazanin" w:cs="B Nazanin" w:eastAsia="B Nazanin"/>
      <w:color w:val="243F60" w:themeColor="accent1" w:themeShade="7F"/>
      <w:rtl w:val="1"/>
      <w:lang w:val="fa-IR" w:bidi="fa-I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B Nazanin" w:hAnsi="B Nazanin" w:cs="B Nazanin" w:eastAsia="B Nazanin"/>
      <w:i/>
      <w:iCs/>
      <w:color w:val="243F60" w:themeColor="accent1" w:themeShade="7F"/>
      <w:rtl w:val="1"/>
      <w:lang w:val="fa-IR" w:bidi="fa-I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B Nazanin" w:hAnsi="B Nazanin" w:cs="B Nazanin" w:eastAsia="B Nazanin"/>
      <w:i/>
      <w:iCs/>
      <w:color w:val="404040" w:themeColor="text1" w:themeTint="BF"/>
      <w:rtl w:val="1"/>
      <w:lang w:val="fa-IR" w:bidi="fa-I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B Nazanin" w:hAnsi="B Nazanin" w:cs="B Nazanin" w:eastAsia="B Nazanin"/>
      <w:color w:val="4F81BD" w:themeColor="accent1"/>
      <w:sz w:val="20"/>
      <w:szCs w:val="20"/>
      <w:rtl w:val="1"/>
      <w:lang w:val="fa-IR" w:bidi="fa-I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B Nazanin" w:hAnsi="B Nazanin" w:cs="B Nazanin" w:eastAsia="B Nazanin"/>
      <w:i/>
      <w:iCs/>
      <w:color w:val="404040" w:themeColor="text1" w:themeTint="BF"/>
      <w:sz w:val="20"/>
      <w:szCs w:val="20"/>
      <w:rtl w:val="1"/>
      <w:lang w:val="fa-IR" w:bidi="fa-IR"/>
    </w:rPr>
  </w:style>
  <w:style w:type="character" w:default="1" w:styleId="DefaultParagraphFont">
    <w:name w:val="Default Paragraph Font"/>
    <w:uiPriority w:val="1"/>
    <w:semiHidden/>
    <w:unhideWhenUsed/>
    <w:rPr>
      <w:rFonts w:ascii="B Nazanin" w:hAnsi="B Nazanin" w:cs="B Nazanin" w:eastAsia="B Nazanin"/>
      <w:rtl w:val="1"/>
      <w:lang w:val="fa-IR" w:bidi="fa-IR"/>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B Nazanin" w:hAnsi="B Nazanin" w:cs="B Nazanin" w:eastAsia="B Nazanin"/>
      <w:rtl w:val="1"/>
      <w:lang w:val="fa-IR" w:bidi="fa-IR"/>
    </w:rPr>
  </w:style>
  <w:style w:type="numbering" w:default="1" w:styleId="NoList">
    <w:name w:val="No List"/>
    <w:uiPriority w:val="99"/>
    <w:semiHidden/>
    <w:unhideWhenUsed/>
    <w:rPr>
      <w:rFonts w:ascii="B Nazanin" w:hAnsi="B Nazanin" w:cs="B Nazanin" w:eastAsia="B Nazanin"/>
      <w:rtl w:val="1"/>
      <w:lang w:val="fa-IR" w:bidi="fa-IR"/>
    </w:rPr>
  </w:style>
  <w:style w:type="paragraph" w:styleId="NoSpacing">
    <w:name w:val="No Spacing"/>
    <w:uiPriority w:val="1"/>
    <w:qFormat/>
    <w:rsid w:val="00FC693F"/>
    <w:pPr>
      <w:spacing w:after="0" w:line="240" w:lineRule="auto"/>
    </w:pPr>
    <w:rPr>
      <w:rFonts w:ascii="B Nazanin" w:hAnsi="B Nazanin" w:cs="B Nazanin" w:eastAsia="B Nazanin"/>
      <w:rtl w:val="1"/>
      <w:lang w:val="fa-IR" w:bidi="fa-IR"/>
    </w:rPr>
  </w:style>
  <w:style w:type="character" w:customStyle="1" w:styleId="Heading1Char">
    <w:name w:val="Heading 1 Char"/>
    <w:basedOn w:val="DefaultParagraphFont"/>
    <w:link w:val="Heading1"/>
    <w:uiPriority w:val="9"/>
    <w:rsid w:val="00FC693F"/>
    <w:rPr>
      <w:rFonts w:ascii="B Nazanin" w:hAnsi="B Nazanin" w:cs="B Nazanin" w:eastAsia="B Nazanin"/>
      <w:b/>
      <w:bCs/>
      <w:color w:val="365F91" w:themeColor="accent1" w:themeShade="BF"/>
      <w:sz w:val="28"/>
      <w:szCs w:val="28"/>
      <w:rtl w:val="1"/>
      <w:lang w:val="fa-IR" w:bidi="fa-IR"/>
    </w:rPr>
  </w:style>
  <w:style w:type="character" w:customStyle="1" w:styleId="Heading2Char">
    <w:name w:val="Heading 2 Char"/>
    <w:basedOn w:val="DefaultParagraphFont"/>
    <w:link w:val="Heading2"/>
    <w:uiPriority w:val="9"/>
    <w:rsid w:val="00FC693F"/>
    <w:rPr>
      <w:rFonts w:ascii="B Nazanin" w:hAnsi="B Nazanin" w:cs="B Nazanin" w:eastAsia="B Nazanin"/>
      <w:b/>
      <w:bCs/>
      <w:color w:val="4F81BD" w:themeColor="accent1"/>
      <w:sz w:val="26"/>
      <w:szCs w:val="26"/>
      <w:rtl w:val="1"/>
      <w:lang w:val="fa-IR" w:bidi="fa-IR"/>
    </w:rPr>
  </w:style>
  <w:style w:type="character" w:customStyle="1" w:styleId="Heading3Char">
    <w:name w:val="Heading 3 Char"/>
    <w:basedOn w:val="DefaultParagraphFont"/>
    <w:link w:val="Heading3"/>
    <w:uiPriority w:val="9"/>
    <w:rsid w:val="00FC693F"/>
    <w:rPr>
      <w:rFonts w:ascii="B Nazanin" w:hAnsi="B Nazanin" w:cs="B Nazanin" w:eastAsia="B Nazanin"/>
      <w:b/>
      <w:bCs/>
      <w:color w:val="4F81BD" w:themeColor="accent1"/>
      <w:rtl w:val="1"/>
      <w:lang w:val="fa-IR" w:bidi="fa-I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B Nazanin" w:hAnsi="B Nazanin" w:cs="B Nazanin" w:eastAsia="B Nazanin"/>
      <w:color w:val="17365D" w:themeColor="text2" w:themeShade="BF"/>
      <w:spacing w:val="5"/>
      <w:kern w:val="28"/>
      <w:sz w:val="52"/>
      <w:szCs w:val="52"/>
      <w:rtl w:val="1"/>
      <w:lang w:val="fa-IR" w:bidi="fa-IR"/>
    </w:rPr>
  </w:style>
  <w:style w:type="character" w:customStyle="1" w:styleId="TitleChar">
    <w:name w:val="Title Char"/>
    <w:basedOn w:val="DefaultParagraphFont"/>
    <w:link w:val="Title"/>
    <w:uiPriority w:val="10"/>
    <w:rsid w:val="00FC693F"/>
    <w:rPr>
      <w:rFonts w:ascii="B Nazanin" w:hAnsi="B Nazanin" w:cs="B Nazanin" w:eastAsia="B Nazanin"/>
      <w:color w:val="17365D" w:themeColor="text2" w:themeShade="BF"/>
      <w:spacing w:val="5"/>
      <w:kern w:val="28"/>
      <w:sz w:val="52"/>
      <w:szCs w:val="52"/>
      <w:rtl w:val="1"/>
      <w:lang w:val="fa-IR" w:bidi="fa-IR"/>
    </w:rPr>
  </w:style>
  <w:style w:type="paragraph" w:styleId="Subtitle">
    <w:name w:val="Subtitle"/>
    <w:basedOn w:val="Normal"/>
    <w:next w:val="Normal"/>
    <w:link w:val="SubtitleChar"/>
    <w:uiPriority w:val="11"/>
    <w:qFormat/>
    <w:rsid w:val="00FC693F"/>
    <w:pPr>
      <w:numPr>
        <w:ilvl w:val="1"/>
      </w:numPr>
    </w:pPr>
    <w:rPr>
      <w:rFonts w:ascii="B Nazanin" w:hAnsi="B Nazanin" w:cs="B Nazanin" w:eastAsia="B Nazanin"/>
      <w:i/>
      <w:iCs/>
      <w:color w:val="4F81BD" w:themeColor="accent1"/>
      <w:spacing w:val="15"/>
      <w:sz w:val="24"/>
      <w:szCs w:val="24"/>
      <w:rtl w:val="1"/>
      <w:lang w:val="fa-IR" w:bidi="fa-IR"/>
    </w:rPr>
  </w:style>
  <w:style w:type="character" w:customStyle="1" w:styleId="SubtitleChar">
    <w:name w:val="Subtitle Char"/>
    <w:basedOn w:val="DefaultParagraphFont"/>
    <w:link w:val="Subtitle"/>
    <w:uiPriority w:val="11"/>
    <w:rsid w:val="00FC693F"/>
    <w:rPr>
      <w:rFonts w:ascii="B Nazanin" w:hAnsi="B Nazanin" w:cs="B Nazanin" w:eastAsia="B Nazanin"/>
      <w:i/>
      <w:iCs/>
      <w:color w:val="4F81BD" w:themeColor="accent1"/>
      <w:spacing w:val="15"/>
      <w:sz w:val="24"/>
      <w:szCs w:val="24"/>
      <w:rtl w:val="1"/>
      <w:lang w:val="fa-IR" w:bidi="fa-IR"/>
    </w:rPr>
  </w:style>
  <w:style w:type="paragraph" w:styleId="ListParagraph">
    <w:name w:val="List Paragraph"/>
    <w:basedOn w:val="Normal"/>
    <w:uiPriority w:val="34"/>
    <w:qFormat/>
    <w:rsid w:val="00FC693F"/>
    <w:pPr>
      <w:ind w:left="720"/>
      <w:contextualSpacing/>
    </w:pPr>
    <w:rPr>
      <w:rFonts w:ascii="B Nazanin" w:hAnsi="B Nazanin" w:cs="B Nazanin" w:eastAsia="B Nazanin"/>
      <w:rtl w:val="1"/>
      <w:lang w:val="fa-IR" w:bidi="fa-IR"/>
    </w:rPr>
  </w:style>
  <w:style w:type="paragraph" w:styleId="BodyText">
    <w:name w:val="Body Text"/>
    <w:basedOn w:val="Normal"/>
    <w:link w:val="BodyTextChar"/>
    <w:uiPriority w:val="99"/>
    <w:unhideWhenUsed/>
    <w:rsid w:val="00AA1D8D"/>
    <w:pPr>
      <w:spacing w:after="120"/>
    </w:pPr>
    <w:rPr>
      <w:rFonts w:ascii="B Nazanin" w:hAnsi="B Nazanin" w:cs="B Nazanin" w:eastAsia="B Nazanin"/>
      <w:rtl w:val="1"/>
      <w:lang w:val="fa-IR" w:bidi="fa-IR"/>
    </w:rPr>
  </w:style>
  <w:style w:type="character" w:customStyle="1" w:styleId="BodyTextChar">
    <w:name w:val="Body Text Char"/>
    <w:basedOn w:val="DefaultParagraphFont"/>
    <w:link w:val="BodyText"/>
    <w:uiPriority w:val="99"/>
    <w:rsid w:val="00AA1D8D"/>
    <w:rPr>
      <w:rFonts w:ascii="B Nazanin" w:hAnsi="B Nazanin" w:cs="B Nazanin" w:eastAsia="B Nazanin"/>
      <w:rtl w:val="1"/>
      <w:lang w:val="fa-IR" w:bidi="fa-IR"/>
    </w:rPr>
  </w:style>
  <w:style w:type="paragraph" w:styleId="BodyText2">
    <w:name w:val="Body Text 2"/>
    <w:basedOn w:val="Normal"/>
    <w:link w:val="BodyText2Char"/>
    <w:uiPriority w:val="99"/>
    <w:unhideWhenUsed/>
    <w:rsid w:val="00AA1D8D"/>
    <w:pPr>
      <w:spacing w:after="120" w:line="480" w:lineRule="auto"/>
    </w:pPr>
    <w:rPr>
      <w:rFonts w:ascii="B Nazanin" w:hAnsi="B Nazanin" w:cs="B Nazanin" w:eastAsia="B Nazanin"/>
      <w:rtl w:val="1"/>
      <w:lang w:val="fa-IR" w:bidi="fa-IR"/>
    </w:rPr>
  </w:style>
  <w:style w:type="character" w:customStyle="1" w:styleId="BodyText2Char">
    <w:name w:val="Body Text 2 Char"/>
    <w:basedOn w:val="DefaultParagraphFont"/>
    <w:link w:val="BodyText2"/>
    <w:uiPriority w:val="99"/>
    <w:rsid w:val="00AA1D8D"/>
    <w:rPr>
      <w:rFonts w:ascii="B Nazanin" w:hAnsi="B Nazanin" w:cs="B Nazanin" w:eastAsia="B Nazanin"/>
      <w:rtl w:val="1"/>
      <w:lang w:val="fa-IR" w:bidi="fa-IR"/>
    </w:rPr>
  </w:style>
  <w:style w:type="paragraph" w:styleId="BodyText3">
    <w:name w:val="Body Text 3"/>
    <w:basedOn w:val="Normal"/>
    <w:link w:val="BodyText3Char"/>
    <w:uiPriority w:val="99"/>
    <w:unhideWhenUsed/>
    <w:rsid w:val="00AA1D8D"/>
    <w:pPr>
      <w:spacing w:after="120"/>
    </w:pPr>
    <w:rPr>
      <w:rFonts w:ascii="B Nazanin" w:hAnsi="B Nazanin" w:cs="B Nazanin" w:eastAsia="B Nazanin"/>
      <w:sz w:val="16"/>
      <w:szCs w:val="16"/>
      <w:rtl w:val="1"/>
      <w:lang w:val="fa-IR" w:bidi="fa-IR"/>
    </w:rPr>
  </w:style>
  <w:style w:type="character" w:customStyle="1" w:styleId="BodyText3Char">
    <w:name w:val="Body Text 3 Char"/>
    <w:basedOn w:val="DefaultParagraphFont"/>
    <w:link w:val="BodyText3"/>
    <w:uiPriority w:val="99"/>
    <w:rsid w:val="00AA1D8D"/>
    <w:rPr>
      <w:rFonts w:ascii="B Nazanin" w:hAnsi="B Nazanin" w:cs="B Nazanin" w:eastAsia="B Nazanin"/>
      <w:sz w:val="16"/>
      <w:szCs w:val="16"/>
      <w:rtl w:val="1"/>
      <w:lang w:val="fa-IR" w:bidi="fa-IR"/>
    </w:rPr>
  </w:style>
  <w:style w:type="paragraph" w:styleId="List">
    <w:name w:val="List"/>
    <w:basedOn w:val="Normal"/>
    <w:uiPriority w:val="99"/>
    <w:unhideWhenUsed/>
    <w:rsid w:val="00AA1D8D"/>
    <w:pPr>
      <w:ind w:left="360" w:hanging="360"/>
      <w:contextualSpacing/>
    </w:pPr>
    <w:rPr>
      <w:rFonts w:ascii="B Nazanin" w:hAnsi="B Nazanin" w:cs="B Nazanin" w:eastAsia="B Nazanin"/>
      <w:rtl w:val="1"/>
      <w:lang w:val="fa-IR" w:bidi="fa-IR"/>
    </w:rPr>
  </w:style>
  <w:style w:type="paragraph" w:styleId="List2">
    <w:name w:val="List 2"/>
    <w:basedOn w:val="Normal"/>
    <w:uiPriority w:val="99"/>
    <w:unhideWhenUsed/>
    <w:rsid w:val="00326F90"/>
    <w:pPr>
      <w:ind w:left="720" w:hanging="360"/>
      <w:contextualSpacing/>
    </w:pPr>
    <w:rPr>
      <w:rFonts w:ascii="B Nazanin" w:hAnsi="B Nazanin" w:cs="B Nazanin" w:eastAsia="B Nazanin"/>
      <w:rtl w:val="1"/>
      <w:lang w:val="fa-IR" w:bidi="fa-IR"/>
    </w:rPr>
  </w:style>
  <w:style w:type="paragraph" w:styleId="List3">
    <w:name w:val="List 3"/>
    <w:basedOn w:val="Normal"/>
    <w:uiPriority w:val="99"/>
    <w:unhideWhenUsed/>
    <w:rsid w:val="00326F90"/>
    <w:pPr>
      <w:ind w:left="1080" w:hanging="360"/>
      <w:contextualSpacing/>
    </w:pPr>
    <w:rPr>
      <w:rFonts w:ascii="B Nazanin" w:hAnsi="B Nazanin" w:cs="B Nazanin" w:eastAsia="B Nazanin"/>
      <w:rtl w:val="1"/>
      <w:lang w:val="fa-IR" w:bidi="fa-IR"/>
    </w:rPr>
  </w:style>
  <w:style w:type="paragraph" w:styleId="ListBullet">
    <w:name w:val="List Bullet"/>
    <w:basedOn w:val="Normal"/>
    <w:uiPriority w:val="99"/>
    <w:unhideWhenUsed/>
    <w:rsid w:val="00326F90"/>
    <w:pPr>
      <w:numPr>
        <w:numId w:val="1"/>
      </w:numPr>
      <w:contextualSpacing/>
    </w:pPr>
    <w:rPr>
      <w:rFonts w:ascii="B Nazanin" w:hAnsi="B Nazanin" w:cs="B Nazanin" w:eastAsia="B Nazanin"/>
      <w:rtl w:val="1"/>
      <w:lang w:val="fa-IR" w:bidi="fa-IR"/>
    </w:rPr>
  </w:style>
  <w:style w:type="paragraph" w:styleId="ListBullet2">
    <w:name w:val="List Bullet 2"/>
    <w:basedOn w:val="Normal"/>
    <w:uiPriority w:val="99"/>
    <w:unhideWhenUsed/>
    <w:rsid w:val="00326F90"/>
    <w:pPr>
      <w:numPr>
        <w:numId w:val="2"/>
      </w:numPr>
      <w:contextualSpacing/>
    </w:pPr>
    <w:rPr>
      <w:rFonts w:ascii="B Nazanin" w:hAnsi="B Nazanin" w:cs="B Nazanin" w:eastAsia="B Nazanin"/>
      <w:rtl w:val="1"/>
      <w:lang w:val="fa-IR" w:bidi="fa-IR"/>
    </w:rPr>
  </w:style>
  <w:style w:type="paragraph" w:styleId="ListBullet3">
    <w:name w:val="List Bullet 3"/>
    <w:basedOn w:val="Normal"/>
    <w:uiPriority w:val="99"/>
    <w:unhideWhenUsed/>
    <w:rsid w:val="00326F90"/>
    <w:pPr>
      <w:numPr>
        <w:numId w:val="3"/>
      </w:numPr>
      <w:contextualSpacing/>
    </w:pPr>
    <w:rPr>
      <w:rFonts w:ascii="B Nazanin" w:hAnsi="B Nazanin" w:cs="B Nazanin" w:eastAsia="B Nazanin"/>
      <w:rtl w:val="1"/>
      <w:lang w:val="fa-IR" w:bidi="fa-IR"/>
    </w:rPr>
  </w:style>
  <w:style w:type="paragraph" w:styleId="ListNumber">
    <w:name w:val="List Number"/>
    <w:basedOn w:val="Normal"/>
    <w:uiPriority w:val="99"/>
    <w:unhideWhenUsed/>
    <w:rsid w:val="00326F90"/>
    <w:pPr>
      <w:numPr>
        <w:numId w:val="5"/>
      </w:numPr>
      <w:contextualSpacing/>
    </w:pPr>
    <w:rPr>
      <w:rFonts w:ascii="B Nazanin" w:hAnsi="B Nazanin" w:cs="B Nazanin" w:eastAsia="B Nazanin"/>
      <w:rtl w:val="1"/>
      <w:lang w:val="fa-IR" w:bidi="fa-IR"/>
    </w:rPr>
  </w:style>
  <w:style w:type="paragraph" w:styleId="ListNumber2">
    <w:name w:val="List Number 2"/>
    <w:basedOn w:val="Normal"/>
    <w:uiPriority w:val="99"/>
    <w:unhideWhenUsed/>
    <w:rsid w:val="0029639D"/>
    <w:pPr>
      <w:numPr>
        <w:numId w:val="6"/>
      </w:numPr>
      <w:contextualSpacing/>
    </w:pPr>
    <w:rPr>
      <w:rFonts w:ascii="B Nazanin" w:hAnsi="B Nazanin" w:cs="B Nazanin" w:eastAsia="B Nazanin"/>
      <w:rtl w:val="1"/>
      <w:lang w:val="fa-IR" w:bidi="fa-IR"/>
    </w:rPr>
  </w:style>
  <w:style w:type="paragraph" w:styleId="ListNumber3">
    <w:name w:val="List Number 3"/>
    <w:basedOn w:val="Normal"/>
    <w:uiPriority w:val="99"/>
    <w:unhideWhenUsed/>
    <w:rsid w:val="0029639D"/>
    <w:pPr>
      <w:numPr>
        <w:numId w:val="7"/>
      </w:numPr>
      <w:contextualSpacing/>
    </w:pPr>
    <w:rPr>
      <w:rFonts w:ascii="B Nazanin" w:hAnsi="B Nazanin" w:cs="B Nazanin" w:eastAsia="B Nazanin"/>
      <w:rtl w:val="1"/>
      <w:lang w:val="fa-IR" w:bidi="fa-IR"/>
    </w:rPr>
  </w:style>
  <w:style w:type="paragraph" w:styleId="ListContinue">
    <w:name w:val="List Continue"/>
    <w:basedOn w:val="Normal"/>
    <w:uiPriority w:val="99"/>
    <w:unhideWhenUsed/>
    <w:rsid w:val="0029639D"/>
    <w:pPr>
      <w:spacing w:after="120"/>
      <w:ind w:left="360"/>
      <w:contextualSpacing/>
    </w:pPr>
    <w:rPr>
      <w:rFonts w:ascii="B Nazanin" w:hAnsi="B Nazanin" w:cs="B Nazanin" w:eastAsia="B Nazanin"/>
      <w:rtl w:val="1"/>
      <w:lang w:val="fa-IR" w:bidi="fa-IR"/>
    </w:rPr>
  </w:style>
  <w:style w:type="paragraph" w:styleId="ListContinue2">
    <w:name w:val="List Continue 2"/>
    <w:basedOn w:val="Normal"/>
    <w:uiPriority w:val="99"/>
    <w:unhideWhenUsed/>
    <w:rsid w:val="0029639D"/>
    <w:pPr>
      <w:spacing w:after="120"/>
      <w:ind w:left="720"/>
      <w:contextualSpacing/>
    </w:pPr>
    <w:rPr>
      <w:rFonts w:ascii="B Nazanin" w:hAnsi="B Nazanin" w:cs="B Nazanin" w:eastAsia="B Nazanin"/>
      <w:rtl w:val="1"/>
      <w:lang w:val="fa-IR" w:bidi="fa-IR"/>
    </w:rPr>
  </w:style>
  <w:style w:type="paragraph" w:styleId="ListContinue3">
    <w:name w:val="List Continue 3"/>
    <w:basedOn w:val="Normal"/>
    <w:uiPriority w:val="99"/>
    <w:unhideWhenUsed/>
    <w:rsid w:val="0029639D"/>
    <w:pPr>
      <w:spacing w:after="120"/>
      <w:ind w:left="1080"/>
      <w:contextualSpacing/>
    </w:pPr>
    <w:rPr>
      <w:rFonts w:ascii="B Nazanin" w:hAnsi="B Nazanin" w:cs="B Nazanin" w:eastAsia="B Nazanin"/>
      <w:rtl w:val="1"/>
      <w:lang w:val="fa-IR" w:bidi="fa-I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B Nazanin" w:hAnsi="B Nazanin" w:cs="B Nazanin" w:eastAsia="B Nazanin"/>
      <w:sz w:val="20"/>
      <w:szCs w:val="20"/>
      <w:rtl w:val="1"/>
      <w:lang w:val="fa-IR" w:bidi="fa-IR"/>
    </w:rPr>
  </w:style>
  <w:style w:type="character" w:customStyle="1" w:styleId="MacroTextChar">
    <w:name w:val="Macro Text Char"/>
    <w:basedOn w:val="DefaultParagraphFont"/>
    <w:link w:val="MacroText"/>
    <w:uiPriority w:val="99"/>
    <w:rsid w:val="0029639D"/>
    <w:rPr>
      <w:rFonts w:ascii="B Nazanin" w:hAnsi="B Nazanin" w:cs="B Nazanin" w:eastAsia="B Nazanin"/>
      <w:sz w:val="20"/>
      <w:szCs w:val="20"/>
      <w:rtl w:val="1"/>
      <w:lang w:val="fa-IR" w:bidi="fa-IR"/>
    </w:rPr>
  </w:style>
  <w:style w:type="paragraph" w:styleId="Quote">
    <w:name w:val="Quote"/>
    <w:basedOn w:val="Normal"/>
    <w:next w:val="Normal"/>
    <w:link w:val="QuoteChar"/>
    <w:uiPriority w:val="29"/>
    <w:qFormat/>
    <w:rsid w:val="00FC693F"/>
    <w:rPr>
      <w:rFonts w:ascii="B Nazanin" w:hAnsi="B Nazanin" w:cs="B Nazanin" w:eastAsia="B Nazanin"/>
      <w:i/>
      <w:iCs/>
      <w:color w:val="000000" w:themeColor="text1"/>
      <w:rtl w:val="1"/>
      <w:lang w:val="fa-IR" w:bidi="fa-IR"/>
    </w:rPr>
  </w:style>
  <w:style w:type="character" w:customStyle="1" w:styleId="QuoteChar">
    <w:name w:val="Quote Char"/>
    <w:basedOn w:val="DefaultParagraphFont"/>
    <w:link w:val="Quote"/>
    <w:uiPriority w:val="29"/>
    <w:rsid w:val="00FC693F"/>
    <w:rPr>
      <w:rFonts w:ascii="B Nazanin" w:hAnsi="B Nazanin" w:cs="B Nazanin" w:eastAsia="B Nazanin"/>
      <w:i/>
      <w:iCs/>
      <w:color w:val="000000" w:themeColor="text1"/>
      <w:rtl w:val="1"/>
      <w:lang w:val="fa-IR" w:bidi="fa-IR"/>
    </w:rPr>
  </w:style>
  <w:style w:type="character" w:customStyle="1" w:styleId="Heading4Char">
    <w:name w:val="Heading 4 Char"/>
    <w:basedOn w:val="DefaultParagraphFont"/>
    <w:link w:val="Heading4"/>
    <w:uiPriority w:val="9"/>
    <w:semiHidden/>
    <w:rsid w:val="00FC693F"/>
    <w:rPr>
      <w:rFonts w:ascii="B Nazanin" w:hAnsi="B Nazanin" w:cs="B Nazanin" w:eastAsia="B Nazanin"/>
      <w:b/>
      <w:bCs/>
      <w:i/>
      <w:iCs/>
      <w:color w:val="4F81BD" w:themeColor="accent1"/>
      <w:rtl w:val="1"/>
      <w:lang w:val="fa-IR" w:bidi="fa-IR"/>
    </w:rPr>
  </w:style>
  <w:style w:type="character" w:customStyle="1" w:styleId="Heading5Char">
    <w:name w:val="Heading 5 Char"/>
    <w:basedOn w:val="DefaultParagraphFont"/>
    <w:link w:val="Heading5"/>
    <w:uiPriority w:val="9"/>
    <w:semiHidden/>
    <w:rsid w:val="00FC693F"/>
    <w:rPr>
      <w:rFonts w:ascii="B Nazanin" w:hAnsi="B Nazanin" w:cs="B Nazanin" w:eastAsia="B Nazanin"/>
      <w:color w:val="243F60" w:themeColor="accent1" w:themeShade="7F"/>
      <w:rtl w:val="1"/>
      <w:lang w:val="fa-IR" w:bidi="fa-IR"/>
    </w:rPr>
  </w:style>
  <w:style w:type="character" w:customStyle="1" w:styleId="Heading6Char">
    <w:name w:val="Heading 6 Char"/>
    <w:basedOn w:val="DefaultParagraphFont"/>
    <w:link w:val="Heading6"/>
    <w:uiPriority w:val="9"/>
    <w:semiHidden/>
    <w:rsid w:val="00FC693F"/>
    <w:rPr>
      <w:rFonts w:ascii="B Nazanin" w:hAnsi="B Nazanin" w:cs="B Nazanin" w:eastAsia="B Nazanin"/>
      <w:i/>
      <w:iCs/>
      <w:color w:val="243F60" w:themeColor="accent1" w:themeShade="7F"/>
      <w:rtl w:val="1"/>
      <w:lang w:val="fa-IR" w:bidi="fa-IR"/>
    </w:rPr>
  </w:style>
  <w:style w:type="character" w:customStyle="1" w:styleId="Heading7Char">
    <w:name w:val="Heading 7 Char"/>
    <w:basedOn w:val="DefaultParagraphFont"/>
    <w:link w:val="Heading7"/>
    <w:uiPriority w:val="9"/>
    <w:semiHidden/>
    <w:rsid w:val="00FC693F"/>
    <w:rPr>
      <w:rFonts w:ascii="B Nazanin" w:hAnsi="B Nazanin" w:cs="B Nazanin" w:eastAsia="B Nazanin"/>
      <w:i/>
      <w:iCs/>
      <w:color w:val="404040" w:themeColor="text1" w:themeTint="BF"/>
      <w:rtl w:val="1"/>
      <w:lang w:val="fa-IR" w:bidi="fa-IR"/>
    </w:rPr>
  </w:style>
  <w:style w:type="character" w:customStyle="1" w:styleId="Heading8Char">
    <w:name w:val="Heading 8 Char"/>
    <w:basedOn w:val="DefaultParagraphFont"/>
    <w:link w:val="Heading8"/>
    <w:uiPriority w:val="9"/>
    <w:semiHidden/>
    <w:rsid w:val="00FC693F"/>
    <w:rPr>
      <w:rFonts w:ascii="B Nazanin" w:hAnsi="B Nazanin" w:cs="B Nazanin" w:eastAsia="B Nazanin"/>
      <w:color w:val="4F81BD" w:themeColor="accent1"/>
      <w:sz w:val="20"/>
      <w:szCs w:val="20"/>
      <w:rtl w:val="1"/>
      <w:lang w:val="fa-IR" w:bidi="fa-IR"/>
    </w:rPr>
  </w:style>
  <w:style w:type="character" w:customStyle="1" w:styleId="Heading9Char">
    <w:name w:val="Heading 9 Char"/>
    <w:basedOn w:val="DefaultParagraphFont"/>
    <w:link w:val="Heading9"/>
    <w:uiPriority w:val="9"/>
    <w:semiHidden/>
    <w:rsid w:val="00FC693F"/>
    <w:rPr>
      <w:rFonts w:ascii="B Nazanin" w:hAnsi="B Nazanin" w:cs="B Nazanin" w:eastAsia="B Nazanin"/>
      <w:i/>
      <w:iCs/>
      <w:color w:val="404040" w:themeColor="text1" w:themeTint="BF"/>
      <w:sz w:val="20"/>
      <w:szCs w:val="20"/>
      <w:rtl w:val="1"/>
      <w:lang w:val="fa-IR" w:bidi="fa-IR"/>
    </w:rPr>
  </w:style>
  <w:style w:type="paragraph" w:styleId="Caption">
    <w:name w:val="caption"/>
    <w:basedOn w:val="Normal"/>
    <w:next w:val="Normal"/>
    <w:uiPriority w:val="35"/>
    <w:semiHidden/>
    <w:unhideWhenUsed/>
    <w:qFormat/>
    <w:rsid w:val="00FC693F"/>
    <w:pPr>
      <w:spacing w:line="240" w:lineRule="auto"/>
    </w:pPr>
    <w:rPr>
      <w:rFonts w:ascii="B Nazanin" w:hAnsi="B Nazanin" w:cs="B Nazanin" w:eastAsia="B Nazanin"/>
      <w:b/>
      <w:bCs/>
      <w:color w:val="4F81BD" w:themeColor="accent1"/>
      <w:sz w:val="18"/>
      <w:szCs w:val="18"/>
      <w:rtl w:val="1"/>
      <w:lang w:val="fa-IR" w:bidi="fa-IR"/>
    </w:rPr>
  </w:style>
  <w:style w:type="character" w:styleId="Strong">
    <w:name w:val="Strong"/>
    <w:basedOn w:val="DefaultParagraphFont"/>
    <w:uiPriority w:val="22"/>
    <w:qFormat/>
    <w:rsid w:val="00FC693F"/>
    <w:rPr>
      <w:rFonts w:ascii="B Nazanin" w:hAnsi="B Nazanin" w:cs="B Nazanin" w:eastAsia="B Nazanin"/>
      <w:b/>
      <w:bCs/>
      <w:rtl w:val="1"/>
      <w:lang w:val="fa-IR" w:bidi="fa-IR"/>
    </w:rPr>
  </w:style>
  <w:style w:type="character" w:styleId="Emphasis">
    <w:name w:val="Emphasis"/>
    <w:basedOn w:val="DefaultParagraphFont"/>
    <w:uiPriority w:val="20"/>
    <w:qFormat/>
    <w:rsid w:val="00FC693F"/>
    <w:rPr>
      <w:rFonts w:ascii="B Nazanin" w:hAnsi="B Nazanin" w:cs="B Nazanin" w:eastAsia="B Nazanin"/>
      <w:i/>
      <w:iCs/>
      <w:rtl w:val="1"/>
      <w:lang w:val="fa-IR" w:bidi="fa-I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B Nazanin" w:hAnsi="B Nazanin" w:cs="B Nazanin" w:eastAsia="B Nazanin"/>
      <w:b/>
      <w:bCs/>
      <w:i/>
      <w:iCs/>
      <w:color w:val="4F81BD" w:themeColor="accent1"/>
      <w:rtl w:val="1"/>
      <w:lang w:val="fa-IR" w:bidi="fa-IR"/>
    </w:rPr>
  </w:style>
  <w:style w:type="character" w:customStyle="1" w:styleId="IntenseQuoteChar">
    <w:name w:val="Intense Quote Char"/>
    <w:basedOn w:val="DefaultParagraphFont"/>
    <w:link w:val="IntenseQuote"/>
    <w:uiPriority w:val="30"/>
    <w:rsid w:val="00FC693F"/>
    <w:rPr>
      <w:rFonts w:ascii="B Nazanin" w:hAnsi="B Nazanin" w:cs="B Nazanin" w:eastAsia="B Nazanin"/>
      <w:b/>
      <w:bCs/>
      <w:i/>
      <w:iCs/>
      <w:color w:val="4F81BD" w:themeColor="accent1"/>
      <w:rtl w:val="1"/>
      <w:lang w:val="fa-IR" w:bidi="fa-IR"/>
    </w:rPr>
  </w:style>
  <w:style w:type="character" w:styleId="SubtleEmphasis">
    <w:name w:val="Subtle Emphasis"/>
    <w:basedOn w:val="DefaultParagraphFont"/>
    <w:uiPriority w:val="19"/>
    <w:qFormat/>
    <w:rsid w:val="00FC693F"/>
    <w:rPr>
      <w:rFonts w:ascii="B Nazanin" w:hAnsi="B Nazanin" w:cs="B Nazanin" w:eastAsia="B Nazanin"/>
      <w:i/>
      <w:iCs/>
      <w:color w:val="808080" w:themeColor="text1" w:themeTint="7F"/>
      <w:rtl w:val="1"/>
      <w:lang w:val="fa-IR" w:bidi="fa-IR"/>
    </w:rPr>
  </w:style>
  <w:style w:type="character" w:styleId="IntenseEmphasis">
    <w:name w:val="Intense Emphasis"/>
    <w:basedOn w:val="DefaultParagraphFont"/>
    <w:uiPriority w:val="21"/>
    <w:qFormat/>
    <w:rsid w:val="00FC693F"/>
    <w:rPr>
      <w:rFonts w:ascii="B Nazanin" w:hAnsi="B Nazanin" w:cs="B Nazanin" w:eastAsia="B Nazanin"/>
      <w:b/>
      <w:bCs/>
      <w:i/>
      <w:iCs/>
      <w:color w:val="4F81BD" w:themeColor="accent1"/>
      <w:rtl w:val="1"/>
      <w:lang w:val="fa-IR" w:bidi="fa-IR"/>
    </w:rPr>
  </w:style>
  <w:style w:type="character" w:styleId="SubtleReference">
    <w:name w:val="Subtle Reference"/>
    <w:basedOn w:val="DefaultParagraphFont"/>
    <w:uiPriority w:val="31"/>
    <w:qFormat/>
    <w:rsid w:val="00FC693F"/>
    <w:rPr>
      <w:rFonts w:ascii="B Nazanin" w:hAnsi="B Nazanin" w:cs="B Nazanin" w:eastAsia="B Nazanin"/>
      <w:smallCaps/>
      <w:color w:val="C0504D" w:themeColor="accent2"/>
      <w:u w:val="single"/>
      <w:rtl w:val="1"/>
      <w:lang w:val="fa-IR" w:bidi="fa-IR"/>
    </w:rPr>
  </w:style>
  <w:style w:type="character" w:styleId="IntenseReference">
    <w:name w:val="Intense Reference"/>
    <w:basedOn w:val="DefaultParagraphFont"/>
    <w:uiPriority w:val="32"/>
    <w:qFormat/>
    <w:rsid w:val="00FC693F"/>
    <w:rPr>
      <w:rFonts w:ascii="B Nazanin" w:hAnsi="B Nazanin" w:cs="B Nazanin" w:eastAsia="B Nazanin"/>
      <w:b/>
      <w:bCs/>
      <w:smallCaps/>
      <w:color w:val="C0504D" w:themeColor="accent2"/>
      <w:spacing w:val="5"/>
      <w:u w:val="single"/>
      <w:rtl w:val="1"/>
      <w:lang w:val="fa-IR" w:bidi="fa-IR"/>
    </w:rPr>
  </w:style>
  <w:style w:type="character" w:styleId="BookTitle">
    <w:name w:val="Book Title"/>
    <w:basedOn w:val="DefaultParagraphFont"/>
    <w:uiPriority w:val="33"/>
    <w:qFormat/>
    <w:rsid w:val="00FC693F"/>
    <w:rPr>
      <w:rFonts w:ascii="B Nazanin" w:hAnsi="B Nazanin" w:cs="B Nazanin" w:eastAsia="B Nazanin"/>
      <w:b/>
      <w:bCs/>
      <w:smallCaps/>
      <w:spacing w:val="5"/>
      <w:rtl w:val="1"/>
      <w:lang w:val="fa-IR" w:bidi="fa-IR"/>
    </w:rPr>
  </w:style>
  <w:style w:type="paragraph" w:styleId="TOCHeading">
    <w:name w:val="TOC Heading"/>
    <w:basedOn w:val="Heading1"/>
    <w:next w:val="Normal"/>
    <w:uiPriority w:val="39"/>
    <w:semiHidden/>
    <w:unhideWhenUsed/>
    <w:qFormat/>
    <w:rsid w:val="00FC693F"/>
    <w:pPr>
      <w:outlineLvl w:val="9"/>
    </w:pPr>
    <w:rPr>
      <w:rFonts w:ascii="B Nazanin" w:hAnsi="B Nazanin" w:cs="B Nazanin" w:eastAsia="B Nazanin"/>
      <w:rtl w:val="1"/>
      <w:lang w:val="fa-IR" w:bidi="fa-I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B Nazanin" w:hAnsi="B Nazanin" w:cs="B Nazanin" w:eastAsia="B Nazanin"/>
      <w:rtl w:val="1"/>
      <w:lang w:val="fa-IR" w:bidi="fa-IR"/>
    </w:rPr>
  </w:style>
  <w:style w:type="table" w:styleId="LightShading">
    <w:name w:val="Light Shading"/>
    <w:basedOn w:val="TableNormal"/>
    <w:uiPriority w:val="60"/>
    <w:rsid w:val="00FC693F"/>
    <w:pPr>
      <w:spacing w:after="0" w:line="240" w:lineRule="auto"/>
    </w:pPr>
    <w:rPr>
      <w:rFonts w:ascii="B Nazanin" w:hAnsi="B Nazanin" w:cs="B Nazanin" w:eastAsia="B Nazanin"/>
      <w:color w:val="000000" w:themeColor="text1" w:themeShade="BF"/>
      <w:rtl w:val="1"/>
      <w:lang w:val="fa-IR" w:bidi="fa-I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B Nazanin" w:hAnsi="B Nazanin" w:cs="B Nazanin" w:eastAsia="B Nazanin"/>
      <w:color w:val="365F91" w:themeColor="accent1" w:themeShade="BF"/>
      <w:rtl w:val="1"/>
      <w:lang w:val="fa-IR" w:bidi="fa-I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B Nazanin" w:hAnsi="B Nazanin" w:cs="B Nazanin" w:eastAsia="B Nazanin"/>
      <w:color w:val="943634" w:themeColor="accent2" w:themeShade="BF"/>
      <w:rtl w:val="1"/>
      <w:lang w:val="fa-IR" w:bidi="fa-I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B Nazanin" w:hAnsi="B Nazanin" w:cs="B Nazanin" w:eastAsia="B Nazanin"/>
      <w:color w:val="76923C" w:themeColor="accent3" w:themeShade="BF"/>
      <w:rtl w:val="1"/>
      <w:lang w:val="fa-IR" w:bidi="fa-I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B Nazanin" w:hAnsi="B Nazanin" w:cs="B Nazanin" w:eastAsia="B Nazanin"/>
      <w:color w:val="5F497A" w:themeColor="accent4" w:themeShade="BF"/>
      <w:rtl w:val="1"/>
      <w:lang w:val="fa-IR" w:bidi="fa-I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B Nazanin" w:hAnsi="B Nazanin" w:cs="B Nazanin" w:eastAsia="B Nazanin"/>
      <w:color w:val="31849B" w:themeColor="accent5" w:themeShade="BF"/>
      <w:rtl w:val="1"/>
      <w:lang w:val="fa-IR" w:bidi="fa-I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B Nazanin" w:hAnsi="B Nazanin" w:cs="B Nazanin" w:eastAsia="B Nazanin"/>
      <w:color w:val="E36C0A" w:themeColor="accent6" w:themeShade="BF"/>
      <w:rtl w:val="1"/>
      <w:lang w:val="fa-IR" w:bidi="fa-I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B Nazanin" w:hAnsi="B Nazanin" w:cs="B Nazanin" w:eastAsia="B Nazanin"/>
      <w:rtl w:val="1"/>
      <w:lang w:val="fa-IR" w:bidi="fa-IR"/>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B Nazanin" w:hAnsi="B Nazanin" w:cs="B Nazanin" w:eastAsia="B Nazanin"/>
      <w:rtl w:val="1"/>
      <w:lang w:val="fa-IR" w:bidi="fa-IR"/>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B Nazanin" w:hAnsi="B Nazanin" w:cs="B Nazanin" w:eastAsia="B Nazanin"/>
      <w:rtl w:val="1"/>
      <w:lang w:val="fa-IR" w:bidi="fa-IR"/>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B Nazanin" w:hAnsi="B Nazanin" w:cs="B Nazanin" w:eastAsia="B Nazanin"/>
      <w:rtl w:val="1"/>
      <w:lang w:val="fa-IR" w:bidi="fa-IR"/>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B Nazanin" w:hAnsi="B Nazanin" w:cs="B Nazanin" w:eastAsia="B Nazanin"/>
      <w:rtl w:val="1"/>
      <w:lang w:val="fa-IR" w:bidi="fa-IR"/>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B Nazanin" w:hAnsi="B Nazanin" w:cs="B Nazanin" w:eastAsia="B Nazanin"/>
      <w:rtl w:val="1"/>
      <w:lang w:val="fa-IR" w:bidi="fa-IR"/>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B Nazanin" w:hAnsi="B Nazanin" w:cs="B Nazanin" w:eastAsia="B Nazanin"/>
      <w:rtl w:val="1"/>
      <w:lang w:val="fa-IR" w:bidi="fa-IR"/>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B Nazanin" w:hAnsi="B Nazanin" w:cs="B Nazanin" w:eastAsia="B Nazanin"/>
      <w:rtl w:val="1"/>
      <w:lang w:val="fa-IR" w:bidi="fa-IR"/>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B Nazanin" w:hAnsi="B Nazanin" w:cs="B Nazanin" w:eastAsia="B Nazanin"/>
      <w:rtl w:val="1"/>
      <w:lang w:val="fa-IR" w:bidi="fa-IR"/>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B Nazanin" w:hAnsi="B Nazanin" w:cs="B Nazanin" w:eastAsia="B Nazanin"/>
      <w:rtl w:val="1"/>
      <w:lang w:val="fa-IR" w:bidi="fa-IR"/>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B Nazanin" w:hAnsi="B Nazanin" w:cs="B Nazanin" w:eastAsia="B Nazanin"/>
      <w:rtl w:val="1"/>
      <w:lang w:val="fa-IR" w:bidi="fa-IR"/>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B Nazanin" w:hAnsi="B Nazanin" w:cs="B Nazanin" w:eastAsia="B Nazanin"/>
      <w:rtl w:val="1"/>
      <w:lang w:val="fa-IR" w:bidi="fa-IR"/>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B Nazanin" w:hAnsi="B Nazanin" w:cs="B Nazanin" w:eastAsia="B Nazanin"/>
      <w:rtl w:val="1"/>
      <w:lang w:val="fa-IR" w:bidi="fa-IR"/>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B Nazanin" w:hAnsi="B Nazanin" w:cs="B Nazanin" w:eastAsia="B Nazanin"/>
      <w:rtl w:val="1"/>
      <w:lang w:val="fa-IR" w:bidi="fa-IR"/>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B Nazanin" w:hAnsi="B Nazanin" w:cs="B Nazanin" w:eastAsia="B Nazanin"/>
      <w:rtl w:val="1"/>
      <w:lang w:val="fa-IR" w:bidi="fa-IR"/>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B Nazanin" w:hAnsi="B Nazanin" w:cs="B Nazanin" w:eastAsia="B Nazanin"/>
      <w:rtl w:val="1"/>
      <w:lang w:val="fa-IR" w:bidi="fa-IR"/>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B Nazanin" w:hAnsi="B Nazanin" w:cs="B Nazanin" w:eastAsia="B Nazanin"/>
      <w:rtl w:val="1"/>
      <w:lang w:val="fa-IR" w:bidi="fa-IR"/>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B Nazanin" w:hAnsi="B Nazanin" w:cs="B Nazanin" w:eastAsia="B Nazanin"/>
      <w:rtl w:val="1"/>
      <w:lang w:val="fa-IR" w:bidi="fa-IR"/>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B Nazanin" w:hAnsi="B Nazanin" w:cs="B Nazanin" w:eastAsia="B Nazanin"/>
      <w:rtl w:val="1"/>
      <w:lang w:val="fa-IR" w:bidi="fa-IR"/>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B Nazanin" w:hAnsi="B Nazanin" w:cs="B Nazanin" w:eastAsia="B Nazanin"/>
      <w:rtl w:val="1"/>
      <w:lang w:val="fa-IR" w:bidi="fa-IR"/>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B Nazanin" w:hAnsi="B Nazanin" w:cs="B Nazanin" w:eastAsia="B Nazanin"/>
      <w:rtl w:val="1"/>
      <w:lang w:val="fa-IR" w:bidi="fa-IR"/>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B Nazanin" w:hAnsi="B Nazanin" w:cs="B Nazanin" w:eastAsia="B Nazanin"/>
      <w:rtl w:val="1"/>
      <w:lang w:val="fa-IR" w:bidi="fa-IR"/>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B Nazanin" w:hAnsi="B Nazanin" w:cs="B Nazanin" w:eastAsia="B Nazanin"/>
      <w:rtl w:val="1"/>
      <w:lang w:val="fa-IR" w:bidi="fa-IR"/>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B Nazanin" w:hAnsi="B Nazanin" w:cs="B Nazanin" w:eastAsia="B Nazanin"/>
      <w:rtl w:val="1"/>
      <w:lang w:val="fa-IR" w:bidi="fa-IR"/>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B Nazanin" w:hAnsi="B Nazanin" w:cs="B Nazanin" w:eastAsia="B Nazanin"/>
      <w:rtl w:val="1"/>
      <w:lang w:val="fa-IR" w:bidi="fa-IR"/>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B Nazanin" w:hAnsi="B Nazanin" w:cs="B Nazanin" w:eastAsia="B Nazanin"/>
      <w:rtl w:val="1"/>
      <w:lang w:val="fa-IR" w:bidi="fa-IR"/>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B Nazanin" w:hAnsi="B Nazanin" w:cs="B Nazanin" w:eastAsia="B Nazanin"/>
      <w:rtl w:val="1"/>
      <w:lang w:val="fa-IR" w:bidi="fa-IR"/>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B Nazanin" w:hAnsi="B Nazanin" w:cs="B Nazanin" w:eastAsia="B Nazanin"/>
      <w:rtl w:val="1"/>
      <w:lang w:val="fa-IR" w:bidi="fa-IR"/>
    </w:rPr>
  </w:style>
  <w:style w:type="table" w:styleId="MediumList1">
    <w:name w:val="Medium List 1"/>
    <w:basedOn w:val="TableNormal"/>
    <w:uiPriority w:val="65"/>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B Nazanin" w:hAnsi="B Nazanin" w:cs="B Nazanin" w:eastAsia="B Nazanin"/>
      <w:rtl w:val="1"/>
      <w:lang w:val="fa-IR" w:bidi="fa-IR"/>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B Nazanin" w:hAnsi="B Nazanin" w:cs="B Nazanin" w:eastAsia="B Nazanin"/>
      <w:rtl w:val="1"/>
      <w:lang w:val="fa-IR" w:bidi="fa-IR"/>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B Nazanin" w:hAnsi="B Nazanin" w:cs="B Nazanin" w:eastAsia="B Nazanin"/>
      <w:rtl w:val="1"/>
      <w:lang w:val="fa-IR" w:bidi="fa-IR"/>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B Nazanin" w:hAnsi="B Nazanin" w:cs="B Nazanin" w:eastAsia="B Nazanin"/>
      <w:rtl w:val="1"/>
      <w:lang w:val="fa-IR" w:bidi="fa-IR"/>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B Nazanin" w:hAnsi="B Nazanin" w:cs="B Nazanin" w:eastAsia="B Nazanin"/>
      <w:rtl w:val="1"/>
      <w:lang w:val="fa-IR" w:bidi="fa-IR"/>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B Nazanin" w:hAnsi="B Nazanin" w:cs="B Nazanin" w:eastAsia="B Nazanin"/>
      <w:rtl w:val="1"/>
      <w:lang w:val="fa-IR" w:bidi="fa-IR"/>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B Nazanin" w:hAnsi="B Nazanin" w:cs="B Nazanin" w:eastAsia="B Nazanin"/>
      <w:rtl w:val="1"/>
      <w:lang w:val="fa-IR" w:bidi="fa-IR"/>
    </w:rPr>
  </w:style>
  <w:style w:type="table" w:styleId="MediumGrid2">
    <w:name w:val="Medium Grid 2"/>
    <w:basedOn w:val="TableNormal"/>
    <w:uiPriority w:val="68"/>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B Nazanin" w:hAnsi="B Nazanin" w:cs="B Nazanin" w:eastAsia="B Nazanin"/>
      <w:rtl w:val="1"/>
      <w:lang w:val="fa-IR" w:bidi="fa-IR"/>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B Nazanin" w:hAnsi="B Nazanin" w:cs="B Nazanin" w:eastAsia="B Nazanin"/>
      <w:rtl w:val="1"/>
      <w:lang w:val="fa-IR" w:bidi="fa-IR"/>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B Nazanin" w:hAnsi="B Nazanin" w:cs="B Nazanin" w:eastAsia="B Nazanin"/>
      <w:rtl w:val="1"/>
      <w:lang w:val="fa-IR" w:bidi="fa-IR"/>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B Nazanin" w:hAnsi="B Nazanin" w:cs="B Nazanin" w:eastAsia="B Nazanin"/>
      <w:rtl w:val="1"/>
      <w:lang w:val="fa-IR" w:bidi="fa-IR"/>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B Nazanin" w:hAnsi="B Nazanin" w:cs="B Nazanin" w:eastAsia="B Nazanin"/>
      <w:rtl w:val="1"/>
      <w:lang w:val="fa-IR" w:bidi="fa-IR"/>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B Nazanin" w:hAnsi="B Nazanin" w:cs="B Nazanin" w:eastAsia="B Nazanin"/>
      <w:rtl w:val="1"/>
      <w:lang w:val="fa-IR" w:bidi="fa-IR"/>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B Nazanin" w:hAnsi="B Nazanin" w:cs="B Nazanin" w:eastAsia="B Nazanin"/>
      <w:rtl w:val="1"/>
      <w:lang w:val="fa-IR" w:bidi="fa-IR"/>
    </w:rPr>
  </w:style>
  <w:style w:type="table" w:styleId="DarkList">
    <w:name w:val="Dark List"/>
    <w:basedOn w:val="TableNormal"/>
    <w:uiPriority w:val="70"/>
    <w:rsid w:val="00CB0664"/>
    <w:pPr>
      <w:spacing w:after="0" w:line="240" w:lineRule="auto"/>
    </w:pPr>
    <w:rPr>
      <w:rFonts w:ascii="B Nazanin" w:hAnsi="B Nazanin" w:cs="B Nazanin" w:eastAsia="B Nazanin"/>
      <w:color w:val="FFFFFF" w:themeColor="background1"/>
      <w:rtl w:val="1"/>
      <w:lang w:val="fa-IR" w:bidi="fa-I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B Nazanin" w:hAnsi="B Nazanin" w:cs="B Nazanin" w:eastAsia="B Nazanin"/>
      <w:color w:val="FFFFFF" w:themeColor="background1"/>
      <w:rtl w:val="1"/>
      <w:lang w:val="fa-IR" w:bidi="fa-I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B Nazanin" w:hAnsi="B Nazanin" w:cs="B Nazanin" w:eastAsia="B Nazanin"/>
      <w:color w:val="FFFFFF" w:themeColor="background1"/>
      <w:rtl w:val="1"/>
      <w:lang w:val="fa-IR" w:bidi="fa-I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B Nazanin" w:hAnsi="B Nazanin" w:cs="B Nazanin" w:eastAsia="B Nazanin"/>
      <w:color w:val="FFFFFF" w:themeColor="background1"/>
      <w:rtl w:val="1"/>
      <w:lang w:val="fa-IR" w:bidi="fa-I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B Nazanin" w:hAnsi="B Nazanin" w:cs="B Nazanin" w:eastAsia="B Nazanin"/>
      <w:color w:val="FFFFFF" w:themeColor="background1"/>
      <w:rtl w:val="1"/>
      <w:lang w:val="fa-IR" w:bidi="fa-I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B Nazanin" w:hAnsi="B Nazanin" w:cs="B Nazanin" w:eastAsia="B Nazanin"/>
      <w:color w:val="FFFFFF" w:themeColor="background1"/>
      <w:rtl w:val="1"/>
      <w:lang w:val="fa-IR" w:bidi="fa-I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B Nazanin" w:hAnsi="B Nazanin" w:cs="B Nazanin" w:eastAsia="B Nazanin"/>
      <w:color w:val="FFFFFF" w:themeColor="background1"/>
      <w:rtl w:val="1"/>
      <w:lang w:val="fa-IR" w:bidi="fa-I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B Nazanin" w:hAnsi="B Nazanin" w:cs="B Nazanin" w:eastAsia="B Nazanin"/>
      <w:color w:val="000000" w:themeColor="text1"/>
      <w:rtl w:val="1"/>
      <w:lang w:val="fa-IR" w:bidi="fa-I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Bakhsh">
    <w:name w:val="TH-Bakhsh"/>
    <w:basedOn w:val="Normal"/>
    <w:pPr>
      <w:keepNext w:val="1"/>
      <w:keepLines w:val="1"/>
      <w:bidi w:val="1"/>
      <w:ind w:firstLine="0"/>
      <w:jc w:val="center"/>
      <w:outlineLvl w:val="0"/>
    </w:pPr>
    <w:rPr>
      <w:rFonts w:ascii="B Nazanin" w:hAnsi="B Nazanin" w:cs="B Nazanin" w:eastAsia="B Nazanin"/>
      <w:b w:val="1"/>
      <w:bCs w:val="1"/>
      <w:color w:val="243B53"/>
      <w:sz w:val="48"/>
      <w:szCs w:val="48"/>
      <w:rtl w:val="1"/>
      <w:lang w:val="fa-IR" w:bidi="fa-IR"/>
    </w:rPr>
  </w:style>
  <w:style w:type="paragraph" w:customStyle="1" w:styleId="TH-Fasl">
    <w:name w:val="TH-Fasl"/>
    <w:basedOn w:val="Normal"/>
    <w:pPr>
      <w:keepNext w:val="1"/>
      <w:keepLines w:val="1"/>
      <w:bidi w:val="1"/>
      <w:ind w:firstLine="0"/>
      <w:jc w:val="center"/>
      <w:outlineLvl w:val="1"/>
    </w:pPr>
    <w:rPr>
      <w:rFonts w:ascii="B Nazanin" w:hAnsi="B Nazanin" w:cs="B Nazanin" w:eastAsia="B Nazanin"/>
      <w:b w:val="1"/>
      <w:bCs w:val="1"/>
      <w:color w:val="243B53"/>
      <w:sz w:val="40"/>
      <w:szCs w:val="40"/>
      <w:rtl w:val="1"/>
      <w:lang w:val="fa-IR" w:bidi="fa-IR"/>
    </w:rPr>
  </w:style>
  <w:style w:type="paragraph" w:customStyle="1" w:styleId="TH-Front">
    <w:name w:val="TH-Front"/>
    <w:basedOn w:val="Normal"/>
    <w:pPr>
      <w:keepNext w:val="1"/>
      <w:keepLines w:val="1"/>
      <w:bidi w:val="1"/>
      <w:ind w:firstLine="0"/>
      <w:jc w:val="center"/>
      <w:outlineLvl w:val="1"/>
    </w:pPr>
    <w:rPr>
      <w:rFonts w:ascii="B Nazanin" w:hAnsi="B Nazanin" w:cs="B Nazanin" w:eastAsia="B Nazanin"/>
      <w:b w:val="1"/>
      <w:bCs w:val="1"/>
      <w:color w:val="243B53"/>
      <w:sz w:val="36"/>
      <w:szCs w:val="36"/>
      <w:rtl w:val="1"/>
      <w:lang w:val="fa-IR" w:bidi="fa-IR"/>
    </w:rPr>
  </w:style>
  <w:style w:type="paragraph" w:customStyle="1" w:styleId="TH-Goftar">
    <w:name w:val="TH-Goftar"/>
    <w:basedOn w:val="Normal"/>
    <w:pPr>
      <w:keepNext w:val="1"/>
      <w:keepLines w:val="1"/>
      <w:bidi w:val="1"/>
      <w:ind w:firstLine="0"/>
      <w:jc w:val="start"/>
      <w:outlineLvl w:val="2"/>
    </w:pPr>
    <w:rPr>
      <w:rFonts w:ascii="B Nazanin" w:hAnsi="B Nazanin" w:cs="B Nazanin" w:eastAsia="B Nazanin"/>
      <w:b w:val="1"/>
      <w:bCs w:val="1"/>
      <w:color w:val="243B53"/>
      <w:sz w:val="32"/>
      <w:szCs w:val="32"/>
      <w:rtl w:val="1"/>
      <w:lang w:val="fa-IR" w:bidi="fa-IR"/>
    </w:rPr>
  </w:style>
  <w:style w:type="paragraph" w:customStyle="1" w:styleId="TH-Band">
    <w:name w:val="TH-Band"/>
    <w:basedOn w:val="Normal"/>
    <w:pPr>
      <w:keepNext w:val="1"/>
      <w:keepLines w:val="1"/>
      <w:bidi w:val="1"/>
      <w:ind w:firstLine="0"/>
      <w:jc w:val="start"/>
      <w:outlineLvl w:val="3"/>
    </w:pPr>
    <w:rPr>
      <w:rFonts w:ascii="B Nazanin" w:hAnsi="B Nazanin" w:cs="B Nazanin" w:eastAsia="B Nazanin"/>
      <w:b w:val="1"/>
      <w:bCs w:val="1"/>
      <w:color w:val="243B53"/>
      <w:sz w:val="29"/>
      <w:szCs w:val="29"/>
      <w:rtl w:val="1"/>
      <w:lang w:val="fa-IR" w:bidi="fa-IR"/>
    </w:rPr>
  </w:style>
  <w:style w:type="paragraph" w:customStyle="1" w:styleId="TH-Sub">
    <w:name w:val="TH-Sub"/>
    <w:basedOn w:val="Normal"/>
    <w:rPr>
      <w:rFonts w:ascii="B Nazanin" w:hAnsi="B Nazanin" w:cs="B Nazanin" w:eastAsia="B Nazanin"/>
      <w:rtl w:val="1"/>
      <w:lang w:val="fa-IR" w:bidi="fa-IR"/>
    </w:rPr>
  </w:style>
  <w:style w:type="paragraph" w:customStyle="1" w:styleId="TH-Body">
    <w:name w:val="TH-Body"/>
    <w:basedOn w:val="Normal"/>
    <w:rPr>
      <w:rFonts w:ascii="B Nazanin" w:hAnsi="B Nazanin" w:cs="B Nazanin" w:eastAsia="B Nazanin"/>
      <w:sz w:val="28"/>
      <w:szCs w:val="28"/>
      <w:rtl w:val="1"/>
      <w:lang w:val="fa-IR" w:bidi="fa-IR"/>
    </w:rPr>
    <w:pPr>
      <w:widowControl w:val="1"/>
      <w:bidi w:val="1"/>
      <w:spacing w:before="0" w:after="120" w:line="336" w:lineRule="auto"/>
      <w:ind w:firstLine="283"/>
      <w:jc w:val="both"/>
    </w:pPr>
  </w:style>
  <w:style w:type="paragraph" w:customStyle="1" w:styleId="TH-Quote">
    <w:name w:val="TH-Quote"/>
    <w:basedOn w:val="Normal"/>
    <w:rPr>
      <w:rFonts w:ascii="B Nazanin" w:hAnsi="B Nazanin" w:cs="B Nazanin" w:eastAsia="B Nazanin"/>
      <w:b w:val="0"/>
      <w:bCs w:val="0"/>
      <w:sz w:val="28"/>
      <w:szCs w:val="28"/>
      <w:rtl w:val="1"/>
      <w:lang w:val="fa-IR" w:bidi="fa-IR"/>
    </w:rPr>
    <w:pPr>
      <w:keepLines w:val="1"/>
      <w:bidi w:val="1"/>
    </w:pPr>
  </w:style>
  <w:style w:type="paragraph" w:styleId="TOC1">
    <w:name w:val="toc 1"/>
    <w:basedOn w:val="Normal"/>
    <w:pPr>
      <w:keepLines w:val="1"/>
      <w:tabs>
        <w:tab w:val="left" w:leader="dot" w:pos="8671"/>
      </w:tabs>
      <w:bidi w:val="1"/>
      <w:spacing w:before="0" w:after="40" w:line="276" w:lineRule="auto"/>
      <w:ind w:start="0" w:firstLine="0" w:end="0"/>
      <w:jc w:val="start"/>
    </w:pPr>
    <w:rPr>
      <w:rFonts w:ascii="B Nazanin" w:hAnsi="B Nazanin" w:cs="B Nazanin" w:eastAsia="B Nazanin"/>
      <w:b w:val="1"/>
      <w:bCs w:val="1"/>
      <w:sz w:val="26"/>
      <w:szCs w:val="26"/>
      <w:rtl w:val="1"/>
      <w:lang w:val="fa-IR" w:bidi="fa-IR"/>
    </w:rPr>
  </w:style>
  <w:style w:type="paragraph" w:styleId="TOC2">
    <w:name w:val="toc 2"/>
    <w:basedOn w:val="Normal"/>
    <w:pPr>
      <w:keepLines w:val="1"/>
      <w:tabs>
        <w:tab w:val="left" w:leader="dot" w:pos="8671"/>
      </w:tabs>
      <w:bidi w:val="1"/>
      <w:spacing w:before="0" w:after="40" w:line="276" w:lineRule="auto"/>
      <w:ind w:start="284" w:firstLine="0" w:end="0"/>
      <w:jc w:val="start"/>
    </w:pPr>
    <w:rPr>
      <w:rFonts w:ascii="B Nazanin" w:hAnsi="B Nazanin" w:cs="B Nazanin" w:eastAsia="B Nazanin"/>
      <w:b w:val="1"/>
      <w:bCs w:val="1"/>
      <w:sz w:val="26"/>
      <w:szCs w:val="26"/>
      <w:rtl w:val="1"/>
      <w:lang w:val="fa-IR" w:bidi="fa-IR"/>
    </w:rPr>
  </w:style>
  <w:style w:type="paragraph" w:styleId="TOC3">
    <w:name w:val="toc 3"/>
    <w:basedOn w:val="Normal"/>
    <w:pPr>
      <w:keepLines w:val="1"/>
      <w:tabs>
        <w:tab w:val="left" w:leader="dot" w:pos="8671"/>
      </w:tabs>
      <w:bidi w:val="1"/>
      <w:spacing w:before="0" w:after="40" w:line="276" w:lineRule="auto"/>
      <w:ind w:start="568" w:firstLine="0" w:end="0"/>
      <w:jc w:val="start"/>
    </w:pPr>
    <w:rPr>
      <w:rFonts w:ascii="B Nazanin" w:hAnsi="B Nazanin" w:cs="B Nazanin" w:eastAsia="B Nazanin"/>
      <w:b w:val="0"/>
      <w:bCs w:val="0"/>
      <w:sz w:val="26"/>
      <w:szCs w:val="26"/>
      <w:rtl w:val="1"/>
      <w:lang w:val="fa-IR" w:bidi="fa-IR"/>
    </w:rPr>
  </w:style>
  <w:style w:type="paragraph" w:styleId="TOC4">
    <w:name w:val="toc 4"/>
    <w:basedOn w:val="Normal"/>
    <w:pPr>
      <w:keepLines w:val="1"/>
      <w:tabs>
        <w:tab w:val="left" w:leader="dot" w:pos="8671"/>
      </w:tabs>
      <w:bidi w:val="1"/>
      <w:spacing w:before="0" w:after="40" w:line="276" w:lineRule="auto"/>
      <w:ind w:start="852" w:firstLine="0" w:end="0"/>
      <w:jc w:val="start"/>
    </w:pPr>
    <w:rPr>
      <w:rFonts w:ascii="B Nazanin" w:hAnsi="B Nazanin" w:cs="B Nazanin" w:eastAsia="B Nazanin"/>
      <w:b w:val="0"/>
      <w:bCs w:val="0"/>
      <w:sz w:val="26"/>
      <w:szCs w:val="26"/>
      <w:rtl w:val="1"/>
      <w:lang w:val="fa-IR" w:bidi="fa-I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subject>رساله علمی سطح سه حوزه علمیه</dc:subject>
  <dc:creator>هادی شبستانی</dc:creator>
  <cp:keywords/>
  <dc:description>generated by python-docx</dc:description>
  <cp:lastModifiedBy>Editorial revision</cp:lastModifiedBy>
  <cp:revision>1</cp:revision>
  <dcterms:created xsi:type="dcterms:W3CDTF">2013-12-23T23:15:00Z</dcterms:created>
  <dcterms:modified xsi:type="dcterms:W3CDTF">2026-09-21T00:00:00Z</dcterms:modified>
  <cp:category/>
</cp:coreProperties>
</file>