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336" w:lineRule="auto"/>
        <w:jc w:val="center"/>
      </w:pPr>
      <w:r>
        <w:rPr>
          <w:rFonts w:ascii="B Titr" w:hAnsi="B Titr" w:cs="B Titr" w:eastAsia="B Titr"/>
          <w:b w:val="0"/>
          <w:i w:val="0"/>
          <w:sz w:val="32"/>
          <w:szCs w:val="32"/>
        </w:rPr>
        <w:t>حوزه‌های علمیه</w:t>
      </w:r>
    </w:p>
    <w:p>
      <w:pPr>
        <w:widowControl/>
        <w:bidi w:val="1"/>
        <w:spacing w:before="0" w:after="240" w:line="336" w:lineRule="auto"/>
        <w:jc w:val="center"/>
      </w:pPr>
      <w:r>
        <w:rPr>
          <w:rFonts w:ascii="B Titr" w:hAnsi="B Titr" w:cs="B Titr" w:eastAsia="B Titr"/>
          <w:b/>
          <w:i w:val="0"/>
          <w:sz w:val="44"/>
          <w:szCs w:val="44"/>
        </w:rPr>
        <w:t>رساله علمی سطح سه</w:t>
      </w:r>
    </w:p>
    <w:p>
      <w:pPr>
        <w:widowControl/>
        <w:bidi w:val="1"/>
        <w:spacing w:before="0" w:after="240" w:line="336" w:lineRule="auto"/>
        <w:ind w:right="1701" w:left="1701"/>
        <w:jc w:val="center"/>
        <w:pBdr>
          <w:bottom w:val="single" w:sz="12" w:space="6" w:color="1F3864"/>
        </w:pBdr>
      </w:pPr>
    </w:p>
    <w:p>
      <w:pPr>
        <w:widowControl/>
        <w:bidi w:val="1"/>
        <w:spacing w:before="0" w:after="120" w:line="336"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336"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i w:val="0"/>
          <w:sz w:val="32"/>
          <w:szCs w:val="32"/>
        </w:rPr>
        <w:t>نگارنده: هادی شبستانی</w:t>
      </w:r>
    </w:p>
    <w:p>
      <w:pPr>
        <w:widowControl/>
        <w:bidi w:val="1"/>
        <w:spacing w:before="0" w:after="120" w:line="336" w:lineRule="auto"/>
        <w:jc w:val="center"/>
      </w:pPr>
      <w:r>
        <w:rPr>
          <w:rFonts w:ascii="B Lotus" w:hAnsi="B Lotus" w:cs="B Lotus" w:eastAsia="B Lotus"/>
          <w:b w:val="0"/>
          <w:i w:val="0"/>
          <w:sz w:val="28"/>
          <w:szCs w:val="28"/>
        </w:rPr>
        <w:t>استاد راهنما: …………………………</w:t>
      </w:r>
    </w:p>
    <w:p>
      <w:pPr>
        <w:widowControl/>
        <w:bidi w:val="1"/>
        <w:spacing w:before="0" w:after="120" w:line="336" w:lineRule="auto"/>
        <w:jc w:val="center"/>
      </w:pPr>
      <w:r>
        <w:rPr>
          <w:rFonts w:ascii="B Lotus" w:hAnsi="B Lotus" w:cs="B Lotus" w:eastAsia="B Lotus"/>
          <w:b w:val="0"/>
          <w:i w:val="0"/>
          <w:sz w:val="28"/>
          <w:szCs w:val="28"/>
        </w:rPr>
        <w:t>استاد مشاور: …………………………</w:t>
      </w:r>
    </w:p>
    <w:p>
      <w:pPr>
        <w:widowControl/>
        <w:bidi w:val="1"/>
        <w:spacing w:before="0" w:after="240" w:line="336" w:lineRule="auto"/>
        <w:jc w:val="center"/>
      </w:pPr>
      <w:r>
        <w:rPr>
          <w:rFonts w:ascii="B Lotus" w:hAnsi="B Lotus" w:cs="B Lotus" w:eastAsia="B Lotus"/>
          <w:b w:val="0"/>
          <w:i w:val="0"/>
          <w:sz w:val="28"/>
          <w:szCs w:val="28"/>
        </w:rPr>
        <w:t>گرایش: فقه و اصول</w:t>
      </w:r>
    </w:p>
    <w:p>
      <w:pPr>
        <w:widowControl/>
        <w:bidi w:val="1"/>
        <w:spacing w:before="0" w:after="120" w:line="336" w:lineRule="auto"/>
        <w:jc w:val="center"/>
      </w:pPr>
      <w:r>
        <w:rPr>
          <w:rFonts w:ascii="B Lotus" w:hAnsi="B Lotus" w:cs="B Lotus" w:eastAsia="B Lotus"/>
          <w:b w:val="0"/>
          <w:i w:val="0"/>
          <w:sz w:val="28"/>
          <w:szCs w:val="28"/>
        </w:rPr>
        <w:t>سال تحصیلی ۱۴۰۵ ـ ۱۴۰۶</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
    <w:p/>
    <w:p>
      <w:pPr>
        <w:widowControl/>
        <w:bidi w:val="1"/>
        <w:spacing w:before="0" w:after="240" w:line="336" w:lineRule="auto"/>
        <w:jc w:val="center"/>
      </w:pPr>
      <w:r>
        <w:rPr>
          <w:rFonts w:ascii="B Titr" w:hAnsi="B Titr" w:cs="B Titr" w:eastAsia="B Titr"/>
          <w:b/>
          <w:i w:val="0"/>
          <w:sz w:val="44"/>
          <w:szCs w:val="44"/>
        </w:rPr>
        <w:t>بِسْمِ اللَّهِ الرَّحْمَنِ الرَّحِيمِ</w:t>
      </w:r>
    </w:p>
    <w:p>
      <w:pPr>
        <w:widowControl/>
        <w:bidi w:val="1"/>
        <w:spacing w:before="0" w:after="200" w:line="336" w:lineRule="auto"/>
        <w:ind w:right="2835" w:left="2835"/>
        <w:jc w:val="center"/>
        <w:pBdr>
          <w:bottom w:val="single" w:sz="12" w:space="6" w:color="1F3864"/>
        </w:pBdr>
      </w:pPr>
    </w:p>
    <w:p>
      <w:r>
        <w:br w:type="page"/>
      </w:r>
    </w:p>
    <w:p>
      <w:pPr>
        <w:widowControl/>
        <w:bidi w:val="1"/>
        <w:spacing w:before="120" w:after="240" w:line="336" w:lineRule="auto"/>
        <w:jc w:val="center"/>
        <w:keepNext w:val="1"/>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val="0"/>
          <w:i w:val="0"/>
          <w:sz w:val="28"/>
          <w:szCs w:val="28"/>
        </w:rPr>
        <w:t>رساله علمی سطح سه حوزه‌های علمیه</w:t>
      </w:r>
    </w:p>
    <w:p>
      <w:pPr>
        <w:widowControl/>
        <w:bidi w:val="1"/>
        <w:spacing w:before="0" w:after="200" w:line="336" w:lineRule="auto"/>
        <w:jc w:val="center"/>
      </w:pPr>
      <w:r>
        <w:rPr>
          <w:rFonts w:ascii="B Lotus" w:hAnsi="B Lotus" w:cs="B Lotus" w:eastAsia="B Lotus"/>
          <w:b w:val="0"/>
          <w:i w:val="0"/>
          <w:sz w:val="28"/>
          <w:szCs w:val="28"/>
        </w:rPr>
        <w:t>گرایش: فقه و اصول</w:t>
      </w:r>
    </w:p>
    <w:p>
      <w:pPr>
        <w:widowControl/>
        <w:bidi w:val="1"/>
        <w:spacing w:before="0" w:after="200" w:line="336" w:lineRule="auto"/>
        <w:jc w:val="center"/>
      </w:pPr>
      <w:r>
        <w:rPr>
          <w:rFonts w:ascii="B Lotus" w:hAnsi="B Lotus" w:cs="B Lotus" w:eastAsia="B Lotus"/>
          <w:b w:val="0"/>
          <w:i w:val="0"/>
          <w:sz w:val="28"/>
          <w:szCs w:val="28"/>
        </w:rPr>
        <w:t>نگارنده: هادی شبستانی</w:t>
      </w:r>
    </w:p>
    <w:p>
      <w:pPr>
        <w:widowControl/>
        <w:bidi w:val="1"/>
        <w:spacing w:before="0" w:after="200" w:line="336" w:lineRule="auto"/>
        <w:jc w:val="center"/>
      </w:pPr>
      <w:r>
        <w:rPr>
          <w:rFonts w:ascii="B Lotus" w:hAnsi="B Lotus" w:cs="B Lotus" w:eastAsia="B Lotus"/>
          <w:b w:val="0"/>
          <w:i w:val="0"/>
          <w:sz w:val="28"/>
          <w:szCs w:val="28"/>
        </w:rPr>
        <w:t>استاد راهنما: (نام استاد راهنما)</w:t>
      </w:r>
    </w:p>
    <w:p>
      <w:pPr>
        <w:widowControl/>
        <w:bidi w:val="1"/>
        <w:spacing w:before="0" w:after="200" w:line="336" w:lineRule="auto"/>
        <w:jc w:val="center"/>
      </w:pPr>
      <w:r>
        <w:rPr>
          <w:rFonts w:ascii="B Lotus" w:hAnsi="B Lotus" w:cs="B Lotus" w:eastAsia="B Lotus"/>
          <w:b w:val="0"/>
          <w:i w:val="0"/>
          <w:sz w:val="28"/>
          <w:szCs w:val="28"/>
        </w:rPr>
        <w:t>استاد مشاور: (نام استاد مشاور)</w:t>
      </w:r>
    </w:p>
    <w:p>
      <w:pPr>
        <w:widowControl/>
        <w:bidi w:val="1"/>
        <w:spacing w:before="0" w:after="200" w:line="336" w:lineRule="auto"/>
        <w:jc w:val="center"/>
      </w:pPr>
      <w:r>
        <w:rPr>
          <w:rFonts w:ascii="B Lotus" w:hAnsi="B Lotus" w:cs="B Lotus" w:eastAsia="B Lotus"/>
          <w:b w:val="0"/>
          <w:i w:val="0"/>
          <w:sz w:val="28"/>
          <w:szCs w:val="28"/>
        </w:rPr>
        <w:t>سال تحصیلی ۱۴۰۵ ـ ۱۴۰۶</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336" w:lineRule="auto"/>
        <w:jc w:val="center"/>
        <w:keepNext w:val="1"/>
      </w:pPr>
      <w:r>
        <w:rPr>
          <w:rFonts w:ascii="B Titr" w:hAnsi="B Titr" w:cs="B Titr" w:eastAsia="B Titr"/>
          <w:b/>
          <w:i w:val="0"/>
          <w:sz w:val="36"/>
          <w:szCs w:val="36"/>
        </w:rPr>
        <w:t>تقدیم</w:t>
      </w:r>
    </w:p>
    <w:p>
      <w:pPr>
        <w:widowControl/>
        <w:bidi w:val="1"/>
        <w:spacing w:before="0" w:after="200" w:line="336"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200" w:line="336"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200" w:line="336"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200" w:line="336"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336" w:lineRule="auto"/>
        <w:jc w:val="center"/>
        <w:keepNext w:val="1"/>
      </w:pPr>
      <w:r>
        <w:rPr>
          <w:rFonts w:ascii="B Titr" w:hAnsi="B Titr" w:cs="B Titr" w:eastAsia="B Titr"/>
          <w:b/>
          <w:i w:val="0"/>
          <w:sz w:val="36"/>
          <w:szCs w:val="36"/>
        </w:rPr>
        <w:t>سپاسگزاری</w:t>
      </w:r>
    </w:p>
    <w:p>
      <w:pPr>
        <w:widowControl/>
        <w:bidi w:val="1"/>
        <w:spacing w:before="0" w:after="200" w:line="336"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200" w:line="336"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200" w:line="336"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200" w:line="336"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200" w:line="336"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336" w:lineRule="auto"/>
        <w:jc w:val="center"/>
        <w:keepNext w:val="1"/>
      </w:pPr>
      <w:r>
        <w:rPr>
          <w:rFonts w:ascii="B Titr" w:hAnsi="B Titr" w:cs="B Titr" w:eastAsia="B Titr"/>
          <w:b/>
          <w:i w:val="0"/>
          <w:sz w:val="36"/>
          <w:szCs w:val="36"/>
        </w:rPr>
        <w:t>چکیده</w:t>
      </w:r>
    </w:p>
    <w:p>
      <w:pPr>
        <w:widowControl/>
        <w:bidi w:val="1"/>
        <w:spacing w:before="0" w:after="200" w:line="336" w:lineRule="auto"/>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200" w:line="336"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200" w:line="336"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200" w:line="336"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336" w:lineRule="auto"/>
        <w:jc w:val="center"/>
        <w:keepNext w:val="1"/>
      </w:pPr>
      <w:r>
        <w:rPr>
          <w:rFonts w:ascii="B Titr" w:hAnsi="B Titr" w:cs="B Titr" w:eastAsia="B Titr"/>
          <w:b/>
          <w:i w:val="0"/>
          <w:sz w:val="36"/>
          <w:szCs w:val="36"/>
        </w:rPr>
        <w:t>پیشگفتار</w:t>
      </w:r>
    </w:p>
    <w:p>
      <w:pPr>
        <w:widowControl/>
        <w:bidi w:val="1"/>
        <w:spacing w:before="0" w:after="200" w:line="336" w:lineRule="auto"/>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200" w:line="336"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200" w:line="336"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200" w:line="336"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200" w:line="336"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200" w:line="336"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336" w:lineRule="auto"/>
        <w:jc w:val="center"/>
        <w:keepNext w:val="1"/>
      </w:pPr>
      <w:r>
        <w:rPr>
          <w:rFonts w:ascii="B Titr" w:hAnsi="B Titr" w:cs="B Titr" w:eastAsia="B Titr"/>
          <w:b/>
          <w:i w:val="0"/>
          <w:sz w:val="36"/>
          <w:szCs w:val="36"/>
        </w:rPr>
        <w:t>Abstract</w:t>
      </w:r>
    </w:p>
    <w:p>
      <w:pPr>
        <w:widowControl/>
        <w:spacing w:before="0" w:after="200" w:line="336" w:lineRule="auto"/>
        <w:jc w:val="both"/>
      </w:pPr>
      <w:r>
        <w:rPr>
          <w:rFonts w:ascii="B Lotus" w:hAnsi="B Lotus" w:cs="B Lotus" w:eastAsia="B Lotus"/>
          <w:b w:val="0"/>
          <w:i w:val="0"/>
          <w:sz w:val="26"/>
          <w:szCs w:val="26"/>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spacing w:before="0" w:after="200" w:line="336" w:lineRule="auto"/>
        <w:ind w:firstLine="283"/>
        <w:jc w:val="both"/>
      </w:pPr>
      <w:r>
        <w:rPr>
          <w:rFonts w:ascii="B Lotus" w:hAnsi="B Lotus" w:cs="B Lotus" w:eastAsia="B Lotus"/>
          <w:b w:val="0"/>
          <w:i w:val="0"/>
          <w:sz w:val="26"/>
          <w:szCs w:val="26"/>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spacing w:before="0" w:after="200" w:line="336" w:lineRule="auto"/>
        <w:ind w:firstLine="283"/>
        <w:jc w:val="both"/>
      </w:pPr>
      <w:r>
        <w:rPr>
          <w:rFonts w:ascii="B Lotus" w:hAnsi="B Lotus" w:cs="B Lotus" w:eastAsia="B Lotus"/>
          <w:b w:val="0"/>
          <w:i w:val="0"/>
          <w:sz w:val="26"/>
          <w:szCs w:val="26"/>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spacing w:before="0" w:after="200" w:line="336" w:lineRule="auto"/>
        <w:ind w:firstLine="283"/>
        <w:jc w:val="both"/>
      </w:pPr>
      <w:r>
        <w:rPr>
          <w:rFonts w:ascii="B Lotus" w:hAnsi="B Lotus" w:cs="B Lotus" w:eastAsia="B Lotus"/>
          <w:b/>
          <w:i w:val="0"/>
          <w:sz w:val="26"/>
          <w:szCs w:val="26"/>
        </w:rPr>
        <w:t>Keywords:</w:t>
      </w:r>
      <w:r>
        <w:rPr>
          <w:rFonts w:ascii="B Lotus" w:hAnsi="B Lotus" w:cs="B Lotus" w:eastAsia="B Lotus"/>
          <w:b w:val="0"/>
          <w:i w:val="0"/>
          <w:sz w:val="26"/>
          <w:szCs w:val="26"/>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336" w:lineRule="auto"/>
        <w:jc w:val="center"/>
        <w:keepNext w:val="1"/>
        <w:pBdr>
          <w:top w:val="single" w:sz="12" w:space="8" w:color="1F3864"/>
          <w:bottom w:val="single" w:sz="12" w:space="8" w:color="1F3864"/>
        </w:pBdr>
      </w:pPr>
      <w:r>
        <w:rPr>
          <w:rFonts w:ascii="B Titr" w:hAnsi="B Titr" w:cs="B Titr" w:eastAsia="B Titr"/>
          <w:b/>
          <w:i w:val="0"/>
          <w:sz w:val="36"/>
          <w:szCs w:val="36"/>
        </w:rPr>
        <w:t>فهرست مطالب</w:t>
      </w:r>
    </w:p>
    <w:p>
      <w:pPr>
        <w:widowControl/>
        <w:bidi w:val="1"/>
        <w:spacing w:before="0" w:after="200" w:line="336"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200" w:line="336"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مقدمه: کلیات تحقیق</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بیان مسئله</w:t>
      </w:r>
    </w:p>
    <w:p>
      <w:pPr>
        <w:pStyle w:val="TH-Body"/>
        <w:widowControl/>
        <w:bidi w:val="1"/>
        <w:spacing w:before="0" w:after="200" w:line="336" w:lineRule="auto"/>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ضرورت و اهمیت تحقیق</w:t>
      </w:r>
    </w:p>
    <w:p>
      <w:pPr>
        <w:pStyle w:val="TH-Body"/>
        <w:widowControl/>
        <w:bidi w:val="1"/>
        <w:spacing w:before="0" w:after="200" w:line="336" w:lineRule="auto"/>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200" w:line="336"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اهداف تحقیق</w:t>
      </w:r>
    </w:p>
    <w:p>
      <w:pPr>
        <w:pStyle w:val="TH-Body"/>
        <w:widowControl/>
        <w:bidi w:val="1"/>
        <w:spacing w:before="0" w:after="200" w:line="336" w:lineRule="auto"/>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سؤالات تحقیق</w:t>
      </w:r>
    </w:p>
    <w:p>
      <w:pPr>
        <w:pStyle w:val="TH-Body"/>
        <w:widowControl/>
        <w:bidi w:val="1"/>
        <w:spacing w:before="0" w:after="200" w:line="336" w:lineRule="auto"/>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فرضیه تحقیق</w:t>
      </w:r>
    </w:p>
    <w:p>
      <w:pPr>
        <w:pStyle w:val="TH-Body"/>
        <w:widowControl/>
        <w:bidi w:val="1"/>
        <w:spacing w:before="0" w:after="200" w:line="336" w:lineRule="auto"/>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پیشینه تحقیق</w:t>
      </w:r>
    </w:p>
    <w:p>
      <w:pPr>
        <w:pStyle w:val="TH-Body"/>
        <w:widowControl/>
        <w:bidi w:val="1"/>
        <w:spacing w:before="0" w:after="200" w:line="336" w:lineRule="auto"/>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روش تحقیق</w:t>
      </w:r>
    </w:p>
    <w:p>
      <w:pPr>
        <w:pStyle w:val="TH-Body"/>
        <w:widowControl/>
        <w:bidi w:val="1"/>
        <w:spacing w:before="0" w:after="200" w:line="336" w:lineRule="auto"/>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ساماندهی تحقیق</w:t>
      </w:r>
    </w:p>
    <w:p>
      <w:pPr>
        <w:pStyle w:val="TH-Body"/>
        <w:widowControl/>
        <w:bidi w:val="1"/>
        <w:spacing w:before="0" w:after="200" w:line="336" w:lineRule="auto"/>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قلمرو، محدودیت‌ها و اصطلاحات</w:t>
      </w:r>
    </w:p>
    <w:p>
      <w:pPr>
        <w:pStyle w:val="TH-Body"/>
        <w:widowControl/>
        <w:bidi w:val="1"/>
        <w:spacing w:before="0" w:after="200" w:line="336" w:lineRule="auto"/>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200" w:line="336"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r>
        <w:rPr>
          <w:rFonts w:ascii="B Titr" w:hAnsi="B Titr" w:cs="B Titr" w:eastAsia="B Titr"/>
          <w:b/>
          <w:i w:val="0"/>
          <w:sz w:val="64"/>
          <w:szCs w:val="64"/>
        </w:rPr>
        <w:t>بخش اول: مبانی و کلیات</w:t>
      </w:r>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اول: مفهوم‌شناسی و چارچوب نظری</w:t>
      </w:r>
    </w:p>
    <w:p>
      <w:pPr>
        <w:pStyle w:val="TH-Body"/>
        <w:widowControl/>
        <w:bidi w:val="1"/>
        <w:spacing w:before="0" w:after="200" w:line="336" w:lineRule="auto"/>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مفهوم معاهده و تعهد بین‌المللی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تعریف لغوی و اصطلاحی معاهده</w:t>
      </w:r>
    </w:p>
    <w:p>
      <w:pPr>
        <w:pStyle w:val="TH-Body"/>
        <w:widowControl/>
        <w:bidi w:val="1"/>
        <w:spacing w:before="0" w:after="200" w:line="336" w:lineRule="auto"/>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200" w:line="336" w:lineRule="auto"/>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اقسام معاهدات و محل بحث</w:t>
      </w:r>
    </w:p>
    <w:p>
      <w:pPr>
        <w:pStyle w:val="TH-Body"/>
        <w:widowControl/>
        <w:bidi w:val="1"/>
        <w:spacing w:before="0" w:after="200" w:line="336" w:lineRule="auto"/>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مفهوم تعهد و ارکان آن</w:t>
      </w:r>
    </w:p>
    <w:p>
      <w:pPr>
        <w:pStyle w:val="TH-Body"/>
        <w:widowControl/>
        <w:bidi w:val="1"/>
        <w:spacing w:before="0" w:after="200" w:line="336" w:lineRule="auto"/>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مفهوم ولی فقیه و گستره اختیارات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تعریف ولی فقیه</w:t>
      </w:r>
    </w:p>
    <w:p>
      <w:pPr>
        <w:pStyle w:val="TH-Body"/>
        <w:widowControl/>
        <w:bidi w:val="1"/>
        <w:spacing w:before="0" w:after="200" w:line="336" w:lineRule="auto"/>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مراتب اختیار؛ صریح، ضمنی، ولایی، حکومتی</w:t>
      </w:r>
    </w:p>
    <w:p>
      <w:pPr>
        <w:pStyle w:val="TH-Body"/>
        <w:widowControl/>
        <w:bidi w:val="1"/>
        <w:spacing w:before="0" w:after="200" w:line="336" w:lineRule="auto"/>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مفهوم عدول و مفاهیم خویشاوند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تعریف عدول</w:t>
      </w:r>
    </w:p>
    <w:p>
      <w:pPr>
        <w:pStyle w:val="TH-Body"/>
        <w:widowControl/>
        <w:bidi w:val="1"/>
        <w:spacing w:before="0" w:after="200" w:line="336" w:lineRule="auto"/>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تمایز از مفاهیم خویشاوند</w:t>
      </w:r>
    </w:p>
    <w:p>
      <w:pPr>
        <w:pStyle w:val="TH-Body"/>
        <w:widowControl/>
        <w:bidi w:val="1"/>
        <w:spacing w:before="0" w:after="200" w:line="336" w:lineRule="auto"/>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200" w:line="336"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طیف پنج‌صورتِ عدول</w:t>
      </w:r>
    </w:p>
    <w:p>
      <w:pPr>
        <w:pStyle w:val="TH-Body"/>
        <w:widowControl/>
        <w:bidi w:val="1"/>
        <w:spacing w:before="0" w:after="200" w:line="336" w:lineRule="auto"/>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200" w:line="336"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مفهوم مصلحت و چارچوب نظری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مصلحت در لغت و اصطلاح</w:t>
      </w:r>
    </w:p>
    <w:p>
      <w:pPr>
        <w:pStyle w:val="TH-Body"/>
        <w:widowControl/>
        <w:bidi w:val="1"/>
        <w:spacing w:before="0" w:after="200" w:line="336" w:lineRule="auto"/>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نسبت مصلحت با ضرورت بین‌المللی</w:t>
      </w:r>
    </w:p>
    <w:p>
      <w:pPr>
        <w:pStyle w:val="TH-Body"/>
        <w:widowControl/>
        <w:bidi w:val="1"/>
        <w:spacing w:before="0" w:after="200" w:line="336" w:lineRule="auto"/>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چارچوب نظری پژوهش</w:t>
      </w:r>
    </w:p>
    <w:p>
      <w:pPr>
        <w:pStyle w:val="TH-Body"/>
        <w:widowControl/>
        <w:bidi w:val="1"/>
        <w:spacing w:before="0" w:after="200" w:line="336" w:lineRule="auto"/>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200" w:line="336"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پیشینه مفهومی عهد در فقه؛ هدنه، امان، ذمه و صلح</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چرا پیشینه فقهی لازم است؟</w:t>
      </w:r>
    </w:p>
    <w:p>
      <w:pPr>
        <w:pStyle w:val="TH-Body"/>
        <w:widowControl/>
        <w:bidi w:val="1"/>
        <w:spacing w:before="0" w:after="200" w:line="336" w:lineRule="auto"/>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هدنه؛ آتش‌بس موقت</w:t>
      </w:r>
    </w:p>
    <w:p>
      <w:pPr>
        <w:pStyle w:val="TH-Body"/>
        <w:widowControl/>
        <w:bidi w:val="1"/>
        <w:spacing w:before="0" w:after="200" w:line="336" w:lineRule="auto"/>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امان؛ تأمین فردی و جمعی</w:t>
      </w:r>
    </w:p>
    <w:p>
      <w:pPr>
        <w:pStyle w:val="TH-Body"/>
        <w:widowControl/>
        <w:bidi w:val="1"/>
        <w:spacing w:before="0" w:after="200" w:line="336" w:lineRule="auto"/>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ذمه و صلح؛ پیمان‌های دائم</w:t>
      </w:r>
    </w:p>
    <w:p>
      <w:pPr>
        <w:pStyle w:val="TH-Body"/>
        <w:widowControl/>
        <w:bidi w:val="1"/>
        <w:spacing w:before="0" w:after="200" w:line="336" w:lineRule="auto"/>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جمع‌بندی؛ از نهادهای کهن تا معاهده مدرن</w:t>
      </w:r>
    </w:p>
    <w:p>
      <w:pPr>
        <w:pStyle w:val="TH-Body"/>
        <w:widowControl/>
        <w:bidi w:val="1"/>
        <w:spacing w:before="0" w:after="200" w:line="336" w:lineRule="auto"/>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اول</w:t>
      </w:r>
    </w:p>
    <w:p>
      <w:pPr>
        <w:pStyle w:val="TH-Body"/>
        <w:widowControl/>
        <w:bidi w:val="1"/>
        <w:spacing w:before="0" w:after="200" w:line="336" w:lineRule="auto"/>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دوم: کلیات حقوق معاهدات و قانون اساسی</w:t>
      </w:r>
    </w:p>
    <w:p>
      <w:pPr>
        <w:pStyle w:val="TH-Body"/>
        <w:widowControl/>
        <w:bidi w:val="1"/>
        <w:spacing w:before="0" w:after="200" w:line="336" w:lineRule="auto"/>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تاریخچه و اصول حقوق معاهدات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از عرف تا وین؛ تاریخچه‌ای کوتاه</w:t>
      </w:r>
    </w:p>
    <w:p>
      <w:pPr>
        <w:pStyle w:val="TH-Body"/>
        <w:widowControl/>
        <w:bidi w:val="1"/>
        <w:spacing w:before="0" w:after="200" w:line="336" w:lineRule="auto"/>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اصل بنیادین؛ پاکتا سونت سرواندا</w:t>
      </w:r>
    </w:p>
    <w:p>
      <w:pPr>
        <w:pStyle w:val="TH-Body"/>
        <w:widowControl/>
        <w:bidi w:val="1"/>
        <w:spacing w:before="0" w:after="200" w:line="336" w:lineRule="auto"/>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200" w:line="336" w:lineRule="auto"/>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ماده ۲۷؛ دیوار میان داخلی و بین‌المللی</w:t>
      </w:r>
    </w:p>
    <w:p>
      <w:pPr>
        <w:pStyle w:val="TH-Body"/>
        <w:widowControl/>
        <w:bidi w:val="1"/>
        <w:spacing w:before="0" w:after="200" w:line="336" w:lineRule="auto"/>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200" w:line="336" w:lineRule="auto"/>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مضیق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سازوکارهای تعلیق و خاتمه موجه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منطق کلی؛ خاتمه فقط از مجرای قانون</w:t>
      </w:r>
    </w:p>
    <w:p>
      <w:pPr>
        <w:pStyle w:val="TH-Body"/>
        <w:widowControl/>
        <w:bidi w:val="1"/>
        <w:spacing w:before="0" w:after="200" w:line="336" w:lineRule="auto"/>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200" w:line="336"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توافق اطراف و حق مندرج در متن</w:t>
      </w:r>
    </w:p>
    <w:p>
      <w:pPr>
        <w:pStyle w:val="TH-Body"/>
        <w:widowControl/>
        <w:bidi w:val="1"/>
        <w:spacing w:before="0" w:after="200" w:line="336" w:lineRule="auto"/>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نقض اساسی طرف مقابل</w:t>
      </w:r>
    </w:p>
    <w:p>
      <w:pPr>
        <w:pStyle w:val="TH-Body"/>
        <w:widowControl/>
        <w:bidi w:val="1"/>
        <w:spacing w:before="0" w:after="200" w:line="336" w:lineRule="auto"/>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تغییر بنیادین اوضاع</w:t>
      </w:r>
    </w:p>
    <w:p>
      <w:pPr>
        <w:pStyle w:val="TH-Body"/>
        <w:widowControl/>
        <w:bidi w:val="1"/>
        <w:spacing w:before="0" w:after="200" w:line="336" w:lineRule="auto"/>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عدم امکان اجرا و آیین ادعا</w:t>
      </w:r>
    </w:p>
    <w:p>
      <w:pPr>
        <w:pStyle w:val="TH-Body"/>
        <w:widowControl/>
        <w:bidi w:val="1"/>
        <w:spacing w:before="0" w:after="200" w:line="336" w:lineRule="auto"/>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ششم: حق شرط و اعلامیه تفسیری؛ انعطافِ هنگامِ پذیرش</w:t>
      </w:r>
    </w:p>
    <w:p>
      <w:pPr>
        <w:pStyle w:val="TH-Body"/>
        <w:widowControl/>
        <w:bidi w:val="1"/>
        <w:spacing w:before="0" w:after="200" w:line="336" w:lineRule="auto"/>
        <w:jc w:val="both"/>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قواعد تفسیر معاهدات؛ فهم متن پیش از عمل</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قاعده عام تفسیر؛ متن، سیاق، هدف</w:t>
      </w:r>
    </w:p>
    <w:p>
      <w:pPr>
        <w:pStyle w:val="TH-Body"/>
        <w:widowControl/>
        <w:bidi w:val="1"/>
        <w:spacing w:before="0" w:after="200" w:line="336" w:lineRule="auto"/>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200" w:line="336"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نقش سوابق انعقاد و رفتار بعدی</w:t>
      </w:r>
    </w:p>
    <w:p>
      <w:pPr>
        <w:pStyle w:val="TH-Body"/>
        <w:widowControl/>
        <w:bidi w:val="1"/>
        <w:spacing w:before="0" w:after="200" w:line="336" w:lineRule="auto"/>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اعتبار معاهدات؛ اهلیت، رضایت و عیوب اراده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شرایط اعتبار؛ چرا بحث اعتبار به مسئله ما مربوط است؟</w:t>
      </w:r>
    </w:p>
    <w:p>
      <w:pPr>
        <w:pStyle w:val="TH-Body"/>
        <w:widowControl/>
        <w:bidi w:val="1"/>
        <w:spacing w:before="0" w:after="200" w:line="336" w:lineRule="auto"/>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اهلیت و صلاحیت انعقاد</w:t>
      </w:r>
    </w:p>
    <w:p>
      <w:pPr>
        <w:pStyle w:val="TH-Body"/>
        <w:widowControl/>
        <w:bidi w:val="1"/>
        <w:spacing w:before="0" w:after="200" w:line="336" w:lineRule="auto"/>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عیوب اراده؛ اشتباه، فریب و اجبار</w:t>
      </w:r>
    </w:p>
    <w:p>
      <w:pPr>
        <w:pStyle w:val="TH-Body"/>
        <w:widowControl/>
        <w:bidi w:val="1"/>
        <w:spacing w:before="0" w:after="200" w:line="336" w:lineRule="auto"/>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ثبت معاهدات و اثر آن</w:t>
      </w:r>
    </w:p>
    <w:p>
      <w:pPr>
        <w:pStyle w:val="TH-Body"/>
        <w:widowControl/>
        <w:bidi w:val="1"/>
        <w:spacing w:before="0" w:after="200" w:line="336" w:lineRule="auto"/>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اصول قانون اساسی مرتبط</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اصل ۵؛ تثبیت مرجعیت</w:t>
      </w:r>
    </w:p>
    <w:p>
      <w:pPr>
        <w:pStyle w:val="TH-Body"/>
        <w:widowControl/>
        <w:bidi w:val="1"/>
        <w:spacing w:before="0" w:after="200" w:line="336" w:lineRule="auto"/>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200" w:line="336" w:lineRule="auto"/>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اصل ۵۷؛ ولایت مطلقه و قید آن</w:t>
      </w:r>
    </w:p>
    <w:p>
      <w:pPr>
        <w:pStyle w:val="TH-Body"/>
        <w:widowControl/>
        <w:bidi w:val="1"/>
        <w:spacing w:before="0" w:after="200" w:line="336" w:lineRule="auto"/>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200" w:line="336" w:lineRule="auto"/>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اصول ۷۷ و ۱۲۵؛ ورود به التزام</w:t>
      </w:r>
    </w:p>
    <w:p>
      <w:pPr>
        <w:pStyle w:val="TH-Body"/>
        <w:widowControl/>
        <w:bidi w:val="1"/>
        <w:spacing w:before="0" w:after="200" w:line="336" w:lineRule="auto"/>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200" w:line="336" w:lineRule="auto"/>
        <w:jc w:val="both"/>
      </w:pPr>
      <w:r>
        <w:rPr>
          <w:rFonts w:ascii="B Lotus" w:hAnsi="B Lotus" w:cs="B Lotus" w:eastAsia="B Lotus"/>
          <w:b w:val="0"/>
          <w:i w:val="0"/>
          <w:sz w:val="28"/>
          <w:szCs w:val="28"/>
        </w:rPr>
        <w:t>و اصل ۱۲۵ درباره «اعلام التزام»: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200" w:line="336" w:lineRule="auto"/>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اصول ۱۱۰ و ۱۱۲؛ اختیارات و مصلحت</w:t>
      </w:r>
    </w:p>
    <w:p>
      <w:pPr>
        <w:pStyle w:val="TH-Body"/>
        <w:widowControl/>
        <w:bidi w:val="1"/>
        <w:spacing w:before="0" w:after="200" w:line="336" w:lineRule="auto"/>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اصول ۱۵۲ تا ۱۵۴ و ۱۷۶؛ جهت‌گیری سیاست خارجی</w:t>
      </w:r>
    </w:p>
    <w:p>
      <w:pPr>
        <w:pStyle w:val="TH-Body"/>
        <w:widowControl/>
        <w:bidi w:val="1"/>
        <w:spacing w:before="0" w:after="200" w:line="336" w:lineRule="auto"/>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دوم</w:t>
      </w:r>
    </w:p>
    <w:p>
      <w:pPr>
        <w:pStyle w:val="TH-Body"/>
        <w:widowControl/>
        <w:bidi w:val="1"/>
        <w:spacing w:before="0" w:after="200" w:line="336" w:lineRule="auto"/>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r>
        <w:rPr>
          <w:rFonts w:ascii="B Titr" w:hAnsi="B Titr" w:cs="B Titr" w:eastAsia="B Titr"/>
          <w:b/>
          <w:i w:val="0"/>
          <w:sz w:val="64"/>
          <w:szCs w:val="64"/>
        </w:rPr>
        <w:t>بخش دوم: تحلیل فقهی مسئله</w:t>
      </w:r>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سوم: ادله وجوب وفای به عهد</w:t>
      </w:r>
    </w:p>
    <w:p>
      <w:pPr>
        <w:pStyle w:val="TH-Body"/>
        <w:widowControl/>
        <w:bidi w:val="1"/>
        <w:spacing w:before="0" w:after="200" w:line="336" w:lineRule="auto"/>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آیات عام وجوب وفا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آیه اوفوا بالعقود؛ امّ ادله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200" w:line="336" w:lineRule="auto"/>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200" w:line="336"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آیات نحل و اسراء و رعد و مؤمنون</w:t>
      </w:r>
    </w:p>
    <w:p>
      <w:pPr>
        <w:pStyle w:val="TH-Body"/>
        <w:widowControl/>
        <w:bidi w:val="1"/>
        <w:spacing w:before="0" w:after="200" w:line="336" w:lineRule="auto"/>
        <w:jc w:val="both"/>
      </w:pPr>
      <w:r>
        <w:rPr>
          <w:rFonts w:ascii="B Lotus" w:hAnsi="B Lotus" w:cs="B Lotus" w:eastAsia="B Lotus"/>
          <w:b w:val="0"/>
          <w:i w:val="0"/>
          <w:sz w:val="28"/>
          <w:szCs w:val="28"/>
        </w:rPr>
        <w:t>آیه دوم، آیات ۹۱ و ۹۲ نحل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200" w:line="336" w:lineRule="auto"/>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200" w:line="336" w:lineRule="auto"/>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200" w:line="336" w:lineRule="auto"/>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200" w:line="336" w:lineRule="auto"/>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دفع یک توهم؛ عموم یا اطلاق؟</w:t>
      </w:r>
    </w:p>
    <w:p>
      <w:pPr>
        <w:pStyle w:val="TH-Body"/>
        <w:widowControl/>
        <w:bidi w:val="1"/>
        <w:spacing w:before="0" w:after="200" w:line="336" w:lineRule="auto"/>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آیات خاص جهاد و عهدنامه‌ها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آیات توبه؛ وفا در برابر استقامت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200" w:line="336" w:lineRule="auto"/>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آیات انفال؛ انباذ و یاری مظلوم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200" w:line="336" w:lineRule="auto"/>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200" w:line="336" w:lineRule="auto"/>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روایات وفای به عهد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حدیث شروط؛ المؤمنون عند شروطهم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200" w:line="336" w:lineRule="auto"/>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عهدنامه مالک اشتر؛ منشور حکومتی</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200" w:line="336" w:lineRule="auto"/>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سایر روایات؛ لعنت بر ناقض</w:t>
      </w:r>
    </w:p>
    <w:p>
      <w:pPr>
        <w:pStyle w:val="TH-Body"/>
        <w:widowControl/>
        <w:bidi w:val="1"/>
        <w:spacing w:before="0" w:after="200" w:line="336" w:lineRule="auto"/>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سیره معصومان در عهدنامه‌ها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صلح حدیبیه؛ الگوی صبر حکومتی</w:t>
      </w:r>
    </w:p>
    <w:p>
      <w:pPr>
        <w:pStyle w:val="TH-Body"/>
        <w:widowControl/>
        <w:bidi w:val="1"/>
        <w:spacing w:before="0" w:after="200" w:line="336" w:lineRule="auto"/>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200" w:line="336"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فتح مکه و برائت؛ عدولِ موجهِ قرآنی</w:t>
      </w:r>
    </w:p>
    <w:p>
      <w:pPr>
        <w:pStyle w:val="TH-Body"/>
        <w:widowControl/>
        <w:bidi w:val="1"/>
        <w:spacing w:before="0" w:after="200" w:line="336" w:lineRule="auto"/>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سیره امیرالمؤمنین؛ از صفین تا حکمیت</w:t>
      </w:r>
    </w:p>
    <w:p>
      <w:pPr>
        <w:pStyle w:val="TH-Body"/>
        <w:widowControl/>
        <w:bidi w:val="1"/>
        <w:spacing w:before="0" w:after="200" w:line="336" w:lineRule="auto"/>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جمع‌بندی سیره؛ سه الگو</w:t>
      </w:r>
    </w:p>
    <w:p>
      <w:pPr>
        <w:pStyle w:val="TH-Body"/>
        <w:widowControl/>
        <w:bidi w:val="1"/>
        <w:spacing w:before="0" w:after="200" w:line="336" w:lineRule="auto"/>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دلیل عقل و بنای عقلا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حکم عقل به قبح نقض عهد</w:t>
      </w:r>
    </w:p>
    <w:p>
      <w:pPr>
        <w:pStyle w:val="TH-Body"/>
        <w:widowControl/>
        <w:bidi w:val="1"/>
        <w:spacing w:before="0" w:after="200" w:line="336" w:lineRule="auto"/>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بنای عقلا؛ از بازار تا سازمان ملل</w:t>
      </w:r>
    </w:p>
    <w:p>
      <w:pPr>
        <w:pStyle w:val="TH-Body"/>
        <w:widowControl/>
        <w:bidi w:val="1"/>
        <w:spacing w:before="0" w:after="200" w:line="336" w:lineRule="auto"/>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ششم: قواعد فقهی مؤید وجوب وفا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اصالة اللزوم در عقود</w:t>
      </w:r>
    </w:p>
    <w:p>
      <w:pPr>
        <w:pStyle w:val="TH-Body"/>
        <w:widowControl/>
        <w:bidi w:val="1"/>
        <w:spacing w:before="0" w:after="200" w:line="336" w:lineRule="auto"/>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حرمت غدر و خیانت؛ مرز اخلاقی</w:t>
      </w:r>
    </w:p>
    <w:p>
      <w:pPr>
        <w:pStyle w:val="TH-Body"/>
        <w:widowControl/>
        <w:bidi w:val="1"/>
        <w:spacing w:before="0" w:after="200" w:line="336" w:lineRule="auto"/>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قاعده نفی سبیل؛ مرز دیگر وفا</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200" w:line="336" w:lineRule="auto"/>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هفتم: ادله تکمیلی؛ امانت، سوگند و آرای فقها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ادای امانت؛ نساء/۵۸</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200" w:line="336" w:lineRule="auto"/>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200" w:line="336"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حفظ سوگند؛ مائده/۸۹</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200" w:line="336" w:lineRule="auto"/>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نشانه منافق؛ وعده‌خلافی</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200" w:line="336" w:lineRule="auto"/>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میثاق مدینه و عهدنامه نجران؛ دو الگوی حکومتی</w:t>
      </w:r>
    </w:p>
    <w:p>
      <w:pPr>
        <w:pStyle w:val="TH-Body"/>
        <w:widowControl/>
        <w:bidi w:val="1"/>
        <w:spacing w:before="0" w:after="200" w:line="336" w:lineRule="auto"/>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200" w:line="336"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آرای فقها؛ از جواهر تا تحریر</w:t>
      </w:r>
    </w:p>
    <w:p>
      <w:pPr>
        <w:pStyle w:val="TH-Body"/>
        <w:widowControl/>
        <w:bidi w:val="1"/>
        <w:spacing w:before="0" w:after="200" w:line="336" w:lineRule="auto"/>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هشتم: واژه‌شناسی قرآنی؛ عهد، عقد، میثاق و وعد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چرا واژه‌شناسی؟</w:t>
      </w:r>
    </w:p>
    <w:p>
      <w:pPr>
        <w:pStyle w:val="TH-Body"/>
        <w:widowControl/>
        <w:bidi w:val="1"/>
        <w:spacing w:before="0" w:after="200" w:line="336" w:lineRule="auto"/>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عهد و عقد؛ التزام و گره</w:t>
      </w:r>
    </w:p>
    <w:p>
      <w:pPr>
        <w:pStyle w:val="TH-Body"/>
        <w:widowControl/>
        <w:bidi w:val="1"/>
        <w:spacing w:before="0" w:after="200" w:line="336" w:lineRule="auto"/>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میثاق و وعد؛ پیمانِ محکم و وعده</w:t>
      </w:r>
    </w:p>
    <w:p>
      <w:pPr>
        <w:pStyle w:val="TH-Body"/>
        <w:widowControl/>
        <w:bidi w:val="1"/>
        <w:spacing w:before="0" w:after="200" w:line="336" w:lineRule="auto"/>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200" w:line="336"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ایمان و ذمه؛ سوگند و عهده</w:t>
      </w:r>
    </w:p>
    <w:p>
      <w:pPr>
        <w:pStyle w:val="TH-Body"/>
        <w:widowControl/>
        <w:bidi w:val="1"/>
        <w:spacing w:before="0" w:after="200" w:line="336" w:lineRule="auto"/>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200" w:line="336"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سوم</w:t>
      </w:r>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چهارم: مبانی جواز عدول و ضوابط آن</w:t>
      </w:r>
    </w:p>
    <w:p>
      <w:pPr>
        <w:pStyle w:val="TH-Body"/>
        <w:widowControl/>
        <w:bidi w:val="1"/>
        <w:spacing w:before="0" w:after="200" w:line="336" w:lineRule="auto"/>
        <w:jc w:val="both"/>
      </w:pPr>
      <w:r>
        <w:rPr>
          <w:rFonts w:ascii="B Lotus" w:hAnsi="B Lotus" w:cs="B Lotus" w:eastAsia="B Lotus"/>
          <w:b w:val="0"/>
          <w:i w:val="0"/>
          <w:sz w:val="28"/>
          <w:szCs w:val="28"/>
        </w:rPr>
        <w:t>در فصل سوم وکیل وفا بودم و قاعده را با هشت گفتارِ مستدل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قاعده تزاحم؛ قلب تپنده استدلال</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تعارض و تزاحم؛ فرقی که سرنوشت‌ساز است</w:t>
      </w:r>
    </w:p>
    <w:p>
      <w:pPr>
        <w:pStyle w:val="TH-Body"/>
        <w:widowControl/>
        <w:bidi w:val="1"/>
        <w:spacing w:before="0" w:after="200" w:line="336" w:lineRule="auto"/>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200" w:line="336"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شرایط تحقق تزاحم در مسئله ما</w:t>
      </w:r>
    </w:p>
    <w:p>
      <w:pPr>
        <w:pStyle w:val="TH-Body"/>
        <w:widowControl/>
        <w:bidi w:val="1"/>
        <w:spacing w:before="0" w:after="200" w:line="336" w:lineRule="auto"/>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پاسخ به اشکال مقدّر؛ آیا تزاحم در احکام حکومتی جاری است؟</w:t>
      </w:r>
    </w:p>
    <w:p>
      <w:pPr>
        <w:pStyle w:val="TH-Body"/>
        <w:widowControl/>
        <w:bidi w:val="1"/>
        <w:spacing w:before="0" w:after="200" w:line="336" w:lineRule="auto"/>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حکم حکومتی؛ ابزار حل تزاحم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نظریه حکم حکومتی امام خمینی</w:t>
      </w:r>
    </w:p>
    <w:p>
      <w:pPr>
        <w:pStyle w:val="TH-Body"/>
        <w:widowControl/>
        <w:bidi w:val="1"/>
        <w:spacing w:before="0" w:after="200" w:line="336" w:lineRule="auto"/>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شرایط حکم حکومتی در مسئله ما</w:t>
      </w:r>
    </w:p>
    <w:p>
      <w:pPr>
        <w:pStyle w:val="TH-Body"/>
        <w:widowControl/>
        <w:bidi w:val="1"/>
        <w:spacing w:before="0" w:after="200" w:line="336" w:lineRule="auto"/>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پاسخ به اشکال مقدّر؛ آیا حکم حکومتی شامل تعهدات بین‌المللی می‌شود؟</w:t>
      </w:r>
    </w:p>
    <w:p>
      <w:pPr>
        <w:pStyle w:val="TH-Body"/>
        <w:widowControl/>
        <w:bidi w:val="1"/>
        <w:spacing w:before="0" w:after="200" w:line="336" w:lineRule="auto"/>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قواعد نفی ضرر و حرج و مصلحت نظام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قاعده لاضرر؛ ضرر به نظام، ضرر به امت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200" w:line="336" w:lineRule="auto"/>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قاعده لاحرج؛ حرج اداره کشور</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200" w:line="336" w:lineRule="auto"/>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مصلحت نظام؛ اوجب واجبات</w:t>
      </w:r>
    </w:p>
    <w:p>
      <w:pPr>
        <w:pStyle w:val="TH-Body"/>
        <w:widowControl/>
        <w:bidi w:val="1"/>
        <w:spacing w:before="0" w:after="200" w:line="336" w:lineRule="auto"/>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ضوابط هشت‌گانه عدول حکومتی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ضابطه اول تا سوم؛ تزاحم، تقدم راه حقوقی، تشخیص ولی فقیه</w:t>
      </w:r>
    </w:p>
    <w:p>
      <w:pPr>
        <w:pStyle w:val="TH-Body"/>
        <w:widowControl/>
        <w:bidi w:val="1"/>
        <w:spacing w:before="0" w:after="200" w:line="336" w:lineRule="auto"/>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ضابطه چهارم تا ششم؛ تناسب، موقت بودن، انباذ</w:t>
      </w:r>
    </w:p>
    <w:p>
      <w:pPr>
        <w:pStyle w:val="TH-Body"/>
        <w:widowControl/>
        <w:bidi w:val="1"/>
        <w:spacing w:before="0" w:after="200" w:line="336" w:lineRule="auto"/>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ضابطه هفتم و هشتم؛ قواعد آمره و لحاظ آثار</w:t>
      </w:r>
    </w:p>
    <w:p>
      <w:pPr>
        <w:pStyle w:val="TH-Body"/>
        <w:widowControl/>
        <w:bidi w:val="1"/>
        <w:spacing w:before="0" w:after="200" w:line="336" w:lineRule="auto"/>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200" w:line="336"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دفع اشکالات مقدّر؛ آزمون استحکام</w:t>
      </w:r>
    </w:p>
    <w:p>
      <w:pPr>
        <w:pStyle w:val="TH-Body"/>
        <w:widowControl/>
        <w:bidi w:val="1"/>
        <w:spacing w:before="0" w:after="200" w:line="336" w:lineRule="auto"/>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آیا تقدیم مصلحت بر نص، تعطیل نص نیست؟</w:t>
      </w:r>
    </w:p>
    <w:p>
      <w:pPr>
        <w:pStyle w:val="TH-Body"/>
        <w:widowControl/>
        <w:bidi w:val="1"/>
        <w:spacing w:before="0" w:after="200" w:line="336" w:lineRule="auto"/>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آیا این راه به توجیه هر عهدشکنی نمی‌انجامد؟</w:t>
      </w:r>
    </w:p>
    <w:p>
      <w:pPr>
        <w:pStyle w:val="TH-Body"/>
        <w:widowControl/>
        <w:bidi w:val="1"/>
        <w:spacing w:before="0" w:after="200" w:line="336" w:lineRule="auto"/>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آیا حاکم در دعوای خودش داور است؟</w:t>
      </w:r>
    </w:p>
    <w:p>
      <w:pPr>
        <w:pStyle w:val="TH-Body"/>
        <w:widowControl/>
        <w:bidi w:val="1"/>
        <w:spacing w:before="0" w:after="200" w:line="336" w:lineRule="auto"/>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ششم: پیشینه نظری؛ از نراقی تا امام خمینی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نراقی و تأسیس بحث ولایت فقیه</w:t>
      </w:r>
    </w:p>
    <w:p>
      <w:pPr>
        <w:pStyle w:val="TH-Body"/>
        <w:widowControl/>
        <w:bidi w:val="1"/>
        <w:spacing w:before="0" w:after="200" w:line="336" w:lineRule="auto"/>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نائینی و دولت مشروطه؛ تجربه تلخ و درس شیرین</w:t>
      </w:r>
    </w:p>
    <w:p>
      <w:pPr>
        <w:pStyle w:val="TH-Body"/>
        <w:widowControl/>
        <w:bidi w:val="1"/>
        <w:spacing w:before="0" w:after="200" w:line="336" w:lineRule="auto"/>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امام خمینی؛ از کشف اسرار تا صحیفه</w:t>
      </w:r>
    </w:p>
    <w:p>
      <w:pPr>
        <w:pStyle w:val="TH-Body"/>
        <w:widowControl/>
        <w:bidi w:val="1"/>
        <w:spacing w:before="0" w:after="200" w:line="336" w:lineRule="auto"/>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200" w:line="336"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صلح امام حسن؛ بزرگ‌ترین الگوی مصلحت‌سنجی حکومتی</w:t>
      </w:r>
    </w:p>
    <w:p>
      <w:pPr>
        <w:pStyle w:val="TH-Body"/>
        <w:widowControl/>
        <w:bidi w:val="1"/>
        <w:spacing w:before="0" w:after="200" w:line="336" w:lineRule="auto"/>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200" w:line="336"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200" w:line="336"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مراتب تزاحم؛ اهم، مهم و محتمل‌الاهمیه</w:t>
      </w:r>
    </w:p>
    <w:p>
      <w:pPr>
        <w:pStyle w:val="TH-Body"/>
        <w:widowControl/>
        <w:bidi w:val="1"/>
        <w:spacing w:before="0" w:after="200" w:line="336" w:lineRule="auto"/>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200" w:line="336"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چهارم</w:t>
      </w:r>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r>
        <w:rPr>
          <w:rFonts w:ascii="B Titr" w:hAnsi="B Titr" w:cs="B Titr" w:eastAsia="B Titr"/>
          <w:b/>
          <w:i w:val="0"/>
          <w:sz w:val="64"/>
          <w:szCs w:val="64"/>
        </w:rPr>
        <w:t>بخش سوم: تحلیل حقوقی مسئله</w:t>
      </w:r>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پنجم: مسئولیت بین‌المللی دولت و جایگاه حقوق اساسی تصمیم</w:t>
      </w:r>
    </w:p>
    <w:p>
      <w:pPr>
        <w:pStyle w:val="TH-Body"/>
        <w:widowControl/>
        <w:bidi w:val="1"/>
        <w:spacing w:before="0" w:after="200" w:line="336" w:lineRule="auto"/>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چارچوب مسئولیت بین‌المللی دولت‌ها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200" w:line="336" w:lineRule="auto"/>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جایگاه عرفی کنوانسیون وین و رویه دیوان</w:t>
      </w:r>
    </w:p>
    <w:p>
      <w:pPr>
        <w:pStyle w:val="TH-Body"/>
        <w:widowControl/>
        <w:bidi w:val="1"/>
        <w:spacing w:before="0" w:after="200" w:line="336" w:lineRule="auto"/>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200" w:line="336"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ارکان عمل متخلفانه؛ انتساب و نقض</w:t>
      </w:r>
    </w:p>
    <w:p>
      <w:pPr>
        <w:pStyle w:val="TH-Body"/>
        <w:widowControl/>
        <w:bidi w:val="1"/>
        <w:spacing w:before="0" w:after="200" w:line="336" w:lineRule="auto"/>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انتساب تصمیم ولی فقیه به دولت ایران</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200" w:line="336" w:lineRule="auto"/>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200" w:line="336" w:lineRule="auto"/>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200" w:line="336" w:lineRule="auto"/>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نقض تعهد و تفکیک سه‌گانه سطوح تحلیل</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تحقق نقض و اقسام آن</w:t>
      </w:r>
    </w:p>
    <w:p>
      <w:pPr>
        <w:pStyle w:val="TH-Body"/>
        <w:widowControl/>
        <w:bidi w:val="1"/>
        <w:spacing w:before="0" w:after="200" w:line="336" w:lineRule="auto"/>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200" w:line="336"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200" w:line="336" w:lineRule="auto"/>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200" w:line="336"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اسباب رافع وصف متخلفانه</w:t>
      </w:r>
    </w:p>
    <w:p>
      <w:pPr>
        <w:pStyle w:val="TH-Body"/>
        <w:widowControl/>
        <w:bidi w:val="1"/>
        <w:spacing w:before="0" w:after="200" w:line="336"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200" w:line="336"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200" w:line="336" w:lineRule="auto"/>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200" w:line="336" w:lineRule="auto"/>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شرایط اقدام متقابل و جبران در رویه</w:t>
      </w:r>
    </w:p>
    <w:p>
      <w:pPr>
        <w:pStyle w:val="TH-Body"/>
        <w:widowControl/>
        <w:bidi w:val="1"/>
        <w:spacing w:before="0" w:after="200" w:line="336" w:lineRule="auto"/>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200" w:line="336"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نمونه تحلیلی؛ تجربه برجام</w:t>
      </w:r>
    </w:p>
    <w:p>
      <w:pPr>
        <w:pStyle w:val="TH-Body"/>
        <w:widowControl/>
        <w:bidi w:val="1"/>
        <w:spacing w:before="0" w:after="200" w:line="336" w:lineRule="auto"/>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ششم: تجربه تطبیقی؛ خروج از معاهدات در عمل دولت‌ها</w:t>
      </w:r>
    </w:p>
    <w:p>
      <w:pPr>
        <w:pStyle w:val="TH-Body"/>
        <w:widowControl/>
        <w:bidi w:val="1"/>
        <w:spacing w:before="0" w:after="200" w:line="336" w:lineRule="auto"/>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جایگاه حقوق اساسی تصمیم ولی فقیه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تحلیل اصول ۵، ۵۷، ۷۷، ۱۱۲ و ۱۲۵</w:t>
      </w:r>
    </w:p>
    <w:p>
      <w:pPr>
        <w:pStyle w:val="TH-Body"/>
        <w:widowControl/>
        <w:bidi w:val="1"/>
        <w:spacing w:before="0" w:after="200" w:line="336" w:lineRule="auto"/>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اصول ۱۰۷ تا ۱۱۱؛ نصب، شرایط و نظارت</w:t>
      </w:r>
    </w:p>
    <w:p>
      <w:pPr>
        <w:pStyle w:val="TH-Body"/>
        <w:widowControl/>
        <w:bidi w:val="1"/>
        <w:spacing w:before="0" w:after="200" w:line="336" w:lineRule="auto"/>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سیاست‌های کلی نظام؛ حلقه واسطِ رهبری و معاهدات</w:t>
      </w:r>
    </w:p>
    <w:p>
      <w:pPr>
        <w:pStyle w:val="TH-Body"/>
        <w:widowControl/>
        <w:bidi w:val="1"/>
        <w:spacing w:before="0" w:after="200" w:line="336" w:lineRule="auto"/>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تحلیل اصل ۱۱۰؛ نقد ادعای حصر و تفکیک انواع اختیار</w:t>
      </w:r>
    </w:p>
    <w:p>
      <w:pPr>
        <w:pStyle w:val="TH-Body"/>
        <w:widowControl/>
        <w:bidi w:val="1"/>
        <w:spacing w:before="0" w:after="200" w:line="336" w:lineRule="auto"/>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200" w:line="336"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پنجم</w:t>
      </w:r>
    </w:p>
    <w:p>
      <w:pPr>
        <w:pStyle w:val="TH-Body"/>
        <w:widowControl/>
        <w:bidi w:val="1"/>
        <w:spacing w:before="0" w:after="200" w:line="336" w:lineRule="auto"/>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نتیجه‌گیری</w:t>
      </w:r>
    </w:p>
    <w:p>
      <w:pPr>
        <w:pStyle w:val="TH-Body"/>
        <w:widowControl/>
        <w:bidi w:val="1"/>
        <w:spacing w:before="0" w:after="200" w:line="336" w:lineRule="auto"/>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اول: قاعده اولی، وجوب وفاست</w:t>
      </w:r>
    </w:p>
    <w:p>
      <w:pPr>
        <w:pStyle w:val="TH-Body"/>
        <w:widowControl/>
        <w:bidi w:val="1"/>
        <w:spacing w:before="0" w:after="200" w:line="336" w:lineRule="auto"/>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200" w:line="336" w:lineRule="auto"/>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سوم: ضوابط هشت‌گانه، مهار جواز است</w:t>
      </w:r>
    </w:p>
    <w:p>
      <w:pPr>
        <w:pStyle w:val="TH-Body"/>
        <w:widowControl/>
        <w:bidi w:val="1"/>
        <w:spacing w:before="0" w:after="200" w:line="336" w:lineRule="auto"/>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چهارم: سه سطح را قاطی نکنیم</w:t>
      </w:r>
    </w:p>
    <w:p>
      <w:pPr>
        <w:pStyle w:val="TH-Body"/>
        <w:widowControl/>
        <w:bidi w:val="1"/>
        <w:spacing w:before="0" w:after="200" w:line="336" w:lineRule="auto"/>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پنجم: قانون اساسی کف است نه سقف</w:t>
      </w:r>
    </w:p>
    <w:p>
      <w:pPr>
        <w:pStyle w:val="TH-Body"/>
        <w:widowControl/>
        <w:bidi w:val="1"/>
        <w:spacing w:before="0" w:after="200" w:line="336" w:lineRule="auto"/>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نوآوری‌ها و پیشنهادها</w:t>
      </w:r>
    </w:p>
    <w:p>
      <w:pPr>
        <w:pStyle w:val="TH-Body"/>
        <w:widowControl/>
        <w:bidi w:val="1"/>
        <w:spacing w:before="0" w:after="200" w:line="336" w:lineRule="auto"/>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پاسخ کوتاه به سؤال‌های فرعی؛ جمع‌بندی برای دفاع</w:t>
      </w:r>
    </w:p>
    <w:p>
      <w:pPr>
        <w:pStyle w:val="TH-Body"/>
        <w:widowControl/>
        <w:bidi w:val="1"/>
        <w:spacing w:before="0" w:after="200" w:line="336" w:lineRule="auto"/>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مسیر آینده؛ از رساله تا نظام‌سازی</w:t>
      </w:r>
    </w:p>
    <w:p>
      <w:pPr>
        <w:pStyle w:val="TH-Body"/>
        <w:widowControl/>
        <w:bidi w:val="1"/>
        <w:spacing w:before="0" w:after="200" w:line="336" w:lineRule="auto"/>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فهرست منابع</w:t>
      </w:r>
    </w:p>
    <w:p>
      <w:pPr>
        <w:pStyle w:val="TH-Body"/>
        <w:widowControl/>
        <w:bidi w:val="1"/>
        <w:spacing w:before="0" w:after="200" w:line="336" w:lineRule="auto"/>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قرآن کریم و تفاسیر</w:t>
      </w:r>
    </w:p>
    <w:p>
      <w:pPr>
        <w:pStyle w:val="TH-Body"/>
        <w:widowControl/>
        <w:bidi w:val="1"/>
        <w:spacing w:before="0" w:after="200" w:line="336" w:lineRule="auto"/>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جوامع حدیثی و نهج‌البلاغه</w:t>
      </w:r>
    </w:p>
    <w:p>
      <w:pPr>
        <w:pStyle w:val="TH-Body"/>
        <w:widowControl/>
        <w:bidi w:val="1"/>
        <w:spacing w:before="0" w:after="200" w:line="336" w:lineRule="auto"/>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کتب فقهی و اصولی</w:t>
      </w:r>
    </w:p>
    <w:p>
      <w:pPr>
        <w:pStyle w:val="TH-Body"/>
        <w:widowControl/>
        <w:bidi w:val="1"/>
        <w:spacing w:before="0" w:after="200" w:line="336" w:lineRule="auto"/>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فقه سیاسی، ولایت فقیه و حکومت اسلامی</w:t>
      </w:r>
    </w:p>
    <w:p>
      <w:pPr>
        <w:pStyle w:val="TH-Body"/>
        <w:widowControl/>
        <w:bidi w:val="1"/>
        <w:spacing w:before="0" w:after="200" w:line="336" w:lineRule="auto"/>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قانون اساسی و اسناد حقوقی داخلی</w:t>
      </w:r>
    </w:p>
    <w:p>
      <w:pPr>
        <w:pStyle w:val="TH-Body"/>
        <w:widowControl/>
        <w:bidi w:val="1"/>
        <w:spacing w:before="0" w:after="200" w:line="336" w:lineRule="auto"/>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اسناد بین‌المللی</w:t>
      </w:r>
    </w:p>
    <w:p>
      <w:pPr>
        <w:pStyle w:val="TH-Body"/>
        <w:widowControl/>
        <w:bidi w:val="1"/>
        <w:spacing w:before="0" w:after="200" w:line="336" w:lineRule="auto"/>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200" w:line="336"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200" w:line="336"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200" w:line="336"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کتب و مقالات حقوقی (فارسی و عربی)</w:t>
      </w:r>
    </w:p>
    <w:p>
      <w:pPr>
        <w:pStyle w:val="TH-Body"/>
        <w:widowControl/>
        <w:bidi w:val="1"/>
        <w:spacing w:before="0" w:after="200" w:line="336" w:lineRule="auto"/>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یادداشت‌های کتاب‌شناختی؛ راهنمای خواننده</w:t>
      </w:r>
    </w:p>
    <w:p>
      <w:pPr>
        <w:pStyle w:val="TH-Body"/>
        <w:widowControl/>
        <w:bidi w:val="1"/>
        <w:spacing w:before="0" w:after="200" w:line="336" w:lineRule="auto"/>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پایگاه‌های اینترنتی</w:t>
      </w:r>
    </w:p>
    <w:p>
      <w:pPr>
        <w:pStyle w:val="TH-Body"/>
        <w:widowControl/>
        <w:bidi w:val="1"/>
        <w:spacing w:before="0" w:after="200" w:line="336" w:lineRule="auto"/>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200" w:line="336"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پیوست‌ها</w:t>
      </w:r>
    </w:p>
    <w:p>
      <w:pPr>
        <w:pStyle w:val="TH-Body"/>
        <w:widowControl/>
        <w:bidi w:val="1"/>
        <w:spacing w:before="0" w:after="200" w:line="336" w:lineRule="auto"/>
        <w:jc w:val="both"/>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200" w:line="336" w:lineRule="auto"/>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200" w:line="336"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200" w:line="336"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200" w:line="336"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دوم: متن اصول قانون اساسی مرتبط</w:t>
      </w:r>
    </w:p>
    <w:p>
      <w:pPr>
        <w:pStyle w:val="TH-Body"/>
        <w:widowControl/>
        <w:bidi w:val="1"/>
        <w:spacing w:before="0" w:after="200" w:line="336" w:lineRule="auto"/>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200" w:line="336"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200" w:line="336" w:lineRule="auto"/>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200" w:line="336"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200" w:line="336"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200" w:line="336"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200" w:line="336"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200" w:line="336"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200" w:line="336" w:lineRule="auto"/>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پنجم: گزیده عهدنامه مالک اشتر (متن و ترجمه)</w:t>
      </w:r>
    </w:p>
    <w:p>
      <w:pPr>
        <w:pStyle w:val="TH-Body"/>
        <w:widowControl/>
        <w:bidi w:val="1"/>
        <w:spacing w:before="0" w:after="200" w:line="336" w:lineRule="auto"/>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200" w:line="336" w:lineRule="auto"/>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200" w:line="336" w:lineRule="auto"/>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200" w:line="336" w:lineRule="auto"/>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200" w:line="336" w:lineRule="auto"/>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ششم: واژه‌نامه فارسی ـ عربی ـ انگلیسی</w:t>
      </w:r>
    </w:p>
    <w:p>
      <w:pPr>
        <w:pStyle w:val="TH-Body"/>
        <w:widowControl/>
        <w:bidi w:val="1"/>
        <w:spacing w:before="0" w:after="200" w:line="336" w:lineRule="auto"/>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80" w:after="0" w:line="288" w:lineRule="auto"/>
      <w:jc w:val="center"/>
      <w:pBdr>
        <w:top w:val="single" w:sz="6" w:space="6" w:color="BFBFBF"/>
      </w:pBdr>
    </w:pPr>
    <w:r/>
    <w:r>
      <w:rPr>
        <w:rFonts w:ascii="B Lotus" w:hAnsi="B Lotus" w:cs="B Lotus" w:eastAsia="B Lotus"/>
        <w:b/>
        <w:i w:val="0"/>
        <w:sz w:val="22"/>
        <w:szCs w:val="22"/>
      </w:rPr>
      <w:t xml:space="preserve">صفحه </w:t>
    </w:r>
    <w:r>
      <w:rPr>
        <w:rFonts w:ascii="B Lotus" w:hAnsi="B Lotus" w:cs="B Lotus" w:eastAsia="B Lotus"/>
        <w:b/>
        <w:i w:val="0"/>
        <w:sz w:val="22"/>
        <w:szCs w:val="22"/>
      </w:rPr>
      <w:fldChar w:fldCharType="begin"/>
    </w:r>
    <w:r>
      <w:rPr>
        <w:rFonts w:ascii="B Lotus" w:hAnsi="B Lotus" w:cs="B Lotus" w:eastAsia="B Lotus"/>
        <w:b/>
        <w:i w:val="0"/>
        <w:sz w:val="22"/>
        <w:szCs w:val="22"/>
      </w:rPr>
      <w:instrText xml:space="preserve">PAGE \* MERGEFORMAT</w:instrText>
    </w:r>
    <w:r>
      <w:rPr>
        <w:rFonts w:ascii="B Lotus" w:hAnsi="B Lotus" w:cs="B Lotus" w:eastAsia="B Lotus"/>
        <w:b/>
        <w:i w:val="0"/>
        <w:sz w:val="22"/>
        <w:szCs w:val="22"/>
      </w:rPr>
      <w:fldChar w:fldCharType="end"/>
    </w:r>
  </w:p>
</w:ftr>
</file>

<file path=word/footnotes.xml><?xml version="1.0" encoding="utf-8"?>
<w:footnotes xmlns:w="http://schemas.openxmlformats.org/wordprocessingml/2006/main">
  <w:footnote w:id="0" w:type="separator">
    <w:p>
      <w:pPr>
        <w:bidi w:val="1"/>
        <w:jc w:val="right"/>
      </w:pPr>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336"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ind w:right="284"/>
      <w:tabs>
        <w:tab w:val="right" w:leader="dot" w:pos="9072"/>
      </w:tabs>
    </w:pPr>
    <w:rPr>
      <w:rFonts w:ascii="B Lotus" w:hAnsi="B Lotus" w:cs="B Lotus"/>
      <w:sz w:val="26"/>
      <w:szCs w:val="26"/>
    </w:rPr>
  </w:style>
  <w:style w:type="paragraph" w:styleId="TOC3">
    <w:name w:val="toc 3"/>
    <w:basedOn w:val="Normal"/>
    <w:pPr>
      <w:bidi w:val="1"/>
      <w:jc w:val="right"/>
      <w:ind w:right="567"/>
      <w:tabs>
        <w:tab w:val="right" w:leader="dot" w:pos="9072"/>
      </w:tabs>
    </w:pPr>
    <w:rPr>
      <w:rFonts w:ascii="B Lotus" w:hAnsi="B Lotus" w:cs="B Lotus"/>
      <w:sz w:val="26"/>
      <w:szCs w:val="26"/>
    </w:rPr>
  </w:style>
  <w:style w:type="paragraph" w:styleId="TOC4">
    <w:name w:val="toc 4"/>
    <w:basedOn w:val="Normal"/>
    <w:pPr>
      <w:bidi w:val="1"/>
      <w:jc w:val="right"/>
      <w:ind w:right="851"/>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