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w:pPr>
        <w:pStyle w:val="T-Bism"/>
      </w:pPr>
      <w:r>
        <w:t xml:space="preserve">بِسْمِ اللهِ الرَّحْمٰنِ الرَّحِیمِ</w:t>
      </w:r>
    </w:p>
    <w:p>
      <w:pPr>
        <w:pStyle w:val="T-Gap1"/>
      </w:pPr>
      <w:r>
        <w:t xml:space="preserve"/>
      </w:r>
    </w:p>
    <w:p>
      <w:pPr>
        <w:pStyle w:val="T-Org"/>
      </w:pPr>
      <w:r>
        <w:t xml:space="preserve">حوزه‌های علمیه</w:t>
      </w:r>
    </w:p>
    <w:p>
      <w:pPr>
        <w:pStyle w:val="T-Field"/>
      </w:pPr>
      <w:r>
        <w:t xml:space="preserve">گرایش: فقه و اصول</w:t>
      </w:r>
    </w:p>
    <w:p>
      <w:pPr>
        <w:pStyle w:val="T-Level"/>
      </w:pPr>
      <w:r>
        <w:t xml:space="preserve">رسالهٔ علمی سطح سه</w:t>
      </w:r>
    </w:p>
    <w:p>
      <w:pPr>
        <w:pStyle w:val="T-Gap2"/>
      </w:pPr>
      <w:r>
        <w:t xml:space="preserve"/>
      </w:r>
    </w:p>
    <w:p>
      <w:pPr>
        <w:pStyle w:val="T-Rule"/>
      </w:pPr>
      <w:r>
        <w:t xml:space="preserve"/>
      </w:r>
    </w:p>
    <w:p>
      <w:pPr>
        <w:pStyle w:val="T-Main"/>
      </w:pPr>
      <w:r>
        <w:t xml:space="preserve">عدول ولی فقیه از تعهدات بین‌المللی دولت اسلامی</w:t>
      </w:r>
    </w:p>
    <w:p>
      <w:pPr>
        <w:pStyle w:val="T-Sub"/>
      </w:pPr>
      <w:r>
        <w:t xml:space="preserve">از منظر فقه امامیه و حقوق بین‌الملل</w:t>
      </w:r>
    </w:p>
    <w:p>
      <w:pPr>
        <w:pStyle w:val="T-Rule"/>
      </w:pPr>
      <w:r>
        <w:t xml:space="preserve"/>
      </w:r>
    </w:p>
    <w:p>
      <w:pPr>
        <w:pStyle w:val="T-Gap2"/>
      </w:pPr>
      <w:r>
        <w:t xml:space="preserve"/>
      </w:r>
    </w:p>
    <w:p>
      <w:pPr>
        <w:pStyle w:val="T-MetaB"/>
      </w:pPr>
      <w:r>
        <w:t xml:space="preserve">پژوهشگر: هادی شبستانی</w:t>
      </w:r>
    </w:p>
    <w:p>
      <w:pPr>
        <w:pStyle w:val="T-Gap3"/>
      </w:pPr>
      <w:r>
        <w:t xml:space="preserve"/>
      </w:r>
    </w:p>
    <w:p>
      <w:pPr>
        <w:pStyle w:val="T-Meta"/>
      </w:pPr>
      <w:r>
        <w:t xml:space="preserve">استاد راهنما: …………………………</w:t>
      </w:r>
    </w:p>
    <w:p>
      <w:pPr>
        <w:pStyle w:val="T-Meta"/>
      </w:pPr>
      <w:r>
        <w:t xml:space="preserve">استاد مشاور: …………………………</w:t>
      </w:r>
    </w:p>
    <w:p>
      <w:pPr>
        <w:pStyle w:val="T-Gap2"/>
      </w:pPr>
      <w:r>
        <w:t xml:space="preserve"/>
      </w:r>
    </w:p>
    <w:p>
      <w:pPr>
        <w:pStyle w:val="T-Date"/>
      </w:pPr>
      <w:r>
        <w:t xml:space="preserve">سال تحصیلی ۱۴۰۵ – ۱۴۰۶</w:t>
      </w:r>
    </w:p>
    <w:p>
      <w:pPr>
        <w:pStyle w:val="T-Spacer"/>
        <w:sectPr>
          <w:headerReference w:type="default" r:id="rId9"/>
          <w:footerReference w:type="default" r:id="rId10"/>
          <w:pgSz w:w="11906" w:h="16838"/>
          <w:pgMar w:top="1418" w:right="1984" w:bottom="1418" w:left="1418" w:header="709" w:footer="709" w:gutter="0"/>
          <w:cols w:space="708"/>
          <w:docGrid w:linePitch="360"/>
          <w:titlePg/>
        </w:sectPr>
      </w:pPr>
    </w:p>
    <w:p>
      <w:pPr>
        <w:pStyle w:val="TH-EpigraphAr"/>
      </w:pPr>
      <w:r>
        <w:t xml:space="preserve">یَا أَیُّهَا الَّذِینَ آمَنُوا أَوْفُوا بِالْعُقُودِ</w:t>
      </w:r>
    </w:p>
    <w:p>
      <w:pPr>
        <w:pStyle w:val="TH-EpigraphFa"/>
      </w:pPr>
      <w:r>
        <w:t xml:space="preserve">«ای کسانی که ایمان آورده‌اید، به پیمان‌ها وفا کنید.»</w:t>
      </w:r>
    </w:p>
    <w:p>
      <w:pPr>
        <w:pStyle w:val="TH-EpigraphSrc"/>
      </w:pPr>
      <w:r>
        <w:t xml:space="preserve">مائده: ۱</w:t>
      </w:r>
    </w:p>
    <w:p>
      <w:pPr>
        <w:pStyle w:val="TH-Front"/>
      </w:pPr>
      <w:r>
        <w:t xml:space="preserve">تقدیم</w:t>
      </w:r>
    </w:p>
    <w:p>
      <w:pPr>
        <w:pStyle w:val="TH-Body"/>
      </w:pPr>
      <w:r>
        <w:t xml:space="preserve">این رساله را به ساحت مقدس حضرت بقیة‌الله الاعظم (ارواحنا له الفداء) تقدیم می‌کنم؛ آن حضرت که برپایی قسط و وفای به عهد، از ارکان حکومت جهانی اوست.</w:t>
      </w:r>
    </w:p>
    <w:p>
      <w:pPr>
        <w:pStyle w:val="TH-Body"/>
      </w:pPr>
      <w:r>
        <w:t xml:space="preserve">و به روح بلند امام خمینی (رضوان الله تعالی علیه)؛ فقیهی که با احیای نظریهٔ ولایت فقیه و تبیین حکم حکومتی، فقه را از کنج عزلت به میدان ادارهٔ جامعه بازگرداند و موضوع این پژوهش را امکان‌پذیر ساخت.</w:t>
      </w:r>
    </w:p>
    <w:p>
      <w:pPr>
        <w:pStyle w:val="TH-Body"/>
      </w:pPr>
      <w:r>
        <w:t xml:space="preserve">و به ارواح طیبهٔ شهدای انقلاب اسلامی که با ایثار جان، استقلال سیاسی این سرزمین را حفظ کردند؛ استقلالی که بی‌آن، سخن از تعهدات بین‌المللی دولت اسلامی موضوعیت نمی‌یافت.</w:t>
      </w:r>
    </w:p>
    <w:p>
      <w:pPr>
        <w:pStyle w:val="TH-Body"/>
      </w:pPr>
      <w:r>
        <w:t xml:space="preserve">و به پدر و مادرم که با صبر و دعا، این بار را بر دوش من هموار ساختند.</w:t>
      </w:r>
    </w:p>
    <w:p>
      <w:pPr>
        <w:pStyle w:val="TH-Front"/>
      </w:pPr>
      <w:r>
        <w:t xml:space="preserve">سپاسگزاری</w:t>
      </w:r>
    </w:p>
    <w:p>
      <w:pPr>
        <w:pStyle w:val="TH-Body"/>
      </w:pPr>
      <w:r>
        <w:t xml:space="preserve">خداوند را سپاس که توفیق انجام این پژوهش را عنایت فرمود. آنچه در این اوراق درست است، از توفیق اوست و آنچه خطاست، از قصور نگارنده؛ و از خوانندگان فرهیخته تقاضای اصلاح و تنبیه دارم.</w:t>
      </w:r>
    </w:p>
    <w:p>
      <w:pPr>
        <w:pStyle w:val="TH-Body"/>
      </w:pPr>
      <w:r>
        <w:t xml:space="preserve">از استاد راهنمای گران‌قدر، که پیش‌نویس‌های مکرر این رساله را با حوصله مطالعه فرمودند و با تذکرات دقیق علمی، از لغزش‌های فراوان بازداشتند، صمیمانه سپاسگزارم. بی‌راهنمایی ایشان، این پژوهش نه سامان می‌یافت و نه به انجام می‌رسید.</w:t>
      </w:r>
    </w:p>
    <w:p>
      <w:pPr>
        <w:pStyle w:val="TH-Body"/>
      </w:pPr>
      <w:r>
        <w:t xml:space="preserve">از استاد مشاور ارجمند، که در مباحث حقوق بین‌الملل و حقوق اساسی که خارج از حوزهٔ تخصص اصلی نگارنده بود راهنمایی‌های ارزشمندی مبذول داشتند و با ادبیات فنی این دو رشته آشنا ساختند، قدردانی می‌کنم.</w:t>
      </w:r>
    </w:p>
    <w:p>
      <w:pPr>
        <w:pStyle w:val="TH-Body"/>
      </w:pPr>
      <w:r>
        <w:t xml:space="preserve">از اساتید حوزهٔ علمیه که درسشان سرمایهٔ علمی این پژوهش شد؛ از هم‌بحثان که در جلسات مباحثه با ایرادهای متقن، زمینهٔ تأمل بیشتر را فراهم آوردند؛ و از خانواده که در طول این مدت شکیبایی کردند، یکایک سپاسگزارم.</w:t>
      </w:r>
    </w:p>
    <w:p>
      <w:pPr>
        <w:pStyle w:val="TH-Body"/>
      </w:pPr>
      <w:r>
        <w:t xml:space="preserve">و از داوران محترم این رساله پیشاپیش قدردانی می‌کنم و نقدهایشان را هرچه باشد غنیمت می‌شمارم؛ که پژوهش علمی با نقد استوار می‌ماند و بی‌نقد از پای می‌افتد.</w:t>
      </w:r>
    </w:p>
    <w:p>
      <w:pPr>
        <w:pStyle w:val="TH-Front"/>
      </w:pPr>
      <w:r>
        <w:t xml:space="preserve">چکیده</w:t>
      </w:r>
    </w:p>
    <w:p>
      <w:pPr>
        <w:pStyle w:val="TH-AbsMeta"/>
      </w:pPr>
      <w:r>
        <w:t xml:space="preserve">پژوهشگر: هادی شبستانی</w:t>
      </w:r>
    </w:p>
    <w:p>
      <w:pPr>
        <w:pStyle w:val="TH-AbsMeta"/>
      </w:pPr>
      <w:r>
        <w:t xml:space="preserve">استاد راهنما: …………………………</w:t>
      </w:r>
    </w:p>
    <w:p>
      <w:pPr>
        <w:pStyle w:val="TH-AbsMeta"/>
      </w:pPr>
      <w:r>
        <w:t xml:space="preserve">گرایش: فقه و اصول | رسالهٔ علمی سطح سه</w:t>
      </w:r>
    </w:p>
    <w:p>
      <w:pPr>
        <w:pStyle w:val="TH-Body"/>
      </w:pPr>
      <w:r>
        <w:t xml:space="preserve">طرح مسئله.</w:t>
      </w:r>
      <w:r>
        <w:t xml:space="preserve"> پرسش اصلی این پژوهش آن است که اگر ادامهٔ اجرای پیمان بین‌المللی به ضرر دولت اسلامی و نظام بدل شود، آیا ولی فقیه می‌تواند از آن عدول کند؛ و اگر می‌تواند، بر چه مبنایی، با چه شرایطی و با چه آثاری؟ این پرسش در محل تلاقی سه نظام هنجاری قرار دارد: فقه امامیه، حقوق اساسی جمهوری اسلامی ایران و حقوق بین‌الملل عمومی. همین تلاقی، هم دشواری مسئله را می‌سازد و هم ضرورت آن را؛ زیرا هیچ‌یک از این سه نظام به‌تنهایی پاسخ کافی عرضه نمی‌کند و جمع‌کردن سادهٔ پاسخ‌های سه‌گانه نیز راه‌گشا نیست.</w:t>
      </w:r>
    </w:p>
    <w:p>
      <w:pPr>
        <w:pStyle w:val="TH-Body"/>
      </w:pPr>
      <w:r>
        <w:t xml:space="preserve">روش.</w:t>
      </w:r>
      <w:r>
        <w:t xml:space="preserve"> پژوهش حاضر کتابخانه‌ای، تحلیلی و استنباطی است. در عرصهٔ فقه از روش اجتهادی مصطلح بهره گرفته شده: استقصای ادله، بررسی سندی و دلالی، نقل اقوال به نحو احسن، طرح اشکالات مقدّر و داوری مستدل. در عرصهٔ حقوق بین‌الملل از روش تفسیری‌تحلیلی متون معاهده‌ای و رویهٔ قضایی بین‌المللی استفاده شده و در عرصهٔ حقوق اساسی از روش تفسیر اصول و داوری میان دیدگاه مفسران. رساله در سه بخش و پنج فصل سامان یافته است.</w:t>
      </w:r>
    </w:p>
    <w:p>
      <w:pPr>
        <w:pStyle w:val="TH-Body"/>
      </w:pPr>
      <w:r>
        <w:t xml:space="preserve">یافته‌ها.</w:t>
      </w:r>
      <w:r>
        <w:t xml:space="preserve"> دستاوردهای پژوهش در پنج گزاره خلاصه می‌شود: (۱) قاعدهٔ اولی در تعهدات بین‌المللی دولت اسلامی، وجوب وفای به عهد است که با آیات، روایات، سیرهٔ معصومان، حکم عقل و بنای عقلا اثبات می‌شود و در اصل آن میان فقهای امامیه اختلافی نیست؛ (۲) خروج از این قاعده تنها در قالب تصمیم حکومتی ولی فقیه در مقام تزاحم مصلحتی جایز است و با چهار مبنای مستقل استدلال می‌شود: قاعدهٔ تزاحم و تقدیم اهم، نظریهٔ حکم حکومتی، قاعدتای لاضرر و لاحرج، و اصل اوجبیت حفظ نظام؛ (۳) این جواز با هشت ضابطهٔ عملی مهار می‌شود که مجموعاً چارچوب تصمیم‌گیری را تشکیل می‌دهد؛ (۴) سه سطح تحلیل جواز فقهی، مشروعیت داخلی و مسئولیت بین‌المللی از یکدیگر مستقل‌اند و خلط آن‌ها منشأ خطاهای فاحش تحلیلی است؛ (۵) اختیار ولی فقیه در این حوزه از نوع «ضمنی و ولایی» است، نه صریح، و با تفکیک چهارگانهٔ مراتب اختیار (صریح، ضمنی، ولایی، حکومتی) تبیین می‌شود.</w:t>
      </w:r>
    </w:p>
    <w:p>
      <w:pPr>
        <w:pStyle w:val="TH-KwLabel"/>
      </w:pPr>
      <w:r>
        <w:t xml:space="preserve">کلیدواژه‌ها</w:t>
      </w:r>
    </w:p>
    <w:p>
      <w:pPr>
        <w:pStyle w:val="TH-Kw"/>
      </w:pPr>
      <w:r>
        <w:t xml:space="preserve">ولی فقیه؛ تعهدات بین‌المللی؛ وفای به عهد؛ حکم حکومتی؛ تزاحم و مصلحت؛ مسئولیت بین‌المللی دولت؛ کنوانسیون وین حقوق معاهدات.</w:t>
      </w:r>
    </w:p>
    <w:p>
      <w:pPr>
        <w:pStyle w:val="TH-Front"/>
      </w:pPr>
      <w:r>
        <w:t xml:space="preserve">پیشگفتار</w:t>
      </w:r>
    </w:p>
    <w:p>
      <w:pPr>
        <w:pStyle w:val="TH-Body"/>
      </w:pPr>
      <w:r>
        <w:t xml:space="preserve">موضوع این رساله از دل یک پرسش برآمده است: در نظامی که مبنای مشروعیت آن فقه است و تصمیم‌گیر نهایی‌اش فقیه، آیا برای تصمیم سرنوشت‌سازی چون خروج از یک پیمان بین‌المللی، چارچوب شرعی مدون و ضابطه‌مندی وجود دارد؟ مناقشات سیاسی پیرامون پیمان‌های بین‌المللی در دهه‌های گذشته نشان داد که پاسخ‌های رایج عمدتاً یا استناد گزینشی به نصوص است یا تحلیل صرفاً سیاسی؛ و جای خالی تحلیلی که هم‌زمان فقه امامیه، حقوق اساسی و حقوق بین‌الملل را در نظر بگیرد، احساس می‌شد. این پژوهش کوششی است برای پر کردن آن خلأ.</w:t>
      </w:r>
    </w:p>
    <w:p>
      <w:pPr>
        <w:pStyle w:val="TH-Body"/>
      </w:pPr>
      <w:r>
        <w:t xml:space="preserve">دشواری‌های پژوهش.</w:t>
      </w:r>
      <w:r>
        <w:t xml:space="preserve"> سه دشواری اصلی فراروی این کار بود و ذکر آن‌ها از باب امانت علمی ضروری است. نخست، میان‌رشته‌ای بودن موضوع: مفاهیم و قواعد حقوق بین‌الملل و حقوق اساسی خارج از حوزهٔ تخصص اصلی نگارنده بود و فراگیری آن‌ها مستلزم رجوع به منابع دست‌اول این دو رشته بود. خطاهای احتمالی در فهم مفاهیم حقوقی، بر عهدهٔ نگارنده است. دوم، کم‌کاری ادبیات فقهی در این باب: فقهای امامیه دربارهٔ هدنه، امان، ذمه و صلح مبسوط سخن گفته‌اند، اما «معاهدهٔ بین‌المللی» به معنای فنی امروزی با سازوکارهایی چون حق شرط، تعلیق، خاتمه، مسئولیت بین‌المللی و داوری در کتب فقهی ما سابقهٔ مستقیم ندارد. ازاین‌رو در مواردی ناگزیر از تسری قواعد عام به مصادیق خاص بوده‌ام و کوشیده‌ام هر تسری با دلیل مستقل همراه باشد. سوم، حساسیت سیاسی موضوع: نگارنده از آغاز تصمیم گرفت که نه در مقام دفاع سیاسی بنویسد و نه در مقام نقد سیاسی؛ مقصود، تشخیص تکلیف شرعی و حقوقی مسئله است. هرجا تحلیل به نتیجه‌ای رسیده، منطق استدلال تعیین‌کننده بوده است، نه ملاحظات جناحی.</w:t>
      </w:r>
    </w:p>
    <w:p>
      <w:pPr>
        <w:pStyle w:val="TH-Body"/>
      </w:pPr>
      <w:r>
        <w:t xml:space="preserve">دربارهٔ شیوهٔ استدلال.</w:t>
      </w:r>
      <w:r>
        <w:t xml:space="preserve"> روش این رساله «استدلال گام‌به‌گام همراه با دفع اشکال» است؛ همان شیوهٔ رایج در درس خارج فقه و اصول. هر ادعا ابتدا با دلیل پشتیبانی می‌شود، سپس اشکال مقدّر آن طرح و پاسخ داده می‌شود و در پایان نتیجه‌گیری می‌شود. فایدهٔ این شیوه دو چیز است: خواننده اشکالاتی را که به ذهنش می‌رسد در خود متن پاسخ‌یافته می‌بیند، و مدعی نمی‌تواند از مواجهه با اشکال بگریزد.</w:t>
      </w:r>
    </w:p>
    <w:p>
      <w:pPr>
        <w:pStyle w:val="TH-Body"/>
      </w:pPr>
      <w:r>
        <w:t xml:space="preserve">ساختار رساله.</w:t>
      </w:r>
      <w:r>
        <w:t xml:space="preserve"> رساله در سه بخش و پنج فصل سامان یافته است: بخش اول به مفهوم‌شناسی و کلیات حقوق معاهدات و قانون اساسی می‌پردازد؛ بخش دوم، تحلیل فقهی مسئله است (ادلهٔ وجوب وفای به عهد و مبانی جواز عدول)؛ و بخش سوم، تحلیل حقوقی (مسئولیت بین‌المللی دولت و جایگاه حقوق اساسی تصمیم). این ترتیب از کلی به جزئی، از مبنا به حکم و از نظر به عمل است.</w:t>
      </w:r>
    </w:p>
    <w:p>
      <w:pPr>
        <w:pStyle w:val="TH-Body"/>
      </w:pPr>
      <w:r>
        <w:t xml:space="preserve">دربارهٔ شیوهٔ ارجاع.</w:t>
      </w:r>
      <w:r>
        <w:t xml:space="preserve"> در مواردی که دسترسی به نسخهٔ معتبر منبع یا احراز مشخصات دقیق چاپ ممکن نشد، به‌جای انتساب قطعی، نشانی به نحو اجمال ذکر شده و صراحتاً قید شده است که نیازمند بازبینی است. این روش، برگزیدهٔ نگارنده از میان دو راه ممکن بوده: یا انتساب قطعی به منبعی که رؤیت نشده که خلاف امانت علمی است و یا تصریح به حد دسترسی. راه دوم انتخاب شد و در «یادداشت‌های کتاب‌شناختی» ذیل فهرست منابع، نسبت هر نشانی با منابع معتبر توضیح داده شده است.</w:t>
      </w:r>
    </w:p>
    <w:p>
      <w:pPr>
        <w:pStyle w:val="TH-Body"/>
      </w:pPr>
      <w:r>
        <w:t xml:space="preserve">والحمد لله أولاً وآخراً، وصلى الله على محمد وآله الطاهرین.</w:t>
      </w:r>
    </w:p>
    <w:p>
      <w:pPr>
        <w:pStyle w:val="TH-EnglishTitle"/>
      </w:pPr>
      <w:r>
        <w:t xml:space="preserve">Abstract</w:t>
      </w:r>
    </w:p>
    <w:p>
      <w:pPr>
        <w:pStyle w:val="TH-AbsMetaEn"/>
      </w:pPr>
      <w:r>
        <w:t xml:space="preserve">Author: Hadi Shabestani</w:t>
      </w:r>
    </w:p>
    <w:p>
      <w:pPr>
        <w:pStyle w:val="TH-AbsMetaEn"/>
      </w:pPr>
      <w:r>
        <w:t xml:space="preserve">Supervisor: …………………………</w:t>
      </w:r>
    </w:p>
    <w:p>
      <w:pPr>
        <w:pStyle w:val="TH-AbsMetaEn"/>
      </w:pPr>
      <w:r>
        <w:t xml:space="preserve">Level Three Seminary Thesis | Field: Fiqh and Usul</w:t>
      </w:r>
    </w:p>
    <w:p>
      <w:pPr>
        <w:pStyle w:val="TH-English"/>
      </w:pPr>
      <w:r>
        <w:t xml:space="preserve">This thesis addresses a single question: if the continued performance of an international treaty becomes detrimental to the Islamic state, may the Guardian Jurist (Vali-e Faqih) depart from it? If so, on what juristic basis, under what conditions, and with what legal consequences? The question lies at the intersection of three normative systems — Imami jurisprudence, the constitutional law of the Islamic Republic of Iran, and public international law — and none of the three, taken alone, yields a sufficient answer.</w:t>
      </w:r>
    </w:p>
    <w:p>
      <w:pPr>
        <w:pStyle w:val="TH-English"/>
      </w:pPr>
      <w:r>
        <w:t xml:space="preserve">The method is library-based, analytical and inferential: ijtihadi reasoning in fiqh (exhaustive survey of evidence, isnad and dalala analysis, and rebuttal of anticipated objections), textual and case-law analysis in international law, and constitutional interpretation in domestic law. The thesis is organized in three parts and five chapters: conceptual and general preliminaries; the juristic analysis (the obligation of fidelity to covenants and the grounds for lawful departure); and the legal analysis (international responsibility and the constitutional status of the decision).</w:t>
      </w:r>
    </w:p>
    <w:p>
      <w:pPr>
        <w:pStyle w:val="TH-English"/>
      </w:pPr>
      <w:r>
        <w:t xml:space="preserve">The findings are five. First, the primary rule is the obligation of fidelity (wujub al-wafa), established by Quranic verses, traditions, the practice of the Infallibles, rational judgment and the practice of rational people (bina' al-'uqala'); there is no disagreement among Imami jurists as to the rule itself. Second, departure from this rule is lawful only as a governmental decision (hukm hukumati) of the Guardian Jurist in a genuine conflict of duties (tazahum), supported by four independent grounds: tazahum and the priority of the weightier duty, the theory of governmental ordinance, the maxims of negation of harm and hardship (la darar and la haraj), and the paramount obligation of preserving the Islamic system. Third, this permission is constrained by eight operative conditions which together constitute a decision-making framework. Fourth, three levels of analysis must be strictly separated: juristic permissibility, domestic constitutionality, and international responsibility — each with its own forum and criteria. Fifth, the Guardian Jurist's authority in this domain is implicit and guardianship-based rather than express; it is best articulated through a fourfold division of authority (express, implicit, guardianship-based, governmental).</w:t>
      </w:r>
    </w:p>
    <w:p>
      <w:pPr>
        <w:pStyle w:val="TH-KwLabelEn"/>
      </w:pPr>
      <w:r>
        <w:t xml:space="preserve">Keywords</w:t>
      </w:r>
    </w:p>
    <w:p>
      <w:pPr>
        <w:pStyle w:val="TH-KwEn"/>
      </w:pPr>
      <w:r>
        <w:t xml:space="preserve">Guardian Jurist; international obligations; fidelity to covenants; governmental ordinance; tazahum and maslaha; international responsibility of states; Vienna Convention on the Law of Treaties.</w:t>
      </w:r>
    </w:p>
    <w:p>
      <w:pPr>
        <w:pStyle w:val="TH-Front"/>
      </w:pPr>
      <w:r>
        <w:rPr>
          <w:rFonts w:ascii="Times New Roman" w:hAnsi="Times New Roman" w:cs="B Titr" w:eastAsia="B Titr"/>
          <w:b/>
          <w:bCs/>
          <w:color w:val="000000"/>
          <w:sz w:val="34"/>
          <w:szCs w:val="34"/>
          <w:lang w:val="en-US" w:eastAsia="en-US" w:bidi="fa-IR"/>
        </w:rPr>
        <w:t xml:space="preserve">فهرست مطالب</w:t>
      </w:r>
    </w:p>
    <w:p>
      <w:pPr>
        <w:pStyle w:val="T-FieldEdge"/>
      </w:pPr>
      <w:r>
        <w:rPr>
          <w:rStyle w:val="FootnoteReference"/>
          <w:sz w:val="26"/>
          <w:szCs w:val="26"/>
        </w:rPr>
        <w:fldChar w:fldCharType="begin" w:dirty="true"/>
      </w:r>
      <w:r>
        <w:rPr>
          <w:sz w:val="26"/>
          <w:szCs w:val="26"/>
        </w:rPr>
        <w:instrText xml:space="preserve"> TOC \o "1-4" \h \z \u </w:instrText>
      </w:r>
      <w:r>
        <w:rPr>
          <w:sz w:val="26"/>
          <w:szCs w:val="26"/>
        </w:rPr>
        <w:fldChar w:fldCharType="separate"/>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تقدیم</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ب</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سپاسگزاری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ج</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چکیده</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د</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پیشگفتار</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و</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Abstract</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ح</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فهرست مطالب</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ی</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فهرست جداول</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ع</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مقدمه: کلیات تحقیق</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بیان مسئله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ضرورت و اهمیت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اهداف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۴</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سؤالات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۵</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فرضیه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ششم: پیشینه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هفتم: روش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هشتم: ساماندهی تحقیق</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۱۰</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نهم: قلمرو، محدودیت‌ها و اصطلاحات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۱۱</w:t>
      </w:r>
    </w:p>
    <w:p>
      <w:pPr>
        <w:pStyle w:val="TOC1"/>
        <w:tabs>
          <w:tab w:val="left" w:leader="dot" w:pos="8504"/>
        </w:tabs>
        <w:ind w:right="0"/>
      </w:pPr>
      <w:r>
        <w:rPr>
          <w:rFonts w:ascii="Times New Roman" w:hAnsi="Times New Roman" w:cs="B Titr" w:eastAsia="B Titr"/>
          <w:b/>
          <w:bCs/>
          <w:color w:val="000000"/>
          <w:sz w:val="26"/>
          <w:szCs w:val="26"/>
          <w:lang w:val="en-US" w:eastAsia="en-US" w:bidi="fa-IR"/>
        </w:rPr>
        <w:t xml:space="preserve">بخش اول: مبانی و کلیات</w:t>
      </w:r>
      <w:r>
        <w:rPr>
          <w:rFonts w:ascii="Times New Roman" w:hAnsi="Times New Roman" w:cs="B Titr" w:eastAsia="B Titr"/>
          <w:b/>
          <w:bCs/>
          <w:color w:val="000000"/>
          <w:sz w:val="26"/>
          <w:szCs w:val="26"/>
          <w:lang w:val="en-US" w:eastAsia="en-US" w:bidi="fa-IR"/>
        </w:rPr>
        <w:tab/>
      </w:r>
      <w:r>
        <w:rPr>
          <w:rFonts w:ascii="Times New Roman" w:hAnsi="Times New Roman" w:cs="B Titr" w:eastAsia="B Titr"/>
          <w:b/>
          <w:bCs/>
          <w:color w:val="000000"/>
          <w:sz w:val="26"/>
          <w:szCs w:val="26"/>
          <w:lang w:val="en-US" w:eastAsia="en-US" w:bidi="fa-IR"/>
        </w:rPr>
        <w:t xml:space="preserve">۱۳</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اول: مفهوم‌شناسی و چارچوب نظری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۱۴</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مفهوم معاهده و تعهد بین‌المللی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تعریف لغوی و اصطلاحی معاهده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اقسام معاهدات و تحدید محل بحث</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مفهوم تعهد و ارکان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مفهوم ولی فقیه و گسترهٔ اختیارات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تعریف ولی فقیه و تحدید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مراتب چهارگانهٔ اختیار: صریح، ضمنی، ولایی، حکومتی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مفهوم عدول و مفاهیم خویشاوند</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۲۳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تعریف عدول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تمایز عدول از مفاهیم خویشاوند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مراتب پنج‌گانهٔ عدول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تحریر محلّ النزاع</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مفهوم مصلحت و چارچوب نظری پژوهش</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۲۹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مصلحت در لغت و اصطلاح</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۲۹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نسبت مصلحت با «ضرورت» در حقوق بین‌الملل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چارچوب نظری پژوهش: سه پایه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پیشینهٔ مفهومی عهد در فقه امامیه: هدنه، امان، ذمه و صلح</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۳۳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ضرورت بررسی پیشینهٔ فقهی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هدنه؛ آتش‌بس موقت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امان؛ تأمین فردی و جمعی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ذمه و صلح؛ پیمان‌های بلندمدت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جمع‌بندی؛ از نهادهای کهن تا معاهدهٔ مدرن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اول</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۳۸</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دوم: کلیات حقوق معاهدات و قانون اساسی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۳۹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تاریخچه و اصول بنیادین حقوق معاهدات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۳۹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از عرف تا کنوانسیون وین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۳۹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اصل بنیادین: Pacta sunt servanda</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مادهٔ ۲۷ و تفکیک نظام داخلی از نظام بین‌المللی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سازوکارهای تعلیق و خاتمهٔ موجه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۴۴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اصل انحصار مجاری قانونی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توافق اطراف و حق مندرج در متن معاهده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نقض اساسی طرف مقابل (مادهٔ ۶۰)</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تغییر بنیادین اوضاع (مادهٔ ۶۲)</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عدم امکان اجرای بعدی و آیین ادعا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ششم: حق شرط و اعلامیهٔ تفسیری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۴۹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قواعد تفسیر معاهدات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۵۱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قاعدهٔ عام تفسیر (مادهٔ ۳۱)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وسایل تکمیلی تفسیر (مادهٔ ۳۲)</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اعتبار معاهدات: اهلیت، رضایت و مشروعیت موضوع</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۵۳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ضرورت طرح بحث اعتبار در مسئلهٔ عدول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اهلیت و صلاحیت انعقاد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عیوب اراده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ثبت معاهدات و اثر آن (مادهٔ ۱۰۲ منشور)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اصول قانون اساسی مرتبط</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۵۸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اصل ۵: تثبیت مرجعیت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اصل ۵۷: ولایت مطلقه و قید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۵۹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اصول ۷۷ و ۱۲۵: ورود به التزام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۶۰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اصول ۱۱۰ و ۱۱۲: اختیارات رهبری و نهاد مصلحت‌سنجی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۶۱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اصول ۱۵۲ تا ۱۵۴ و ۱۷۶: جهت‌گیری سیاست خارجی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۶۳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دوم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۶۶</w:t>
      </w:r>
    </w:p>
    <w:p>
      <w:pPr>
        <w:pStyle w:val="TOC1"/>
        <w:tabs>
          <w:tab w:val="left" w:leader="dot" w:pos="8504"/>
        </w:tabs>
        <w:ind w:right="0"/>
      </w:pPr>
      <w:r>
        <w:rPr>
          <w:rFonts w:ascii="Times New Roman" w:hAnsi="Times New Roman" w:cs="B Titr" w:eastAsia="B Titr"/>
          <w:b/>
          <w:bCs/>
          <w:color w:val="000000"/>
          <w:sz w:val="26"/>
          <w:szCs w:val="26"/>
          <w:lang w:val="en-US" w:eastAsia="en-US" w:bidi="fa-IR"/>
        </w:rPr>
        <w:t xml:space="preserve">بخش دوم: ادلهٔ شرعی و ضوابط عملی</w:t>
      </w:r>
      <w:r>
        <w:rPr>
          <w:rFonts w:ascii="Times New Roman" w:hAnsi="Times New Roman" w:cs="B Titr" w:eastAsia="B Titr"/>
          <w:b/>
          <w:bCs/>
          <w:color w:val="000000"/>
          <w:sz w:val="26"/>
          <w:szCs w:val="26"/>
          <w:lang w:val="en-US" w:eastAsia="en-US" w:bidi="fa-IR"/>
        </w:rPr>
        <w:tab/>
      </w:r>
      <w:r>
        <w:rPr>
          <w:rFonts w:ascii="Times New Roman" w:hAnsi="Times New Roman" w:cs="B Titr" w:eastAsia="B Titr"/>
          <w:b/>
          <w:bCs/>
          <w:color w:val="000000"/>
          <w:sz w:val="26"/>
          <w:szCs w:val="26"/>
          <w:lang w:val="en-US" w:eastAsia="en-US" w:bidi="fa-IR"/>
        </w:rPr>
        <w:t xml:space="preserve">۶۷</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سوم: ادلهٔ وجوب وفای به عهد</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۶۸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آیات عام وجوب وفا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۶۸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آیهٔ «أَوْفُوا بِالْعُقُودِ»: امّ ادلهٔ باب</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۶۸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آیات نحل، اسراء، رعد و مؤمنون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دفع یک توهم: عموم یا اطلاق؟</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آیات خاص جهاد و عهدنامه‌ها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۷۴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آیات سورهٔ توبه: وفا در برابر استقامت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آیات سورهٔ انفال: انباذ و استنصار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روایات وفای به عهد</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۷۸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حدیث شروط: «المؤمنون عند شروطهم»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۷۸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عهدنامهٔ مالک اشتر: منشور حکومتی وفای به عهد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سایر روایات: نکوهش غدر و عهدشکنی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سیرهٔ معصومان در عهدنامه‌ها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۸۴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صلح حدیبیه: الگوی وفای صبورانه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نقض عهد قریش و فتح مکه؛ و اعلان برائت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سیرهٔ امیرالمؤمنین (ع): از صفین تا حکمیت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جمع‌بندی سیره: سه الگوی رفتاری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۸۹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حکم عقل و بنای عقلا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۹۰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حکم عقل به قبح نقض عهد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بنای عقلا: از بازار تا سازمان ملل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ششم: قواعد فقهی مؤید وجوب وفا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۹۳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اصالة اللزوم در عقود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حرمت غدر و خیانت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قاعدهٔ نفی سبیل: مرز دیگر وفا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۹۵</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هفتم: ادلهٔ تکمیلی: امانت، سوگند، میثاق مدینه و آرای فقها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۹۶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وجوب ادای امانت (نساء: ۵۸)</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حفظ سوگند (مائده: ۸۹)</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نشانهٔ منافق: وعده‌خلافی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میثاق مدینه و عهدنامهٔ نجران: دو الگوی حکومتی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آرای فقها: از جواهر تا تحریر الوسیله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۹۹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هشتم: واژه‌شناسی قرآنی: عهد، عقد، میثاق، وعد، امان و ذمه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۱۰۰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ضرورت واژه‌شناسی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عهد و عقد: التزام و گره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میثاق و وعد: پیمان محکم و تعهد آینده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۱۰۲</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امان و ذمه: تأمین و عهده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سوم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۱۰۴</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چهارم: مبانی جواز عدول و ضوابط هشت‌گانهٔ آن</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۱۰۶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مبنای نخست: تزاحم و قاعدهٔ تقدیم اهمّ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۱۰۶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تفکیک تعارض از تزاحم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قواعد باب تزاحم: اهمّ، تخییر و ترتب</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تزاحم با چه چیزی؟ تعیین مصداق اهمّ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۱۰۹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مبنای دوم: حکم حکومتی و ولایت مطلقه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۱۱۱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تبارشناسی حکم حکومتی: از نراقی تا امام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تحلیل نامهٔ ۱۶ دی ۱۳۶۶: نصّ تعیین‌کننده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تحلیل فنی نسبت حکم حکومتی با ادلهٔ وجوب وفا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۱۱۶</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اشکالات بر مبنای حکم حکومتی و پاسخ‌ها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مبنای سوم: قاعدهٔ لاضرر و لاحرج</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۱۱۹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تقریر دو قاعده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۱۱۹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تطبیق دو قاعده بر مسئلهٔ حاضر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جایگاه قاعدهٔ اوجبیت حفظ نظام</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ضوابط هشت‌گانهٔ جواز عدول</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۱۲۲</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ضرورت ضابطه‌مندی و منطق دسته‌بندی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۱۲۲</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ضابطهٔ نخست: احراز تزاحم واقعی با مستند معتبر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ضابطهٔ دوم: تقدم راه‌های حقوقی مندرج در معاهده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چهارم: ضابطهٔ سوم: کارشناسی تخصصی و مشورت نهادی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پنجم: ضابطهٔ چهارم: تناسب (عدول به اندازهٔ ضرورت)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ششم: ضابطهٔ پنجم: تدریجی بودن و تقدم تعلیق بر خاتمه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هفتم: ضابطهٔ ششم: انباذ علی سواء (اعلام آشکار و مستدل)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۱۲۹</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هشتم: ضابطهٔ هفتم: سقف‌گذاری (عدم تعرض به قواعد آمره و حقوق بشر)</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نهم: ضابطهٔ هشتم: لحاظ آثار در محاسبهٔ مصلحت</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دفع اشکالات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۱۳۲</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اشکالات بر ادلهٔ وجوب وفا (از سوی قائلان به جواز مطلق)</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اشکالات بر ادلهٔ جواز عدول (از سوی قائلان به منع مطلق)</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۱۳۴</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داوری میان دو رویکرد</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۱۳۵</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ششم: جمع‌بندی: چارچوب تصمیم‌گیری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۱۳۵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خلاصهٔ سه مبنا و نسبت آن‌ها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گام‌های عملی تصمیم‌گیری (چک‌لیست هشت‌گانه)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۱۳۶</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چهارم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۱۳۸</w:t>
      </w:r>
    </w:p>
    <w:p>
      <w:pPr>
        <w:pStyle w:val="TOC1"/>
        <w:tabs>
          <w:tab w:val="left" w:leader="dot" w:pos="8504"/>
        </w:tabs>
        <w:ind w:right="0"/>
      </w:pPr>
      <w:r>
        <w:rPr>
          <w:rFonts w:ascii="Times New Roman" w:hAnsi="Times New Roman" w:cs="B Titr" w:eastAsia="B Titr"/>
          <w:b/>
          <w:bCs/>
          <w:color w:val="000000"/>
          <w:sz w:val="26"/>
          <w:szCs w:val="26"/>
          <w:lang w:val="en-US" w:eastAsia="en-US" w:bidi="fa-IR"/>
        </w:rPr>
        <w:t xml:space="preserve">بخش سوم: مسئولیت بین‌المللی و راهبردها</w:t>
      </w:r>
      <w:r>
        <w:rPr>
          <w:rFonts w:ascii="Times New Roman" w:hAnsi="Times New Roman" w:cs="B Titr" w:eastAsia="B Titr"/>
          <w:b/>
          <w:bCs/>
          <w:color w:val="000000"/>
          <w:sz w:val="26"/>
          <w:szCs w:val="26"/>
          <w:lang w:val="en-US" w:eastAsia="en-US" w:bidi="fa-IR"/>
        </w:rPr>
        <w:tab/>
      </w:r>
      <w:r>
        <w:rPr>
          <w:rFonts w:ascii="Times New Roman" w:hAnsi="Times New Roman" w:cs="B Titr" w:eastAsia="B Titr"/>
          <w:b/>
          <w:bCs/>
          <w:color w:val="000000"/>
          <w:sz w:val="26"/>
          <w:szCs w:val="26"/>
          <w:lang w:val="en-US" w:eastAsia="en-US" w:bidi="fa-IR"/>
        </w:rPr>
        <w:t xml:space="preserve">۱۴۰</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فصل پنجم: مسئولیت بین‌المللی دولت و تحلیل حقوق اساسی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۱۴۱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اول: کلیات مسئولیت بین‌المللی دولت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۱۴۱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طرح مواد ۲۰۰۱ و ساختار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محتوای مسئولیت: سه صورت جبران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۱۴۳</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اقدام متقابل: حق و حدود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۱۴۴</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دوم: انتساب رفتار به دولت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۱۴۵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قاعدهٔ عام و مصادیق آن</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تجربهٔ ایران در مراجع بین‌المللی</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سوم: تفکیک سه‌گانهٔ سطوح تحلیل</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۱۴۸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تقریر تفکیک</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۱۴۸</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چهار صورت ممکن و داوری در هر یک</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۱۴۹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چهارم: اسباب رافع مسئولیت و نسبت آن‌ها با مبانی فقهی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۱۵۰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شش سبب رافع (مواد ۲۰ تا ۲۵)</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۱۵۰</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تحلیل مادهٔ ۲۵ (ضرورت): نزدیک‌ترین سبب</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۱۵۱</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فورس ماژور، اضطرار و اقدام متقابل</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گفتار پنجم: تحلیل حقوق اساسی و راهبردهای عملی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۱۵۵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اول: صلاحیت‌ها: وحدت مجرا یا تفکیک مجرا؟</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۱۵۵</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دوم: مطالعهٔ تطبیقی سه تجربه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۱۵۷</w:t>
      </w:r>
    </w:p>
    <w:p>
      <w:pPr>
        <w:pStyle w:val="TOC4"/>
        <w:tabs>
          <w:tab w:val="left" w:leader="dot" w:pos="7824"/>
        </w:tabs>
        <w:ind w:right="680"/>
      </w:pPr>
      <w:r>
        <w:rPr>
          <w:rFonts w:ascii="Times New Roman" w:hAnsi="Times New Roman" w:cs="B Nazanin" w:eastAsia="B Nazanin"/>
          <w:color w:val="000000"/>
          <w:sz w:val="22"/>
          <w:szCs w:val="22"/>
          <w:lang w:val="en-US" w:eastAsia="en-US" w:bidi="fa-IR"/>
        </w:rPr>
        <w:t xml:space="preserve">بند سوم: راهبردهای پنج‌گانه</w:t>
      </w:r>
      <w:r>
        <w:rPr>
          <w:rFonts w:ascii="Times New Roman" w:hAnsi="Times New Roman" w:cs="B Nazanin" w:eastAsia="B Nazanin"/>
          <w:color w:val="000000"/>
          <w:sz w:val="22"/>
          <w:szCs w:val="22"/>
          <w:lang w:val="en-US" w:eastAsia="en-US" w:bidi="fa-IR"/>
        </w:rPr>
        <w:tab/>
      </w:r>
      <w:r>
        <w:rPr>
          <w:rFonts w:ascii="Times New Roman" w:hAnsi="Times New Roman" w:cs="B Nazanin" w:eastAsia="B Nazanin"/>
          <w:color w:val="000000"/>
          <w:sz w:val="22"/>
          <w:szCs w:val="22"/>
          <w:lang w:val="en-US" w:eastAsia="en-US" w:bidi="fa-IR"/>
        </w:rPr>
        <w:t xml:space="preserve">۱۶۲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حاصل فصل پنجم</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۱۶۶</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نتیجه‌گیری</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۱۶۸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نخست: تبیین چارچوب مفهومی و تنقیح محلّ نزاع</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۱۶۸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دوم: اثبات قاعدهٔ اولی (وجوب وفای به عهد)</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۱۶۹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سوم: تبیین سه مبنای جواز عدول و نسبت میان آن‌ها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چهارم: صورت‌بندی ضوابط هشت‌گانه و چک‌لیست عملی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دستاورد پنجم: تفکیک سه‌گانهٔ سطوح تحلیل و راهبردهای پنج‌گانه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جمع‌بندی نهایی و افق‌های پژوهشی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۱۷۴</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فهرست منابع و مآخذ</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۱۷۷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الف) قرآن کریم و تفاسیر</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ب) جوامع حدیثی، لغت و نهج‌البلاغه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۱۷۷</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ج) منابع فقهی و اصولی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۱۷۸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د) فقه سیاسی، ولایت فقیه و حکومت اسلامی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۱۸۰</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ه) قانون اساسی و اسناد حقوقی داخلی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و) اسناد و رویهٔ بین‌المللی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۱۸۲</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ز) منابع حقوقی فارسی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۱۸۳</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ح) منابع حقوقی و فقهی لاتین و عربی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۱۸۴</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ط) پایگاه‌های رسمی اینترنتی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۱۸۵</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یادداشت‌های کتاب‌شناختی: راهنمای خواننده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۱۸۶</w:t>
      </w:r>
    </w:p>
    <w:p>
      <w:pPr>
        <w:pStyle w:val="TOC2"/>
        <w:tabs>
          <w:tab w:val="left" w:leader="dot" w:pos="8277"/>
        </w:tabs>
        <w:ind w:right="227"/>
      </w:pPr>
      <w:r>
        <w:rPr>
          <w:rFonts w:ascii="Times New Roman" w:hAnsi="Times New Roman" w:cs="B Titr" w:eastAsia="B Titr"/>
          <w:b/>
          <w:bCs/>
          <w:color w:val="000000"/>
          <w:sz w:val="25"/>
          <w:szCs w:val="25"/>
          <w:lang w:val="en-US" w:eastAsia="en-US" w:bidi="fa-IR"/>
        </w:rPr>
        <w:t xml:space="preserve">پیوست‌ها</w:t>
      </w:r>
      <w:r>
        <w:rPr>
          <w:rFonts w:ascii="Times New Roman" w:hAnsi="Times New Roman" w:cs="B Titr" w:eastAsia="B Titr"/>
          <w:b/>
          <w:bCs/>
          <w:color w:val="000000"/>
          <w:sz w:val="25"/>
          <w:szCs w:val="25"/>
          <w:lang w:val="en-US" w:eastAsia="en-US" w:bidi="fa-IR"/>
        </w:rPr>
        <w:tab/>
      </w:r>
      <w:r>
        <w:rPr>
          <w:rFonts w:ascii="Times New Roman" w:hAnsi="Times New Roman" w:cs="B Titr" w:eastAsia="B Titr"/>
          <w:b/>
          <w:bCs/>
          <w:color w:val="000000"/>
          <w:sz w:val="25"/>
          <w:szCs w:val="25"/>
          <w:lang w:val="en-US" w:eastAsia="en-US" w:bidi="fa-IR"/>
        </w:rPr>
        <w:t xml:space="preserve">۱۸۸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اول: مراتب پنج‌گانهٔ عدول از معاهده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دوم: مراتب چهارگانهٔ اختیار ولی فقیه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۱۸۸</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سوم: فهرست نصوص کلیدی قرآنی و روایی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۱۸۹</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چهارم: چک‌لیست هشت‌گانهٔ تصمیم‌گیری دربارهٔ عدول از معاهده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۱۹۰</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پنجم: جدول تطبیقی سه نظام هنجاری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۱۹۱</w:t>
      </w:r>
    </w:p>
    <w:p>
      <w:pPr>
        <w:pStyle w:val="TOC3"/>
        <w:tabs>
          <w:tab w:val="left" w:leader="dot" w:pos="8050"/>
        </w:tabs>
        <w:ind w:right="454"/>
      </w:pPr>
      <w:r>
        <w:rPr>
          <w:rFonts w:ascii="Times New Roman" w:hAnsi="Times New Roman" w:cs="B Nazanin" w:eastAsia="B Nazanin"/>
          <w:color w:val="000000"/>
          <w:sz w:val="24"/>
          <w:szCs w:val="24"/>
          <w:lang w:val="en-US" w:eastAsia="en-US" w:bidi="fa-IR"/>
        </w:rPr>
        <w:t xml:space="preserve">پیوست ششم: واژه‌نامهٔ فنی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t xml:space="preserve">۱۹۲</w:t>
      </w:r>
    </w:p>
    <w:p>
      <w:pPr>
        <w:pStyle w:val="T-FieldEdge"/>
      </w:pPr>
      <w:r>
        <w:rPr>
          <w:sz w:val="26"/>
          <w:szCs w:val="26"/>
        </w:rPr>
        <w:fldChar w:fldCharType="end"/>
      </w:r>
    </w:p>
    <w:p>
      <w:pPr>
        <w:pStyle w:val="TH-Front"/>
      </w:pPr>
      <w:r>
        <w:rPr>
          <w:rFonts w:ascii="Times New Roman" w:hAnsi="Times New Roman" w:cs="B Titr" w:eastAsia="B Titr"/>
          <w:b/>
          <w:bCs/>
          <w:color w:val="000000"/>
          <w:sz w:val="34"/>
          <w:szCs w:val="34"/>
          <w:lang w:val="en-US" w:eastAsia="en-US" w:bidi="fa-IR"/>
        </w:rPr>
        <w:t xml:space="preserve">فهرست جداول</w:t>
      </w:r>
    </w:p>
    <w:p>
      <w:pPr>
        <w:pStyle w:val="T-FieldEdge"/>
      </w:pPr>
      <w:r>
        <w:rPr>
          <w:sz w:val="24"/>
          <w:szCs w:val="24"/>
        </w:rPr>
        <w:fldChar w:fldCharType="begin" w:dirty="true"/>
      </w:r>
      <w:r>
        <w:rPr>
          <w:sz w:val="24"/>
          <w:szCs w:val="24"/>
        </w:rPr>
        <w:instrText xml:space="preserve"> TOC \h \z \c "جدول" </w:instrText>
      </w:r>
      <w:r>
        <w:rPr>
          <w:sz w:val="24"/>
          <w:szCs w:val="24"/>
        </w:rPr>
        <w:fldChar w:fldCharType="separate"/>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 ضوابط هشت‌گانهٔ جواز عدول از معاهده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_Toc_tbl001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۱۲۳</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۲: سه مبنای جواز عدول و نسبت آن‌ها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_Toc_tbl002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۱۳۶</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۳: چک‌لیست هشت‌گانهٔ تصمیم‌گیری دربارهٔ عدول از معاهده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_Toc_tbl003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۱۳۶</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۴: سه سطح تحلیل در مسئلهٔ عدول از معاهده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_Toc_tbl004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۱۴۸</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۵: چهار صورت ممکن و آثار آن‌ها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_Toc_tbl005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۱۴۹</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۶: شش سبب رافع مسئولیت و نسبت آن‌ها با مبانی فقهی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_Toc_tbl006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۱۵۱</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۷: مقایسهٔ آستانهٔ تزاحم فقهی و ضرورت بین‌المللی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_Toc_tbl007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۱۵۲</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۸: خلاصهٔ ادلهٔ اثبات‌کنندهٔ قاعدهٔ اولی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_Toc_tbl008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۱۷۰</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۹: سه مبنای جواز عدول: کارکرد و محدوده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_Toc_tbl009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۱۷۱</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۱۰: ضوابط هشت‌گانه در سه دسته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_Toc_tbl010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۱۷۲</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۱۱: سه سطح تحلیل: استقلال پرسش، مرجع و آثار</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_Toc_tbl011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۱۷۳</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۱۲: مراتب پنج‌گانهٔ عدول: تعریف، مبنای حقوقی و جایگاه در ضوابط</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_Toc_tbl012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۱۸۸</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۱۳: مراتب چهارگانهٔ اختیار ولی فقیه</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_Toc_tbl013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۱۸۹</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۱۴: نصوص کلیدی قرآنی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_Toc_tbl014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۱۹۰</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۱۵: نصوص کلیدی روایی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_Toc_tbl015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۱۹۰</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۱۶: چک‌لیست عملی: گام‌ها، معیارهای احراز و خروجی‌ها</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_Toc_tbl016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۱۹۱</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۱۷: تطبیق نهادها در سه نظام هنجاری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_Toc_tbl017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۱۹۲</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۱۸: واژه‌نامهٔ فقهی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_Toc_tbl018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۱۹۳</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۱۹: واژه‌نامهٔ حقوق معاهدات</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_Toc_tbl019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۱۹۳</w:t>
      </w:r>
      <w:r>
        <w:rPr>
          <w:rFonts w:ascii="Times New Roman" w:hAnsi="Times New Roman" w:cs="B Nazanin" w:eastAsia="B Nazanin"/>
          <w:color w:val="000000"/>
          <w:sz w:val="24"/>
          <w:szCs w:val="24"/>
          <w:lang w:val="en-US" w:eastAsia="en-US" w:bidi="fa-IR"/>
        </w:rPr>
        <w:fldChar w:fldCharType="end"/>
      </w:r>
    </w:p>
    <w:p>
      <w:pPr>
        <w:pStyle w:val="TOC3"/>
        <w:tabs>
          <w:tab w:val="left" w:leader="dot" w:pos="8050"/>
        </w:tabs>
      </w:pPr>
      <w:r>
        <w:rPr>
          <w:rFonts w:ascii="Times New Roman" w:hAnsi="Times New Roman" w:cs="B Nazanin" w:eastAsia="B Nazanin"/>
          <w:color w:val="000000"/>
          <w:sz w:val="24"/>
          <w:szCs w:val="24"/>
          <w:lang w:val="en-US" w:eastAsia="en-US" w:bidi="fa-IR"/>
        </w:rPr>
        <w:t xml:space="preserve">جدول ۲۰: واژه‌نامهٔ حقوق مسئولیت بین‌المللی</w:t>
      </w:r>
      <w:r>
        <w:rPr>
          <w:rFonts w:ascii="Times New Roman" w:hAnsi="Times New Roman" w:cs="B Nazanin" w:eastAsia="B Nazanin"/>
          <w:color w:val="000000"/>
          <w:sz w:val="24"/>
          <w:szCs w:val="24"/>
          <w:lang w:val="en-US" w:eastAsia="en-US" w:bidi="fa-IR"/>
        </w:rPr>
        <w:tab/>
      </w:r>
      <w:r>
        <w:rPr>
          <w:rFonts w:ascii="Times New Roman" w:hAnsi="Times New Roman" w:cs="B Nazanin" w:eastAsia="B Nazanin"/>
          <w:color w:val="000000"/>
          <w:sz w:val="24"/>
          <w:szCs w:val="24"/>
          <w:lang w:val="en-US" w:eastAsia="en-US" w:bidi="fa-IR"/>
        </w:rPr>
        <w:fldChar w:fldCharType="begin" w:dirty="true"/>
      </w:r>
      <w:r>
        <w:rPr>
          <w:rFonts w:ascii="Times New Roman" w:hAnsi="Times New Roman" w:cs="B Nazanin" w:eastAsia="B Nazanin"/>
          <w:color w:val="000000"/>
          <w:sz w:val="24"/>
          <w:szCs w:val="24"/>
          <w:lang w:val="en-US" w:eastAsia="en-US" w:bidi="fa-IR"/>
        </w:rPr>
        <w:instrText xml:space="preserve"> PAGEREF _Toc_tbl020 \h </w:instrText>
      </w:r>
      <w:r>
        <w:rPr>
          <w:rFonts w:ascii="Times New Roman" w:hAnsi="Times New Roman" w:cs="B Nazanin" w:eastAsia="B Nazanin"/>
          <w:color w:val="000000"/>
          <w:sz w:val="24"/>
          <w:szCs w:val="24"/>
          <w:lang w:val="en-US" w:eastAsia="en-US" w:bidi="fa-IR"/>
        </w:rPr>
        <w:fldChar w:fldCharType="separate"/>
      </w:r>
      <w:r>
        <w:rPr>
          <w:rFonts w:ascii="Times New Roman" w:hAnsi="Times New Roman" w:cs="B Nazanin" w:eastAsia="B Nazanin"/>
          <w:color w:val="000000"/>
          <w:sz w:val="24"/>
          <w:szCs w:val="24"/>
          <w:lang w:val="en-US" w:eastAsia="en-US" w:bidi="fa-IR"/>
        </w:rPr>
        <w:t xml:space="preserve">۱۹۳</w:t>
      </w:r>
      <w:r>
        <w:rPr>
          <w:rFonts w:ascii="Times New Roman" w:hAnsi="Times New Roman" w:cs="B Nazanin" w:eastAsia="B Nazanin"/>
          <w:color w:val="000000"/>
          <w:sz w:val="24"/>
          <w:szCs w:val="24"/>
          <w:lang w:val="en-US" w:eastAsia="en-US" w:bidi="fa-IR"/>
        </w:rPr>
        <w:fldChar w:fldCharType="end"/>
      </w:r>
    </w:p>
    <w:p>
      <w:pPr>
        <w:pStyle w:val="T-FieldEdge"/>
      </w:pPr>
      <w:r>
        <w:rPr>
          <w:sz w:val="24"/>
          <w:szCs w:val="24"/>
        </w:rPr>
        <w:fldChar w:fldCharType="end"/>
      </w:r>
    </w:p>
    <w:p>
      <w:pPr>
        <w:pStyle w:val="T-Spacer"/>
        <w:sectPr>
          <w:headerReference w:type="default" r:id="rId9"/>
          <w:footerReference w:type="default" r:id="rId11"/>
          <w:pgSz w:w="11906" w:h="16838"/>
          <w:pgMar w:top="1418" w:right="1984" w:bottom="1418" w:left="1418" w:header="709" w:footer="709" w:gutter="0"/>
          <w:cols w:space="708"/>
          <w:pgNumType w:fmt="arabicAlpha" w:start="1"/>
          <w:docGrid w:linePitch="360"/>
        </w:sectPr>
      </w:pPr>
    </w:p>
    <w:p>
      <w:pPr>
        <w:pStyle w:val="TH-Fasl"/>
      </w:pPr>
      <w:r>
        <w:t xml:space="preserve">مقدمه: کلیات تحقیق</w:t>
      </w:r>
    </w:p>
    <w:p>
      <w:pPr>
        <w:pStyle w:val="TH-Goftar"/>
      </w:pPr>
      <w:r>
        <w:t xml:space="preserve">گفتار اول: بیان مسئله</w:t>
      </w:r>
    </w:p>
    <w:p>
      <w:pPr>
        <w:pStyle w:val="TH-Body"/>
      </w:pPr>
      <w:r>
        <w:t xml:space="preserve">فرض بحث آن است که دولت اسلامی پیمانی بین‌المللی منعقد کرده باشد که در لحظهٔ انعقاد، مطابق مصلحت کشور و نظام بوده است؛ سپس با گذر زمان، شرایط دگرگون شود یا طرف مقابل به تعهدات خود عمل نکند، به‌گونه‌ای که ادامهٔ اجرای همان پیمان به ضرر جدی دولت اسلامی بینجامد. در این فرض، حاکم اسلامی میان دو تکلیف قرار می‌گیرد: وفای به عهد، که با نصوص صریح کتاب و سنت و سیرهٔ معصومان تأیید شده است؛ و حفظ نظام و مصلحت امت، که در فقه امامیه از اوجب واجبات شمرده می‌شود. مسئلهٔ اصلی این رساله، تحلیل فقهی‌حقوقی همین موقعیت است.</w:t>
      </w:r>
    </w:p>
    <w:p>
      <w:pPr>
        <w:pStyle w:val="TH-Body"/>
      </w:pPr>
      <w:r>
        <w:t xml:space="preserve">صورت سادهٔ مسئله فریبنده است؛ زیرا در باطن، سه نظام هنجاری مستقل را به هم گره می‌زند که هر یک منطق، ادبیات و مرجع داوری خود را دارد. فقه امامیه به استناد «أَوْفُوا بِالْعُقُودِ»</w:t>
      </w:r>
      <w:r>
        <w:rPr>
          <w:rStyle w:val="FootnoteReference"/>
        </w:rPr>
        <w:footnoteReference w:id="1"/>
      </w:r>
      <w:r>
        <w:t xml:space="preserve"> و «أَوْفُوا بِعَهْدِ اللَّهِ إِذَا عَاهَدْتُمْ»</w:t>
      </w:r>
      <w:r>
        <w:rPr>
          <w:rStyle w:val="FootnoteReference"/>
        </w:rPr>
        <w:footnoteReference w:id="2"/>
      </w:r>
      <w:r>
        <w:t xml:space="preserve"> وفای به عهد را واجب می‌داند و نقض آن را جز به حکم دلیل جایز نمی‌شمارد. حقوق اساسی جمهوری اسلامی ایران حدود اختیارات رهبری را در فصل هشتم قانون اساسی تبیین کرده و دربارهٔ «خروج از التزام بین‌المللی» سکوت اختیار کرده است؛ و همین سکوت، پرسش از مرجع صالح و مجرای قانونی تصمیم را مطرح می‌سازد. حقوق بین‌الملل نیز در مادهٔ ۲۷ کنوانسیون وین حقوق معاهدات صریحاً مقرر می‌دارد که هیچ طرفی نمی‌تواند به مقررات حقوق داخلی خود به‌عنوان توجیهی برای عدم اجرای معاهده استناد کند؛</w:t>
      </w:r>
      <w:r>
        <w:rPr>
          <w:rStyle w:val="FootnoteReference"/>
        </w:rPr>
        <w:footnoteReference w:id="3"/>
      </w:r>
      <w:r>
        <w:t xml:space="preserve"> و در مادهٔ ۳۲ طرح مواد مسئولیت بین‌المللی دولت‌ها، وصف متخلفانهٔ رفتار دولت با استناد به حقوق داخلی آن مرتفع نمی‌شود.</w:t>
      </w:r>
      <w:r>
        <w:rPr>
          <w:rStyle w:val="FootnoteReference"/>
        </w:rPr>
        <w:footnoteReference w:id="4"/>
      </w:r>
    </w:p>
    <w:p>
      <w:pPr>
        <w:pStyle w:val="TH-Body"/>
      </w:pPr>
      <w:r>
        <w:t xml:space="preserve">نکتهٔ تعیین‌کننده این است که هیچ‌یک از این سه نظام، به‌تنهایی پاسخ کافی عرضه نمی‌کند و جمع سادهٔ پاسخ‌های سه‌گانه نیز راه‌گشا نیست. فقیهی که از سازوکارهای حقوق معاهدات بی‌خبر باشد، حکمی صادر می‌کند که اجرای آن هزینه‌های سنگین و پیش‌بینی‌نشده بر کشور تحمیل می‌کند؛ و حقوق‌دانی که مبانی فقهی مسئله را نشناسد، تصمیمی را نامشروع می‌خواند که شرعاً لازم بوده است. و تصمیم‌گیری که هر سه سطح را یک‌جا ندیده باشد، به تصمیمی می‌رسد که یا فاقد مبنای شرعی است یا فاقد مجرای قانونی یا پرهزینه‌ترین صورت ممکن در سطح بین‌المللی. تناقض ظاهری میان «وجوب وفای به عهد»، «اختیار حکومتی ولی فقیه» و «مسئولیت بین‌المللی دولت»، گرهی است که جز با تحلیل هم‌زمان و تفکیک‌شدهٔ سه سطح گشوده نمی‌شود.</w:t>
      </w:r>
    </w:p>
    <w:p>
      <w:pPr>
        <w:pStyle w:val="TH-Body"/>
      </w:pPr>
      <w:r>
        <w:t xml:space="preserve">سؤال اصلی پژوهش</w:t>
      </w:r>
      <w:r>
        <w:t xml:space="preserve"> ازاین‌رو چنین صورت‌بندی می‌شود: «عدول ولی فقیه از تعهدات بین‌المللی دولت اسلامی، از منظر فقه امامیه و حقوق بین‌الملل، چه مبانی، شرایط و آثاری دارد؟» پاسخ به این پرسش، مستلزم پاسخ به هفت سؤال فرعی است که در گفتار چهارم این مقدمه صورت‌بندی شده‌اند.</w:t>
      </w:r>
    </w:p>
    <w:p>
      <w:pPr>
        <w:pStyle w:val="TH-Goftar"/>
      </w:pPr>
      <w:r>
        <w:t xml:space="preserve">گفتار دوم: ضرورت و اهمیت تحقیق</w:t>
      </w:r>
    </w:p>
    <w:p>
      <w:pPr>
        <w:pStyle w:val="TH-Body"/>
      </w:pPr>
      <w:r>
        <w:t xml:space="preserve">ضرورت عملی.</w:t>
      </w:r>
      <w:r>
        <w:t xml:space="preserve"> تاریخ چهار دههٔ گذشتهٔ جمهوری اسلامی ایران، مکرر با موقعیت مورد بحث این رساله روبه‌رو بوده است: از تعهدات ناشی از اعلامیه‌های الجزایر (۱۹۸۱) تا پروندهٔ هسته‌ای، برنامهٔ جامع اقدام مشترک (۲۰۱۵) و قطعنامهٔ ۲۲۳۱ شورای امنیت، خروج یک‌جانبهٔ طرف مقابل (۲۰۱۸) و کاهش تدریجی تعهدات ایران از سال ۲۰۱۹. در همهٔ این موارد، واکنش‌ها و تحلیل‌های رایج عمدتاً سیاسی و جناحی بوده است، نه فقهی و حقوقی و ضابطه‌مند؛ و در نتیجه، هر مورد از نو محل مناقشه شده و چارچوب ماندگاری از خود بر جای نگذاشته است. خلأ ضابطهٔ مدون، خود به‌تنهایی ضرورت این پژوهش را اثبات می‌کند؛ زیرا تصمیمی که مبنا و ضابطه نداشته باشد، در هر مورد از نو به آزمون‌وخطا می‌افتد.</w:t>
      </w:r>
    </w:p>
    <w:p>
      <w:pPr>
        <w:pStyle w:val="TH-Body"/>
      </w:pPr>
      <w:r>
        <w:t xml:space="preserve">ضرورت نظری.</w:t>
      </w:r>
      <w:r>
        <w:t xml:space="preserve"> از یک سو، فقه امامیه در باب معاهدات بین‌المللی امروزی که با عهدنامه‌های صدر اسلام از جهت ساختار، چندجانبه بودن، سازوکارهای تفسیر و ضمانت اجرا تفاوت‌های بنیادین دارد به بلوغ و تفصیل لازم نرسیده است. ابواب فقهی ما در حوزهٔ طهارت و صلوات و معاملات خصوصی، مشحون از تحلیل‌های دقیق است؛ اما دربارهٔ تکلیف حاکم اسلامی در برابر پیمان بین‌المللی زیان‌بار، آثار مستقل و مبسوط بسیار اندک است. این فقر، با ادعای جامعیت فقه برای ادارهٔ جامعه سازگار نیست. از سوی دیگر، حقوق بین‌الملل معاصر با کنوانسیون وین حقوق معاهدات، طرح مواد مسئولیت بین‌المللی دولت‌ها و رویهٔ دیوان بین‌المللی دادگستری نیازمند خوانش فقهی است تا فقیه بتواند در برابر آن موضع دقیق و منصفانه اتخاذ کند؛ نه پذیرش منفعلانه و نه رد احساسی. مقدمهٔ هر دو موضع، «فهم» است.</w:t>
      </w:r>
    </w:p>
    <w:p>
      <w:pPr>
        <w:pStyle w:val="TH-Body"/>
      </w:pPr>
      <w:r>
        <w:t xml:space="preserve">مخاطبان پژوهش.</w:t>
      </w:r>
      <w:r>
        <w:t xml:space="preserve"> مخاطب این رساله تنها حوزهٔ علمیه و دانشگاه نیست. تصمیم‌گیران، مشاوران حقوقی و فقهی نظام در شورای عالی امنیت ملی، وزارت امور خارجه، مجمع تشخیص مصلحت نظام و معاونت حقوقی ریاست جمهوری بیش از هر کس به چنین چارچوبی نیاز دارند. رساله‌ای که مبنای فقهی، مجرای قانونی و آثار بین‌المللی یک تصمیم حکومتی را یک‌جا و با زبانی قابل استفادهٔ عملی عرضه کند، پل میان نظر و عمل است؛ و همین پیوند، اهمیت آن را دوچندان می‌کند.</w:t>
      </w:r>
    </w:p>
    <w:p>
      <w:pPr>
        <w:pStyle w:val="TH-Goftar"/>
      </w:pPr>
      <w:r>
        <w:t xml:space="preserve">گفتار سوم: اهداف تحقیق</w:t>
      </w:r>
    </w:p>
    <w:p>
      <w:pPr>
        <w:pStyle w:val="TH-Body"/>
      </w:pPr>
      <w:r>
        <w:t xml:space="preserve">هدف اصلی</w:t>
      </w:r>
      <w:r>
        <w:t xml:space="preserve"> ارائهٔ تحلیلی فقهی‌حقوقی، جامع و ضابطه‌مند از عدول ولی فقیه از تعهدات بین‌المللی است؛ تحلیلی که هم تکلیف شرعی حاکم را روشن کند، هم جایگاه حقوقی تصمیم او را در نظام حقوقی داخلی، و هم آثار بین‌المللی آن را در یک چارچوب منسجم و قابل استفادهٔ عملی.</w:t>
      </w:r>
    </w:p>
    <w:p>
      <w:pPr>
        <w:pStyle w:val="TH-Body"/>
      </w:pPr>
      <w:r>
        <w:t xml:space="preserve">در کنار هدف اصلی، سه </w:t>
      </w:r>
      <w:r>
        <w:t xml:space="preserve">هدف میانی</w:t>
      </w:r>
      <w:r>
        <w:t xml:space="preserve"> قابل تشخیص است که جهت کل پژوهش را تعیین می‌کنند. نخست، «رفع خلط سطوح»: نشان دادن این‌که جواز فقهی، مشروعیت داخلی و مسئولیت بین‌المللی سه مقولهٔ مستقل‌اند و خلط آن‌ها منشأ اصلی خطاهای تحلیلی رایج در این حوزه است. دوم، «مهار جواز»: نشان دادن این‌که عدول، اگر جایز باشد، بی‌ضابطه نیست و با هشت ضابطهٔ عملی محدود می‌شود؛ تا این رساله دستاویز توجیه عهدشکنی بی‌مبنا نگردد. سوم، «کارآمدسازی چارچوب»: ارائهٔ ساختاری که در لحظهٔ تصمیم قابل استفاده باشد، نه تنها قابل مطالعه.</w:t>
      </w:r>
    </w:p>
    <w:p>
      <w:pPr>
        <w:pStyle w:val="TH-Body"/>
      </w:pPr>
      <w:r>
        <w:t xml:space="preserve">اهداف فرعی</w:t>
      </w:r>
      <w:r>
        <w:t xml:space="preserve"> هفت‌گانه است و هر یک به یکی از سؤالات فرعی گره خورده است: تحلیل مسئولیت بین‌المللی تصمیم مطابق طرح مواد کمیسیون حقوق بین‌الملل و راه‌های کاهش آن؛ بازشناسی سازوکارهای تعلیق و خاتمهٔ موجه در کنوانسیون وین و شرایط هر یک؛ بررسی جامع و منصفانهٔ ادلهٔ وجوب وفای به عهد (آیات، روایات، سیره، عقل و بنای عقلا) و تعیین دقیق قلمرو و استثناهای آن‌ها؛ تبیین نسبت حکم حکومتی و قاعدهٔ تزاحم با تعهدات بین‌المللی و استخراج ضوابط عملی؛ تحلیل دلالت اصول قانون اساسی به‌ویژه اصول ۵، ۵۷، ۷۷، ۱۱۰، ۱۱۲ و ۱۲۵ بر اختیار ولی فقیه؛ استقصای سیرهٔ پیامبر اکرم (ص) و امیرالمؤمنین (ع) در عهدنامه‌ها و استخراج الگوهای رفتاری؛ و تبیین آثار عملی تصمیم در سطوح داخلی و بین‌المللی.</w:t>
      </w:r>
    </w:p>
    <w:p>
      <w:pPr>
        <w:pStyle w:val="TH-Goftar"/>
      </w:pPr>
      <w:r>
        <w:t xml:space="preserve">گفتار چهارم: سؤالات تحقیق</w:t>
      </w:r>
    </w:p>
    <w:p>
      <w:pPr>
        <w:pStyle w:val="TH-Body0"/>
      </w:pPr>
      <w:r>
        <w:t xml:space="preserve">سؤال اصلی:</w:t>
      </w:r>
      <w:r>
        <w:t xml:space="preserve"> عدول ولی فقیه از تعهدات بین‌المللی دولت اسلامی، از منظر فقه امامیه و حقوق بین‌الملل، چه مبانی، شرایط و آثاری دارد؟</w:t>
      </w:r>
    </w:p>
    <w:p>
      <w:pPr>
        <w:pStyle w:val="TH-Body0"/>
      </w:pPr>
      <w:r>
        <w:t xml:space="preserve">سؤالات فرعی:</w:t>
      </w:r>
    </w:p>
    <w:p>
      <w:pPr>
        <w:pStyle w:val="TH-Body0"/>
      </w:pPr>
      <w:r>
        <w:t xml:space="preserve">۱. مسئولیت بین‌المللی دولت اسلامی در فرض عدول ولی فقیه از تعهدات چیست و چگونه قابل مدیریت است؟</w:t>
      </w:r>
    </w:p>
    <w:p>
      <w:pPr>
        <w:pStyle w:val="TH-Body0"/>
      </w:pPr>
      <w:r>
        <w:t xml:space="preserve">۲. سازوکارهای تعلیق و خاتمهٔ موجه در نظام حقوق معاهدات کدام‌اند و نسبت آن‌ها با عدول حکومتی چیست؟</w:t>
      </w:r>
    </w:p>
    <w:p>
      <w:pPr>
        <w:pStyle w:val="TH-Body0"/>
      </w:pPr>
      <w:r>
        <w:t xml:space="preserve">۳. ادلهٔ وجوب وفای به عهد در فقه امامیه چه قلمرو و چه استثناهایی دارند؟</w:t>
      </w:r>
    </w:p>
    <w:p>
      <w:pPr>
        <w:pStyle w:val="TH-Body0"/>
      </w:pPr>
      <w:r>
        <w:t xml:space="preserve">۴. نسبت حکم حکومتی و قاعدهٔ تزاحم با تعهدات بین‌المللی دولت اسلامی چگونه است و عدول حکومتی چه ضوابطی دارد؟</w:t>
      </w:r>
    </w:p>
    <w:p>
      <w:pPr>
        <w:pStyle w:val="TH-Body0"/>
      </w:pPr>
      <w:r>
        <w:t xml:space="preserve">۵. دلالت اصول قانون اساسی جمهوری اسلامی ایران بر اختیار ولی فقیه در این حوزه، تا چه حد و به چه کیفیتی است؟</w:t>
      </w:r>
    </w:p>
    <w:p>
      <w:pPr>
        <w:pStyle w:val="TH-Body0"/>
      </w:pPr>
      <w:r>
        <w:t xml:space="preserve">۶. سیرهٔ پیامبر اکرم (ص) و امیرالمؤمنین (ع) در عهدنامه‌ها چه الگوهایی برای تصمیم حکومتی معاصر عرضه می‌کند؟</w:t>
      </w:r>
    </w:p>
    <w:p>
      <w:pPr>
        <w:pStyle w:val="TH-Body0"/>
      </w:pPr>
      <w:r>
        <w:t xml:space="preserve">۷. آثار عملی و اجرایی عدول از تعهدات بین‌المللی در سطوح داخلی و بین‌المللی چیست؟</w:t>
      </w:r>
    </w:p>
    <w:p>
      <w:pPr>
        <w:pStyle w:val="TH-Goftar"/>
      </w:pPr>
      <w:r>
        <w:t xml:space="preserve">گفتار پنجم: فرضیه تحقیق</w:t>
      </w:r>
    </w:p>
    <w:p>
      <w:pPr>
        <w:pStyle w:val="TH-Body"/>
      </w:pPr>
      <w:r>
        <w:t xml:space="preserve">فرضیهٔ اصلی:</w:t>
      </w:r>
      <w:r>
        <w:t xml:space="preserve"> «عدول ولی فقیه از تعهدات بین‌المللی، در چارچوب قاعدهٔ تزاحم و از مجرای حکم حکومتی و با رعایت ضوابط استخراج‌شده از ادلهٔ فقهی، شرعاً جایز و در فرض خطر بر نظام واجب است؛ مشروط بر آن‌که مصلحت اهمی احراز شده باشد، راه‌های حقوقی مندرج در معاهده و کنوانسیون وین مقدم داشته شده باشد، تشخیص نهایی با ولی فقیه و مبتنی بر پشتوانهٔ کارشناسی باشد، و آثار بین‌المللی تصمیم از جمله مسئولیت دولت در محاسبهٔ مصلحت لحاظ شده باشد.» هر یک از این قیود بار استدلالی مستقل دارد و در فصول بعد یک‌به‌یک اثبات می‌شود.</w:t>
      </w:r>
    </w:p>
    <w:p>
      <w:pPr>
        <w:pStyle w:val="TH-Body"/>
      </w:pPr>
      <w:r>
        <w:t xml:space="preserve">فرضیه‌های فرعی:</w:t>
      </w:r>
      <w:r>
        <w:t xml:space="preserve"> (۱) تصمیم ولی فقیه به دولت جمهوری اسلامی ایران منتسب می‌شود و در صورت نقض بدون مجوز، مسئولیت بین‌المللی پدید می‌آورد؛ اما این مسئولیت مانع جواز شرعی نیست، بلکه بخشی از هزینه‌ای است که باید در ترازوی مصلحت سنجیده شود. (۲) سازوکارهای کنوانسیون وین تعلیق و خاتمهٔ موجه، تغییر بنیادین اوضاع و آیین ادعا راه‌های حقوقی کم‌هزینه‌تری هستند که تا زمانی که باز باشند، بر عدول یک‌جانبه تقدم دارند. (۳) اطلاقات ادلهٔ وفا منصرف به عقود متعارف و شرایط عادی‌اند و با تزاحم مصلحتی جمع نمی‌شوند؛ و این انصراف از مجرای تزاحم تحلیل می‌شود، نه تخصیص. (۴) در حقوق اساسی، اختیار ولی فقیه در این حوزه از نوع «اختیار ضمنی و ولایی» است، نه صریح؛ یعنی از عموم و اطلاق بندهای اصل ۱۱۰ و اصل ۵۷ استنباط می‌شود، نه آن‌که در متن قانون اساسی ذکر شده باشد.</w:t>
      </w:r>
    </w:p>
    <w:p>
      <w:pPr>
        <w:pStyle w:val="TH-Goftar"/>
      </w:pPr>
      <w:r>
        <w:t xml:space="preserve">گفتار ششم: پیشینه تحقیق</w:t>
      </w:r>
    </w:p>
    <w:p>
      <w:pPr>
        <w:pStyle w:val="TH-Body"/>
      </w:pPr>
      <w:r>
        <w:t xml:space="preserve">تمهید.</w:t>
      </w:r>
      <w:r>
        <w:t xml:space="preserve"> موضوع این رساله، به‌صورت‌بندی سه‌سطحیِ حاضر (فقهی، اساسی و بین‌المللی)، اثر مستقلی ندارد. با این حال، بی‌سابقه نیز نیست؛ زیرا هر یک از اضلاع سه‌گانهٔ آن پیشینهٔ غنی و قابل استفاده‌ای دارد. انصاف علمی اقتضا می‌کند که سهم هر یک از این پیشینه‌ها و نیز نقطهٔ خلأ آن‌ها صریحاً تعیین شود.</w:t>
      </w:r>
    </w:p>
    <w:p>
      <w:pPr>
        <w:pStyle w:val="TH-Body"/>
      </w:pPr>
      <w:r>
        <w:t xml:space="preserve">در ضلع فقهی،</w:t>
      </w:r>
      <w:r>
        <w:t xml:space="preserve"> سه دسته منبع وجود دارد. دستهٔ نخست، کتب قواعد فقهیه و ابواب عقود است: شیخ مرتضی انصاری در کتاب المکاسب و فرائد الاصول، میرزای نائینی در منیة الطالب و فوائد الاصول، و سیدمحمدحسن بجنوردی در القواعد الفقهیه (ج ۴، قاعدهٔ لزوم)، قواعد عمومی لزوم عقد و خیارات را پی‌ریزی کرده‌اند. هیچ‌یک از این آثار مستقیماً به معاهدات بین‌المللی امروزی نپرداخته‌اند؛ ازاین‌رو انتساب نظر مستقیم در مسئلهٔ حاضر به آن‌ها، بدون تسامح ممکن نیست و در این رساله چنین انتسابی صورت نگرفته است. دستهٔ دوم، کتب جهاد و سیر و فقه سیاسی است: جواهر الکلام در کتاب الجهاد (ابواب هدنه، امان، ذمه و صلح)، تحریر الوسیلهٔ امام خمینی، دراسات فی ولایة الفقیه منتظری، ولایت فقیه و کتاب البیع امام خمینی، و فقه سیاسی عمید زنجانی و جوادی آملی. این آثار احکام عهدنامه‌ها و گسترهٔ ولایت را بحث کرده‌اند و مهم‌ترین پشتوانهٔ فقهی این پژوهش‌اند. دستهٔ سوم، ادبیات عربی معاصر در «فقه روابط بین‌الملل» است، به‌ویژه آثار وهبه زحیلی (العلاقات الدولیة فی الاسلام و آثار الحرب فی الاسلام) و فقه روابط بین‌الملل محمدحکیم سیفی که عمدتاً از منظر فقه عمومی اسلام نوشته شده‌اند و تحلیل‌های سودمندی از نصوص مشترک عرضه می‌کنند.</w:t>
      </w:r>
      <w:r>
        <w:rPr>
          <w:rStyle w:val="FootnoteReference"/>
        </w:rPr>
        <w:footnoteReference w:id="5"/>
      </w:r>
    </w:p>
    <w:p>
      <w:pPr>
        <w:pStyle w:val="TH-Body"/>
      </w:pPr>
      <w:r>
        <w:t xml:space="preserve">در ضلع حقوق اساسی،</w:t>
      </w:r>
      <w:r>
        <w:t xml:space="preserve"> منابع اصلی عبارت‌اند از: حقوق اساسی جمهوری اسلامی ایران سیدمحمد هاشمی (دو جلد، نشر میزان)، حقوق اساسی و نهادهای سیاسی سیدابوالفضل قاضی شریعت‌پناهی، حقوق اساسی عباسعلی عمید زنجانی، صورت مشروح مذاکرات مجلس بررسی نهایی قانون اساسی، و نظرات تفسیری شورای نگهبان. در این ضلع، تمرکز بیشتر آثار بر «ورود به التزام» (اصول ۷۷ و ۱۲۵) بوده و بحث «خروج از التزام» کمتر به‌طور مستقل و نظام‌مند تحلیل شده است؛ و همین، نقطهٔ خلأ اصلی است.</w:t>
      </w:r>
    </w:p>
    <w:p>
      <w:pPr>
        <w:pStyle w:val="TH-Body"/>
      </w:pPr>
      <w:r>
        <w:t xml:space="preserve">در ضلع حقوق بین‌الملل،</w:t>
      </w:r>
      <w:r>
        <w:t xml:space="preserve"> شالودهٔ تحلیل عبارت است از: کنوانسیون وین حقوق معاهدات (۱۹۶۹)، طرح مواد مسئولیت بین‌المللی دولت‌ها (۲۰۰۱) و رویهٔ دیوان بین‌المللی دادگستری در قضایای کارکنان دیپلماتیک و کنسولی ایالات متحده در تهران (۱۹۸۰)، نیکاراگوئه (۱۹۸۶) و گابچیکوو‌ناگیماروش (۱۹۹۷). در ادبیات فارسی، حقوق معاهدات بین‌المللی محمدرضا ضیایی بیگدلی و ترجمهٔ علیرضا ابراهیم‌گل از طرح مواد مسئولیت (با نظارت سیدجمال سیفی) منابع دست‌اول بوده‌اند؛ و در ادبیات لاتین، آثار شاو، کرافورد، است، ویلیگر، و شرح کورتن و کلین بر کنوانسیون‌های وین مورد استفاده قرار گرفته‌اند.</w:t>
      </w:r>
    </w:p>
    <w:p>
      <w:pPr>
        <w:pStyle w:val="TH-Body"/>
      </w:pPr>
      <w:r>
        <w:t xml:space="preserve">مقام این منابع.</w:t>
      </w:r>
      <w:r>
        <w:t xml:space="preserve"> از منابع لاتین تنها در مقام «فهم» حقوق بین‌الملل استفاده شده است، نه در مقام «داوری» فقهی. داور مسئلهٔ فقهی، فقه امامیه است، نه حقوق بین‌الملل؛ و حقوق بین‌الملل در این رساله موضوع تحلیل حقوقیِ سطح سوم است، نه معیار داوری شرعی. این تمایز مقامی فهم در برابر داوری از اصول روشی پژوهش حاضر است و در سراسر رساله رعایت شده است.</w:t>
      </w:r>
    </w:p>
    <w:p>
      <w:pPr>
        <w:pStyle w:val="TH-Body"/>
      </w:pPr>
      <w:r>
        <w:t xml:space="preserve">نوآوری‌های پژوهش</w:t>
      </w:r>
      <w:r>
        <w:t xml:space="preserve"> نسبت به پیشینهٔ فوق، در چهار مورد خلاصه می‌شود: (۱) صورت‌بندی سه‌سطحی مسئله و تحلیل تفکیک‌شدهٔ هم‌زمان هر سه سطح؛ (۲) استخراج و تدوین ضوابط هشت‌گانهٔ عملی برای عدول حکومتی؛ (۳) ارائهٔ تفکیک چهارگانهٔ مراتب اختیار ولی فقیه (صریح، ضمنی، ولایی، حکومتی) به‌عنوان راه میانه میان دیدگاه حصر و دیدگاه توسعهٔ بی‌ضابطه؛ و (۴) صراحت در نقد ادعای وجود اختیار «صریح» رهبری دربارهٔ معاهدات در اصل ۱۱۰ و جایگزینی آن با استنباط از بندهای عام. هر چهار مورد در متن رساله مستند شده‌اند.</w:t>
      </w:r>
    </w:p>
    <w:p>
      <w:pPr>
        <w:pStyle w:val="TH-Goftar"/>
      </w:pPr>
      <w:r>
        <w:t xml:space="preserve">گفتار هفتم: روش تحقیق</w:t>
      </w:r>
    </w:p>
    <w:p>
      <w:pPr>
        <w:pStyle w:val="TH-Body"/>
      </w:pPr>
      <w:r>
        <w:t xml:space="preserve">روش این پژوهش کتابخانه‌ای، تحلیلی و استنباطی است و ابزار گردآوری داده‌ها، فیش‌برداری از منابع دست‌اول عربی، فارسی و لاتین. در مقام داوری میان آرا، روش مصطلح رسالهٔ سطح سه رعایت شده است: نقل اقوال به نحو احسن (چنان‌که صاحب قول بیان کرده، نه چنان‌که منتقدانش گزارش کرده‌اند)، نقل ادله با قوت اصلی آن‌ها، نقد منصفانه و داوری مستدل.</w:t>
      </w:r>
    </w:p>
    <w:p>
      <w:pPr>
        <w:pStyle w:val="TH-Body"/>
      </w:pPr>
      <w:r>
        <w:t xml:space="preserve">در فقه،</w:t>
      </w:r>
      <w:r>
        <w:t xml:space="preserve"> روش اجتهادی مصطلح به‌کار رفته است: استقصای ادله (کتاب، سنت، عقل، بنای عقلا)، بررسی سندی و دلالی هر دلیل، طرح اشکالات مقدّر و پاسخ به آن‌ها، و جمع‌بندی. </w:t>
      </w:r>
      <w:r>
        <w:t xml:space="preserve">در حقوق بین‌الملل،</w:t>
      </w:r>
      <w:r>
        <w:t xml:space="preserve"> روش تفسیری‌تحلیلی متون معاهده‌ای و رویهٔ قضایی به‌کار رفته است. </w:t>
      </w:r>
      <w:r>
        <w:t xml:space="preserve">در حقوق اساسی،</w:t>
      </w:r>
      <w:r>
        <w:t xml:space="preserve"> روش تفسیر اصول قانون اساسی، با رجوع به‌صورت مشروح مذاکرات و داوری میان دیدگاه مفسران.</w:t>
      </w:r>
    </w:p>
    <w:p>
      <w:pPr>
        <w:pStyle w:val="TH-Body"/>
      </w:pPr>
      <w:r>
        <w:t xml:space="preserve">شیوهٔ استدلال.</w:t>
      </w:r>
      <w:r>
        <w:t xml:space="preserve"> الگوی حاکم بر متن، «استدلال گام‌به‌گام همراه با دفع اشکال» است؛ همان شیوه‌ای که در درس خارج فقه و اصول رایج است. هر ادعا ابتدا با دلیل پشتیبانی می‌شود، سپس اشکال مقدّر آن طرح و پاسخ داده می‌شود و در پایان، نتیجهٔ فرع استخراج می‌گردد. فایدهٔ این شیوه دو چیز است: خواننده اشکالات ذهنی خود را در متن پاسخ‌یافته می‌یابد، و مدعی از مواجهه با اشکال نمی‌گریزد.</w:t>
      </w:r>
    </w:p>
    <w:p>
      <w:pPr>
        <w:pStyle w:val="TH-Body"/>
      </w:pPr>
      <w:r>
        <w:t xml:space="preserve">اصل امانت در ارجاع.</w:t>
      </w:r>
      <w:r>
        <w:t xml:space="preserve"> در مواردی که دسترسی به نسخهٔ معتبر منبع یا احراز مشخصات دقیق چاپ ممکن نشد، به‌جای انتساب قطعی، نشانی به نحو اجمال ذکر و صراحتاً قید شده است که نیازمند بازبینی است. توضیح این شیوه در «یادداشت‌های کتاب‌شناختی» ذیل فهرست منابع آمده است.</w:t>
      </w:r>
      <w:r>
        <w:rPr>
          <w:rStyle w:val="FootnoteReference"/>
        </w:rPr>
        <w:footnoteReference w:id="6"/>
      </w:r>
    </w:p>
    <w:p>
      <w:pPr>
        <w:pStyle w:val="TH-Goftar"/>
      </w:pPr>
      <w:r>
        <w:t xml:space="preserve">گفتار هشتم: ساماندهی تحقیق</w:t>
      </w:r>
    </w:p>
    <w:p>
      <w:pPr>
        <w:pStyle w:val="TH-Body"/>
      </w:pPr>
      <w:r>
        <w:t xml:space="preserve">این رساله در سه بخش و پنج فصل سامان یافته است؛ با منطقی که از کلی به جزئی، از مبنا به حکم و از نظر به عمل حرکت می‌کند.</w:t>
      </w:r>
    </w:p>
    <w:p>
      <w:pPr>
        <w:pStyle w:val="TH-Body"/>
      </w:pPr>
      <w:r>
        <w:t xml:space="preserve">بخش اول (مبانی و کلیات)</w:t>
      </w:r>
      <w:r>
        <w:t xml:space="preserve"> دربردارندهٔ دو فصل است. فصل اول به مفهوم‌شناسی و چارچوب نظری می‌پردازد: معاهده و تعهد بین‌المللی، ولی فقیه و مراتب اختیار او، عدول و مفاهیم خویشاوند، مصلحت و نسبت آن با ضرورت بین‌المللی، و پیشینهٔ مفهومی عهد در فقه (هدنه، امان، ذمه و صلح). فصل دوم کلیات حقوق معاهدات (تاریخچه، اصول بنیادین، قواعد تفسیر، شرایط اعتبار و سازوکارهای تعلیق و خاتمه) و اصول مرتبط قانون اساسی را تبیین می‌کند. کارکرد این بخش، تنقیح موضوع و تبیین «زمینهٔ هنجاری» بحث است.</w:t>
      </w:r>
    </w:p>
    <w:p>
      <w:pPr>
        <w:pStyle w:val="TH-Body"/>
      </w:pPr>
      <w:r>
        <w:t xml:space="preserve">بخش دوم (تحلیل فقهی مسئله)</w:t>
      </w:r>
      <w:r>
        <w:t xml:space="preserve"> نیز دو فصل دارد و محور اصلی استدلال رساله است. فصل سوم به ادلهٔ وجوب وفای به عهد در هشت گفتار می‌پردازد: آیات عام، آیات خاص جهاد، روایات، سیرهٔ معصومان، حکم عقل و بنای عقلا، قواعد فقهی مؤید، ادلهٔ تکمیلی، و واژه‌شناسی قرآنی عهد. فصل چهارم مبانی جواز عدول را در شش گفتار تحلیل می‌کند: قاعدهٔ تزاحم، نظریهٔ حکم حکومتی، قواعد لاضرر و لاحرج و اصل اوجبیت حفظ نظام، ضوابط هشت‌گانه، دفع اشکالات مقدّر، و پیشینهٔ نظری از نراقی تا امام خمینی.</w:t>
      </w:r>
    </w:p>
    <w:p>
      <w:pPr>
        <w:pStyle w:val="TH-Body"/>
      </w:pPr>
      <w:r>
        <w:t xml:space="preserve">بخش سوم (تحلیل حقوقی مسئله)</w:t>
      </w:r>
      <w:r>
        <w:t xml:space="preserve"> شامل فصل پنجم است که در پنج گفتار به چارچوب مسئولیت بین‌المللی دولت‌ها، انتساب تصمیم ولی فقیه به دولت، نقض تعهد و تفکیک سه‌گانهٔ سطوح تحلیل، اسباب رافع وصف متخلفانه و راهبردهای کاهش مسئولیت، و جایگاه حقوق اساسی تصمیم می‌پردازد. پایان‌بخش رساله، نتیجه‌گیری (در پنج دستاورد)، فهرست منابع و شش پیوست است.</w:t>
      </w:r>
    </w:p>
    <w:p>
      <w:pPr>
        <w:pStyle w:val="TH-Goftar"/>
      </w:pPr>
      <w:r>
        <w:t xml:space="preserve">گفتار نهم: قلمرو، محدودیت‌ها و اصطلاحات</w:t>
      </w:r>
    </w:p>
    <w:p>
      <w:pPr>
        <w:pStyle w:val="TH-Body"/>
      </w:pPr>
      <w:r>
        <w:t xml:space="preserve">قلمرو پژوهش.</w:t>
      </w:r>
      <w:r>
        <w:t xml:space="preserve"> قلمرو زمانی از صدر اسلام (برای استقصای سیره) تا حقوق بین‌الملل معاصر (تحولات تا سال ۲۰۲۵ میلادی) است. قلمرو مکانی، نظام جمهوری اسلامی ایران است. قلمرو موضوعی، منحصر در «عدول ولی فقیه از تعهدات بین‌المللی» با همان تعریف مضیقی است که در فصل اول ارائه می‌شود. از این قلمرو خارج نشده‌ایم: نه به معاهدات و قراردادهای اشخاص خصوصی پرداخته‌ایم، نه به تصمیم‌های دولت‌های دیگر (جز به نحو تجربهٔ تطبیقی و درس‌آموزی حقوقی)، نه به احکام جهاد ابتدایی و تفاصیل آن، و نه به تحلیل سیاسی رویدادهای جاری.</w:t>
      </w:r>
    </w:p>
    <w:p>
      <w:pPr>
        <w:pStyle w:val="TH-Body"/>
      </w:pPr>
      <w:r>
        <w:t xml:space="preserve">محدودیت‌ها.</w:t>
      </w:r>
      <w:r>
        <w:t xml:space="preserve"> سه محدودیت اصلی این پژوهش را شکل داده است. نخست، عدم دسترسی به اسناد محرمانهٔ مذاکرات و تصمیم‌های حکومتی معاصر، که تحلیل تجربی را محدود ساخته و پژوهش را به تحلیل نظری و مثال‌های علنی بسنده کرده است. دوم، پراکندگی ادبیات فقهی در باب معاهدات امروزی، که در مواردی تسری قواعد عام به مصادیق خاص را ناگزیر ساخته است؛ و این تسری هنگامی معتبر شمرده شده که با دلیل مستقل پشتیبانی شود. سوم، اختلاف تفسیر حقوق‌دانان در مفاهیم کلیدی کنوانسیون وین و طرح مواد مسئولیت، که داوری قطعی را در بعضی فروع ناممکن ساخته و پژوهش را به ترجیح مستدل محدود کرده است.</w:t>
      </w:r>
    </w:p>
    <w:p>
      <w:pPr>
        <w:pStyle w:val="TH-Body"/>
      </w:pPr>
      <w:r>
        <w:t xml:space="preserve">اصطلاحات کلیدی</w:t>
      </w:r>
      <w:r>
        <w:t xml:space="preserve"> (که تفصیل آن‌ها در فصل اول می‌آید و در سراسر رساله به همین معانی مضیق به‌کار رفته‌اند): «ولی فقیه» = مقام رهبری در نظام جمهوری اسلامی ایران، نه هر فقیه جامع‌الشرایط؛ «تعهد بین‌المللی» = تعهد ناشی از معاهده به معنای فنی مادهٔ ۲ کنوانسیون وین، نه هر تعهد اخلاقی یا سیاسی؛ «عدول» = تصمیم یک‌جانبه و فوق‌العادهٔ حاکم بر توقف یا تعلیق اجرای تعهد در مقام تزاحم، نه خاتمهٔ توافقی و عادی؛ و «مصلحت» = منفعت واقعی، نوعی و اهم نظام و امت، نه سلیقهٔ شخصی تصمیم‌گیر.</w:t>
      </w:r>
    </w:p>
    <w:p>
      <w:pPr>
        <w:pStyle w:val="TH-Bakhsh"/>
      </w:pPr>
      <w:r>
        <w:t xml:space="preserve">بخش اول: مبانی و کلیات</w:t>
      </w:r>
    </w:p>
    <w:p>
      <w:pPr>
        <w:pStyle w:val="TH-Fasl"/>
      </w:pPr>
      <w:r>
        <w:t xml:space="preserve">فصل اول: مفهوم‌شناسی و چارچوب نظری</w:t>
      </w:r>
    </w:p>
    <w:p>
      <w:pPr>
        <w:pStyle w:val="TH-Body"/>
      </w:pPr>
      <w:r>
        <w:t xml:space="preserve">پیش از ورود در ادلهٔ مسئله، تنقیح مفاهیم ضروری است؛ زیرا بخشی قابل‌توجه از مناقشات علمی در این حوزه، نه اختلاف در حکم، بلکه اختلاف در تصور موضوع است. موضوع این پژوهش سه رشتهٔ متمایز را به هم پیوند می‌زند و در هر یک، واژگان کلیدی بار معنایی خاص خود را دارند: «معاهده» در اصطلاح حقوق بین‌الملل مفهومی فنی با ارکان معین است و در ادبیات فقهی ما در سه بستر متفاوت (عقود معاوضی، عهدنامه‌های صدر اسلام، و عقود به معنای عام قرآنی) به‌کار رفته است؛ «مصلحت» در فقه قیود سه‌گانه دارد و در ادبیات سیاسی معاصر اغلب بدون قیود به‌کار می‌رود؛ و «عدول» واژه‌ای است که در هیچ‌یک از این سه نظام، تعریف فنیِ پذیرفته‌شده‌ای ندارد و نیازمند تعریف مستحدث است. این فصل به تنقیح همین مفاهیم و تبیین چارچوب نظری پژوهش اختصاص دارد.</w:t>
      </w:r>
    </w:p>
    <w:p>
      <w:pPr>
        <w:pStyle w:val="TH-Goftar"/>
      </w:pPr>
      <w:r>
        <w:t xml:space="preserve">گفتار اول: مفهوم معاهده و تعهد بین‌المللی</w:t>
      </w:r>
    </w:p>
    <w:p>
      <w:pPr>
        <w:pStyle w:val="TH-Band"/>
      </w:pPr>
      <w:r>
        <w:t xml:space="preserve">بند اول: تعریف لغوی و اصطلاحی معاهده</w:t>
      </w:r>
    </w:p>
    <w:p>
      <w:pPr>
        <w:pStyle w:val="TH-Body"/>
      </w:pPr>
      <w:r>
        <w:t xml:space="preserve">در لغت.</w:t>
      </w:r>
      <w:r>
        <w:t xml:space="preserve"> «معاهده» از مادهٔ «عهد» و بر وزن مفاعله است. عهد در لغت به معنای پیمان، التزام و نگهداری است؛</w:t>
      </w:r>
      <w:r>
        <w:rPr>
          <w:rStyle w:val="FootnoteReference"/>
        </w:rPr>
        <w:footnoteReference w:id="7"/>
      </w:r>
      <w:r>
        <w:t xml:space="preserve"> و «عاهده» یعنی با او پیمان بست. باب مفاعله بر مشارکت و دوسویه بودن دلالت می‌کند؛ ازاین‌رو معاهده ذاتاً امری یک‌جانبه نیست، بلکه تعهدی است که در بستر توافق متقابل شکل می‌گیرد. همین خاستگاه توافقی، در تحلیل وجوب وفا (فصل سوم) و در تحلیل آثار عدول (فصل پنجم) اثرگذار است؛ زیرا تعهدی که با ارادهٔ آزاد و متقابل ایجاد شده، با ارادهٔ یک‌جانبه به‌سادگی مرتفع نمی‌شود.</w:t>
      </w:r>
    </w:p>
    <w:p>
      <w:pPr>
        <w:pStyle w:val="TH-Body"/>
      </w:pPr>
      <w:r>
        <w:t xml:space="preserve">در اصطلاح حقوق بین‌الملل.</w:t>
      </w:r>
      <w:r>
        <w:t xml:space="preserve"> تعریف مرجع، در بند ۱ مادهٔ ۲ کنوانسیون وین حقوق معاهدات (۱۹۶۹) چنین آمده است:</w:t>
      </w:r>
    </w:p>
    <w:p>
      <w:pPr>
        <w:pStyle w:val="TH-Quote"/>
      </w:pPr>
      <w:r>
        <w:t xml:space="preserve">«معاهده» عبارت است از توافق بین‌المللی که میان دولت‌ها به‌صورت کتبی منعقد شده و تابع حقوق بین‌الملل باشد، خواه در سندی واحد یا در دو یا چند سند مرتبط، و با هر عنوان و نامی.</w:t>
      </w:r>
      <w:r>
        <w:rPr>
          <w:rStyle w:val="FootnoteReference"/>
        </w:rPr>
        <w:footnoteReference w:id="8"/>
      </w:r>
    </w:p>
    <w:p>
      <w:pPr>
        <w:pStyle w:val="TH-Body"/>
      </w:pPr>
      <w:r>
        <w:t xml:space="preserve">این تعریف چهار قید دارد که هر یک دامنهٔ شمول را محدود می‌کند و موضوع این رساله تنها در درون همین قیود قرار می‌گیرد:</w:t>
      </w:r>
    </w:p>
    <w:p>
      <w:pPr>
        <w:pStyle w:val="TH-Body"/>
      </w:pPr>
      <w:r>
        <w:t xml:space="preserve">قید نخست، «میان دولت‌ها».</w:t>
      </w:r>
      <w:r>
        <w:t xml:space="preserve"> اطراف معاهده دولت‌اند. به موجب کنوانسیون وین راجع به معاهدات میان دولت‌ها و سازمان‌های بین‌المللی (۱۹۸۶)، سازمان‌های بین‌المللی نیز می‌توانند طرف معاهده باشند؛ اما این کنوانسیون هنوز لازم‌الاجرا نشده و قواعد آن ماهیت عرفی یافته است. نتیجهٔ این قید آن است که قراردادهای اشخاص خصوصی حتی اگر یک طرف آن‌ها دولت باشد، چون قراردادهای سرمایه‌گذاری خارجی و قراردادهای تجاری دولتی از تعریف بیرون‌اند و احکام این رساله شامل آن‌ها نمی‌شود. تحدید فوق از جهت عملی حائز اهمیت است؛ زیرا در ادبیات رایج، احکام معاهدات گاه به‌نادرست به قراردادهای تجاری دولت تعمیم داده می‌شود.</w:t>
      </w:r>
    </w:p>
    <w:p>
      <w:pPr>
        <w:pStyle w:val="TH-Body"/>
      </w:pPr>
      <w:r>
        <w:t xml:space="preserve">قید دوم، «کتبی».</w:t>
      </w:r>
      <w:r>
        <w:t xml:space="preserve"> کنوانسیون وین تنها معاهدات کتبی را پوشش می‌دهد. این بدان معنا نیست که توافقات شفاهی فاقد اعتبار حقوقی‌اند؛ مادهٔ ۳ کنوانسیون تصریح می‌کند که عدم شمول کنوانسیون بر توافقات غیرکتبی، بر اعتبار حقوقی آن‌ها اثری ندارد و این توافقات تابع قواعد حقوق بین‌الملل عام‌اند.</w:t>
      </w:r>
      <w:r>
        <w:rPr>
          <w:rStyle w:val="FootnoteReference"/>
        </w:rPr>
        <w:footnoteReference w:id="9"/>
      </w:r>
      <w:r>
        <w:t xml:space="preserve"> با این حال، موضوع این پژوهش معاهدات کتبیِ مشمول کنوانسیون وین است؛ زیرا هم غالب‌اند و هم مستندسازی آن‌ها ممکن است.</w:t>
      </w:r>
    </w:p>
    <w:p>
      <w:pPr>
        <w:pStyle w:val="TH-Body"/>
      </w:pPr>
      <w:r>
        <w:t xml:space="preserve">قید سوم، «تابع حقوق بین‌الملل».</w:t>
      </w:r>
      <w:r>
        <w:t xml:space="preserve"> توافقی معاهده است که اطراف آن اراده کرده باشند التزام حقوقی بیافرینند، نه صرفاً تفاهم سیاسی. این قید، مرز میان «معاهده» و «توافق سیاسی» (چون بیانیه‌های مشترک سران و یادداشت‌های تفاهم غیرالزام‌آور) را تعیین می‌کند؛ مرزی که در تحلیل تجربهٔ برنامهٔ جامع اقدام مشترک (فصل پنجم) تعیین‌کننده است. تشخیص این قید با مراجعه به متن سند، سیاق انعقاد و رفتار بعدی اطراف صورت می‌گیرد و در رویهٔ دیوان بین‌المللی دادگستری معیارهای آن تبیین شده است.</w:t>
      </w:r>
    </w:p>
    <w:p>
      <w:pPr>
        <w:pStyle w:val="TH-Body"/>
      </w:pPr>
      <w:r>
        <w:t xml:space="preserve">قید چهارم، «با هر عنوان و نامی».</w:t>
      </w:r>
      <w:r>
        <w:t xml:space="preserve"> عهدنامه، مقاوله‌نامه، موافقت‌نامه، قرارداد، پیمان، میثاق، پروتکل و مبادلهٔ یادداشت، همگی اگر واجد سه قید پیشین باشند، معاهده‌اند. حقوق بین‌الملل به ماهیت سند نظر دارد، نه به‌نام آن. این قید در برابر ترفندهای نام‌گذاری (این‌که دولتی ادعا کند سند مورد نظر «توافق سیاسی» است و نه معاهده، تا از التزام بگریزد) سپر مهمی است؛ و از جهت فقهی نیز با قاعدهٔ «العبرة بالمسمّیات لا بالأسماء» هم‌خوان است.</w:t>
      </w:r>
    </w:p>
    <w:p>
      <w:pPr>
        <w:pStyle w:val="TH-Body"/>
      </w:pPr>
      <w:r>
        <w:t xml:space="preserve">در فقه امامیه.</w:t>
      </w:r>
      <w:r>
        <w:t xml:space="preserve"> برابرنهاد تاریخی معاهده، همان «عهد» و «عقد» و «معاهده» است؛ اما فقهای امامیه این مفاهیم را عمدتاً در سه بستر بحث کرده‌اند: (۱) عقود معاوضی خصوصی، چون بیع و اجاره، در ابواب معاملات؛ (۲) عهدنامه‌های صدر اسلام، چون هدنه، امان، ذمه و صلح، در کتاب الجهاد؛ و (۳) عقود به معنای عام قرآنی در ذیل آیهٔ «أَوْفُوا بِالْعُقُودِ». هیچ‌یک از این سه بستر، دقیقاً منطبق بر معاهدهٔ امروزی نیست؛ اما هر یک بخشی از حقیقت را در خود دارد. تفصیل این سه بستر در گفتار پنجم این فصل و تحلیل ادلهٔ آن‌ها در فصل سوم می‌آید. نکتهٔ روشی آن است که هرگاه در این رساله از «عهد» سخن می‌رود، بستر فقهی اراده شده و هرگاه از «معاهده» سخن می‌رود، بستر حقوق بین‌الملل؛ و تسری احکام یکی به دیگری، جز با دلیل مستقل، صورت نگرفته است.</w:t>
      </w:r>
    </w:p>
    <w:p>
      <w:pPr>
        <w:pStyle w:val="TH-Band"/>
      </w:pPr>
      <w:r>
        <w:t xml:space="preserve">بند دوم: اقسام معاهدات و تحدید محل بحث</w:t>
      </w:r>
    </w:p>
    <w:p>
      <w:pPr>
        <w:pStyle w:val="TH-Body"/>
      </w:pPr>
      <w:r>
        <w:t xml:space="preserve">معاهدات را از زوایای گوناگون تقسیم کرده‌اند: از جهت تعداد اطراف (دوجانبه و چندجانبه)؛ از جهت موضوع (سیاسی، اقتصادی، فرهنگی، نظامی، مرزی، حقوق بشری، زیست‌محیطی و مانند آن)؛ از جهت مدت (موقت، دائم و نامعین)؛ و از جهت پیش‌بینی سازوکار خروج (معاهداتی که حق خروج یا بازنگری در متن آن‌ها گنجانده شده و معاهداتی که چنین حقی ندارند).</w:t>
      </w:r>
    </w:p>
    <w:p>
      <w:pPr>
        <w:pStyle w:val="TH-Body"/>
      </w:pPr>
      <w:r>
        <w:t xml:space="preserve">اما تقسیمی که برای مسئلهٔ حاضر تعیین‌کننده است، تقسیم از جهت «نسبت معاهده با مصلحت متغیر» است. این تقسیم در آثار موجود به این صورت‌بندی یافت نشد و برای تنقیح محل بحث ارائه می‌شود. بر این اساس، معاهدات سه‌گونه‌اند:</w:t>
      </w:r>
    </w:p>
    <w:p>
      <w:pPr>
        <w:pStyle w:val="TH-Body"/>
      </w:pPr>
      <w:r>
        <w:t xml:space="preserve">گونهٔ نخست: معاهدات مرتبط با مصالح ثابت.</w:t>
      </w:r>
      <w:r>
        <w:t xml:space="preserve"> چون معاهدات مرزی و تحدید حدود که موضوع آن‌ها با ثبات سرزمینی و تمامیت ارضی گره خورده است. در این گونه، تغییر مصلحت به معنای مصطلح متصور نیست یا بسیار نادر است؛ و عدول از آن‌ها محل بحث این رساله نیست. شایستهٔ ذکر است که کنوانسیون وین نیز در بند ۲ (الف) مادهٔ ۶۲، معاهدات مرزی را از شمول قاعدهٔ تغییر بنیادین اوضاع استثنا کرده است؛</w:t>
      </w:r>
      <w:r>
        <w:rPr>
          <w:rStyle w:val="FootnoteReference"/>
        </w:rPr>
        <w:footnoteReference w:id="10"/>
      </w:r>
      <w:r>
        <w:t xml:space="preserve"> و این هم‌خوانی میان استثناکنش فقهی و حقوقی، مؤید صحت تقسیم است.</w:t>
      </w:r>
    </w:p>
    <w:p>
      <w:pPr>
        <w:pStyle w:val="TH-Body"/>
      </w:pPr>
      <w:r>
        <w:t xml:space="preserve">گونهٔ دوم: معاهدات ذاتاً موقت و مصلحت‌مدار.</w:t>
      </w:r>
      <w:r>
        <w:t xml:space="preserve"> چون آتش‌بس‌ها و موافقت‌نامه‌های همکاری مقطعی که با انقضای مدت یا انتفای موضوع، خودبه‌خود پایان می‌یابند. این گونه نیز محل بحث نیست؛ زیرا عدول از آن‌ها بدیهی است و نیازمند استدلال مستقل نیست.</w:t>
      </w:r>
    </w:p>
    <w:p>
      <w:pPr>
        <w:pStyle w:val="TH-Body"/>
      </w:pPr>
      <w:r>
        <w:t xml:space="preserve">گونهٔ سوم: معاهدات میان‌مدت و بلندمدتی که در لحظهٔ انعقاد مطابق مصلحت بوده‌اند، اما با گذر زمان و تغییر شرایط، ادامهٔ اجرای آن‌ها با مصلحت اهم در تزاحم قرار گرفته است.</w:t>
      </w:r>
      <w:r>
        <w:t xml:space="preserve"> چون پیمان‌های اقتصادی بلندمدت، عضویت در نهادهای بین‌المللی، و توافقات امنیتی چندساله. هرگاه در این رساله از «تعهد بین‌المللی» سخن رفته، منظور همین گونهٔ سوم است؛ نه بیشتر و نه کمتر.</w:t>
      </w:r>
    </w:p>
    <w:p>
      <w:pPr>
        <w:pStyle w:val="TH-Band"/>
      </w:pPr>
      <w:r>
        <w:t xml:space="preserve">بند سوم: مفهوم تعهد و ارکان آن</w:t>
      </w:r>
    </w:p>
    <w:p>
      <w:pPr>
        <w:pStyle w:val="TH-Body"/>
      </w:pPr>
      <w:r>
        <w:t xml:space="preserve">«تعهد» در حقوق بین‌الملل عبارت است از التزام حقوقی دولت به فعل یا ترک فعلی در برابر دولت یا دولت‌های دیگر؛ التزامی که نقض آن موجب مسئولیت بین‌المللی می‌شود. ارکان آن سه‌گانه است: متعهد (دولتی که ملتزم شده)، متعهدلَه (دولت یا دولت‌هایی که التزام به نفع آن‌ها ایجاد شده)، و متعلَّق (فعل یا ترک فعلی که موضوع التزام است). این ساختار سه‌رکنی، با ساختاری که در فقه امامیه برای تحلیل عقد و عهد به‌کار می‌رود (عاقدان و مورد عقد) هم‌پوشان است؛ و همین اشتراک ساختاری، امکان گفت‌وگوی فقهی‌حقوقی را فراهم می‌آورد.</w:t>
      </w:r>
    </w:p>
    <w:p>
      <w:pPr>
        <w:pStyle w:val="TH-Body"/>
      </w:pPr>
      <w:r>
        <w:t xml:space="preserve">نکته‌ای که باید در این مرحله ثبت شود زیرا مبنای تحلیل مسئولیت در فصل پنجم است تمایز میان «تعهد حقوقی»، «تکلیف اخلاقی» و «انتظار سیاسی» است. تعهد بین‌المللی، الزام حقوقی است؛ یعنی ضمانت اجرا دارد (مسئولیت بین‌المللی، اقدام متقابل، ارجاع به مراجع حل‌وفصل اختلاف) و مرجع داوری آن حقوق بین‌الملل است. وعده‌های سیاسی سران دولت‌ها و بیانیه‌های حسن نیت، هر اندازه هم از جهت سیاسی حائز اهمیت باشند، تا زمانی که در قالب حقوقیِ التزام‌آور نریخته باشند، تعهد به معنای فنی محسوب نمی‌شوند؛ و عدول از آن‌ها، هرچند ممکن است از جهت اخلاقی یا سیاسی مذموم باشد، مسئولیت حقوقی بین‌المللی پدید نمی‌آورد. این تمایز در تحلیل‌های رایج مطبوعاتی اغلب نادیده گرفته می‌شود و هر تعهدی «پیمان» خوانده می‌شود؛ و از همین‌رو، ثبت دقیق آن در مرحلهٔ مفهوم‌شناسی ضروری است.</w:t>
      </w:r>
    </w:p>
    <w:p>
      <w:pPr>
        <w:pStyle w:val="TH-Goftar"/>
      </w:pPr>
      <w:r>
        <w:t xml:space="preserve">گفتار دوم: مفهوم ولی فقیه و گسترهٔ اختیارات</w:t>
      </w:r>
    </w:p>
    <w:p>
      <w:pPr>
        <w:pStyle w:val="TH-Band"/>
      </w:pPr>
      <w:r>
        <w:t xml:space="preserve">بند اول: تعریف ولی فقیه و تحدید آن</w:t>
      </w:r>
    </w:p>
    <w:p>
      <w:pPr>
        <w:pStyle w:val="TH-Body"/>
      </w:pPr>
      <w:r>
        <w:t xml:space="preserve">«ولی فقیه» در این رساله در معنای خاص نهادی خود به‌کار می‌رود: مقام رهبری در نظام جمهوری اسلامی ایران؛ یعنی فقیه عادل و باتقوا، آگاه به زمان، شجاع، مدیر و مدبری که به موجب اصل ۱۰۷ قانون اساسی عهده‌دار ولایت امر و امامت امت شده است.</w:t>
      </w:r>
      <w:r>
        <w:rPr>
          <w:rStyle w:val="FootnoteReference"/>
        </w:rPr>
        <w:footnoteReference w:id="11"/>
      </w:r>
      <w:r>
        <w:t xml:space="preserve"> این تحدید از آغاز تصریح می‌شود تا سه خلط رایج پیش نیاید:</w:t>
      </w:r>
    </w:p>
    <w:p>
      <w:pPr>
        <w:pStyle w:val="TH-Body"/>
      </w:pPr>
      <w:r>
        <w:t xml:space="preserve">خلط نخست</w:t>
      </w:r>
      <w:r>
        <w:t xml:space="preserve"> با «هر فقیه جامع‌الشرایط». فقیه جامع‌الشرایط در مقام فتوا مرجعیت دارد و مجتهد در استنباط احکام است؛ اما در مقام اجرای احکام و ادارهٔ جامعه، چنین اختیاری را ندارد. اختیار مورد بحث در این رساله، از شئون ولایت بر جامعه است، نه از شئون افتا.</w:t>
      </w:r>
    </w:p>
    <w:p>
      <w:pPr>
        <w:pStyle w:val="TH-Body"/>
      </w:pPr>
      <w:r>
        <w:t xml:space="preserve">خلط دوم</w:t>
      </w:r>
      <w:r>
        <w:t xml:space="preserve"> با «حاکم» به معنای عام. در ادبیات حقوقی معاصر، روسای قوهٔ مجریه و وزرای امور خارجه نیز «حاکم» خوانده می‌شوند؛ اما اختیار عدول از تعهدات بین‌المللی، در نظام حقوقی ایران، از شئون مقام رهبری است و سایر مقامات در این حوزه «مجری» تصمیم‌اند، نه «تصمیم‌گیر نهایی».</w:t>
      </w:r>
    </w:p>
    <w:p>
      <w:pPr>
        <w:pStyle w:val="TH-Body"/>
      </w:pPr>
      <w:r>
        <w:t xml:space="preserve">خلط سوم</w:t>
      </w:r>
      <w:r>
        <w:t xml:space="preserve"> با «امام معصوم (ع)». اختیارات امام معصوم ذاتی و مطلق است و مقید به مصلحت‌سنجی شخصی نمی‌شود؛ اما اختیارات ولی فقیه چنان‌که در فصل چهارم تبیین می‌شود مقید به احراز مصلحت واقعی و نوعی و اهم، و مقید به ضوابط هشت‌گانه است. این تفاوت، از جهت استدلال حائز اهمیت است؛ زیرا سیرهٔ معصوم در عهدنامه‌ها، اگرچه مؤید و کاشف از حکم است، اما ملاک تصمیم معصوم (علم لدنّی) با ملاک تصمیم ولی فقیه (تشخیص مبتنی بر کارشناسی) متفاوت است و در قیاس باید این تفاوت لحاظ شود.</w:t>
      </w:r>
    </w:p>
    <w:p>
      <w:pPr>
        <w:pStyle w:val="TH-Body"/>
      </w:pPr>
      <w:r>
        <w:t xml:space="preserve">مبنای مشروعیت.</w:t>
      </w:r>
      <w:r>
        <w:t xml:space="preserve"> مبنای مشروعیت این مقام در فقه امامیه، نظریهٔ ولایت فقیه است که صورت‌بندی کامل و حکومتی آن را امام خمینی در کتاب ولایت فقیه (حکومت اسلامی) ارائه کرد: در عصر غیبت، فقیه جامع‌الشرایط همان اختیاری را در ادارهٔ جامعه دارد که پیامبر و امام در امر حکومت داشتند؛ نه از باب نیابت شخصی، بلکه از این جهت که جامعهٔ اسلامی نمی‌تواند بی‌حاکم بماند و شایسته‌ترین فرد برای این مقام، فقیه جامع‌الشرایط است.</w:t>
      </w:r>
      <w:r>
        <w:rPr>
          <w:rStyle w:val="FootnoteReference"/>
        </w:rPr>
        <w:footnoteReference w:id="12"/>
      </w:r>
      <w:r>
        <w:t xml:space="preserve"> پیشینهٔ این نظریه در گفتار ششم فصل چهارم (از نراقی تا امام خمینی) به تفصیل می‌آید.</w:t>
      </w:r>
    </w:p>
    <w:p>
      <w:pPr>
        <w:pStyle w:val="TH-Body"/>
      </w:pPr>
      <w:r>
        <w:t xml:space="preserve">فرض پژوهش.</w:t>
      </w:r>
      <w:r>
        <w:t xml:space="preserve"> در این رساله وارد مناقشات کلامی و فقهیِ اثبات اصل ولایت فقیه نمی‌شویم؛ زیرا هم خارج از موضوع است و هم در گنجایش این پژوهش نیست. اصل ولایت فقیه «مفروض» گرفته می‌شود و پرسش از آن‌جا آغاز می‌گردد که: با فرض ثبوت ولایت، آیا ولی فقیه می‌تواند از تعهد بین‌المللی عدول کند، و بر چه مبنایی؟</w:t>
      </w:r>
    </w:p>
    <w:p>
      <w:pPr>
        <w:pStyle w:val="TH-Band"/>
      </w:pPr>
      <w:r>
        <w:t xml:space="preserve">بند دوم: مراتب چهارگانهٔ اختیار: صریح، ضمنی، ولایی، حکومتی</w:t>
      </w:r>
    </w:p>
    <w:p>
      <w:pPr>
        <w:pStyle w:val="TH-Body"/>
      </w:pPr>
      <w:r>
        <w:t xml:space="preserve">مهم‌ترین بحث مفهومی این گفتار، تفکیک چهارگانهٔ مراتب اختیار ولی فقیه است. این تفکیک در این‌جا به‌اجمال بیان می‌شود و تفصیل استدلالی آن در گفتار پنجم فصل پنجم می‌آید؛ اما آشنایی خواننده با آن از همین مرحله ضروری است، زیرا در سراسر رساله به آن ارجاع داده می‌شود.</w:t>
      </w:r>
    </w:p>
    <w:p>
      <w:pPr>
        <w:pStyle w:val="TH-Body"/>
      </w:pPr>
      <w:r>
        <w:t xml:space="preserve">مرتبهٔ اول: اختیار صریح.</w:t>
      </w:r>
      <w:r>
        <w:t xml:space="preserve"> آن‌چه در متن قانون اساسی به‌ویژه در یازده بند اصل ۱۱۰ به صراحت برای رهبری ذکر شده است: چون فرماندهی کل نیروهای مسلح، اعلان جنگ و صلح و بسیج نیروها، نصب و عزل مقامات عالی، حل اختلاف و تنظیم روابط قوای سه‌گانه. این مرتبه محل اتفاق است و نیازمند استنباط نیست.</w:t>
      </w:r>
      <w:r>
        <w:rPr>
          <w:rStyle w:val="FootnoteReference"/>
        </w:rPr>
        <w:footnoteReference w:id="13"/>
      </w:r>
    </w:p>
    <w:p>
      <w:pPr>
        <w:pStyle w:val="TH-Body"/>
      </w:pPr>
      <w:r>
        <w:t xml:space="preserve">مرتبهٔ دوم: اختیار ضمنی.</w:t>
      </w:r>
      <w:r>
        <w:t xml:space="preserve"> آن‌چه به صراحت در متن نیامده، اما از عموم یا اطلاق بندهای قانون اساسی به‌ویژه بندهای ۱ (تعیین سیاست‌های کلی نظام)، ۵ (اعلان جنگ و صلح)، ۷ (حل اختلاف و تنظیم روابط قوا) و ۸ (حل معضلات نظام که از طرق عادی قابل حل نیست) از طریق مجمع تشخیص مصلحت نظام استنباط می‌شود. اختیار مورد بحث در این رساله، دست‌کم در این مرتبه قرار دارد و مستند قانونی مستقیم آن، همین بندهاست.</w:t>
      </w:r>
    </w:p>
    <w:p>
      <w:pPr>
        <w:pStyle w:val="TH-Body"/>
      </w:pPr>
      <w:r>
        <w:t xml:space="preserve">مرتبهٔ سوم: اختیار ولایی.</w:t>
      </w:r>
      <w:r>
        <w:t xml:space="preserve"> آن‌چه از «ولایت مطلقهٔ امر و امامت امت» مذکور در اصل ۵۷ استخراج می‌شود و فراتر از نصوص خاص است؛ یعنی اختیاری که هیچ بندی از قانون اساسی، حتی با تفسیر موسع، آن را پوشش نمی‌دهد، اما ادارهٔ نظام به آن وابسته است. این مرتبه، عرصهٔ اعمال «ولایت» به معنای دقیق کلمه است؛ جایی که حاکم نه به‌عنوان مجری قانون، بلکه به‌عنوان ولیّ امت تصمیم می‌گیرد.</w:t>
      </w:r>
      <w:r>
        <w:rPr>
          <w:rStyle w:val="FootnoteReference"/>
        </w:rPr>
        <w:footnoteReference w:id="14"/>
      </w:r>
    </w:p>
    <w:p>
      <w:pPr>
        <w:pStyle w:val="TH-Body"/>
      </w:pPr>
      <w:r>
        <w:t xml:space="preserve">مرتبهٔ چهارم: اختیار حکومتی.</w:t>
      </w:r>
      <w:r>
        <w:t xml:space="preserve"> آن‌چه از «حکم حکومتی» ولی فقیه در مقام تزاحم حاصل می‌شود؛ یعنی سازوکاری که اختیار ضمنی و ولایی را به تصمیم مشخص و لازم‌الاتباع تبدیل می‌کند. اگر مراتب دوم و سوم «مبنا» هستند، مرتبهٔ چهارم «صورت اعمال» است؛ صورتی که مبنا را به عمل درمی‌آورد. تحلیل فنی این مرتبه در گفتار دوم فصل چهارم می‌آید.</w:t>
      </w:r>
    </w:p>
    <w:p>
      <w:pPr>
        <w:pStyle w:val="TH-Body"/>
      </w:pPr>
      <w:r>
        <w:t xml:space="preserve">کارکرد این تفکیک.</w:t>
      </w:r>
      <w:r>
        <w:t xml:space="preserve"> تفکیک چهارگانه، راه میانه‌ای است میان دو افراطی که هر دو در ادبیات حقوق اساسی ما پیروانی جدی دارند: (۱) «حصرگرایی» که اختیارات رهبری را منحصر در یازده بند اصل ۱۱۰ می‌داند و در نتیجه، نظام را در برابر بحران‌های پیش‌بینی‌نشده بی‌پاسخ می‌گذارد؛ و (۲) «توسعهٔ بی‌ضابطه» که هر اختیاری را برای رهبری قائل است و با اصل حکومت قانون و استقلال قوا سازگار نیست. منطق برگزیده در این رساله چنین است: قانون اساسی «کف» اختیارات است، نه «سقف» آن؛ اما حرکت از کف به سقف، مقید به ضوابط هشت‌گانه‌ای است که در گفتار چهارم فصل چهارم استخراج می‌شود. به تعبیر موجز: </w:t>
      </w:r>
      <w:r>
        <w:t xml:space="preserve">«عدم حصر» به معنای «عدم ضابطه» نیست.</w:t>
      </w:r>
    </w:p>
    <w:p>
      <w:pPr>
        <w:pStyle w:val="TH-Goftar"/>
      </w:pPr>
      <w:r>
        <w:t xml:space="preserve">گفتار سوم: مفهوم عدول و مفاهیم خویشاوند</w:t>
      </w:r>
    </w:p>
    <w:p>
      <w:pPr>
        <w:pStyle w:val="TH-Band"/>
      </w:pPr>
      <w:r>
        <w:t xml:space="preserve">بند اول: تعریف عدول</w:t>
      </w:r>
    </w:p>
    <w:p>
      <w:pPr>
        <w:pStyle w:val="TH-Body"/>
      </w:pPr>
      <w:r>
        <w:t xml:space="preserve">«عدول» در لغت به معنای بازگشتن و روی‌گرداندن است.</w:t>
      </w:r>
      <w:r>
        <w:rPr>
          <w:rStyle w:val="FootnoteReference"/>
        </w:rPr>
        <w:footnoteReference w:id="15"/>
      </w:r>
      <w:r>
        <w:t xml:space="preserve"> در این رساله، عدول در معنای فنی و مضیق خود به‌کار می‌رود و چنین تعریف می‌شود:</w:t>
      </w:r>
    </w:p>
    <w:p>
      <w:pPr>
        <w:pStyle w:val="TH-Quote"/>
      </w:pPr>
      <w:r>
        <w:t xml:space="preserve">عدول</w:t>
      </w:r>
      <w:r>
        <w:t xml:space="preserve"> عبارت است از: تصمیم یک‌جانبه و فوق‌العادهٔ ولی فقیه بر توقف یا تعلیق اجرای تعهد بین‌المللی، بر مبنای مصلحت اهم و در مقام تزاحم.</w:t>
      </w:r>
    </w:p>
    <w:p>
      <w:pPr>
        <w:pStyle w:val="TH-Body"/>
      </w:pPr>
      <w:r>
        <w:t xml:space="preserve">هر یک از سه قید این تعریف، دامنهٔ بحث را محدود می‌کند و بار استدلالی مستقل دارد:</w:t>
      </w:r>
    </w:p>
    <w:p>
      <w:pPr>
        <w:pStyle w:val="TH-Body"/>
      </w:pPr>
      <w:r>
        <w:t xml:space="preserve">قید «یک‌جانبه».</w:t>
      </w:r>
      <w:r>
        <w:t xml:space="preserve"> عدولِ مورد بحث، تصمیم یک‌طرفه است؛ نه توافق بر خاتمه، نه اعمال حق خروجِ مندرج در متن معاهده، و نه انقضای مدت. آن سه، همگی «راه‌های حقوقی عادی» هستند و از موضوع این رساله خارج‌اند؛ هرچند چنان‌که در ضابطهٔ دوم فصل چهارم تبیین می‌شود، بر عدول یک‌جانبه تقدم دارند و تا زمانی که باز باشند، نوبت به عدول نمی‌رسد.</w:t>
      </w:r>
    </w:p>
    <w:p>
      <w:pPr>
        <w:pStyle w:val="TH-Body"/>
      </w:pPr>
      <w:r>
        <w:t xml:space="preserve">قید «فوق‌العاده».</w:t>
      </w:r>
      <w:r>
        <w:t xml:space="preserve"> عدولِ مورد بحث، تصمیم روزمره و عادی نیست؛ تصمیمی است که در شرایط غیرعادی و بر مبنای مصلحت فوق‌العاده اتخاذ می‌شود. این قید، عدول را از «سوءمدیریت» و «عهدشکنی بی‌مبنا» جدا می‌کند؛ زیرا آن دو نیز یک‌جانبه‌اند، اما فوق‌العاده نیستند و خلاف قاعده‌اند.</w:t>
      </w:r>
    </w:p>
    <w:p>
      <w:pPr>
        <w:pStyle w:val="TH-Body"/>
      </w:pPr>
      <w:r>
        <w:t xml:space="preserve">قید «در مقام تزاحم».</w:t>
      </w:r>
      <w:r>
        <w:t xml:space="preserve"> عدولِ مورد بحث مبتنی بر تزاحم واقعی میان ادامهٔ اجرا و مصلحت اهم است؛ نه سلیقهٔ شخصی حاکم، نه فشار جناحی و نه محاسبات مقطعی. این قید، محور اصلی استدلال این رساله است و فصل چهارم سراسر به شرح و بسط آن اختصاص دارد.</w:t>
      </w:r>
    </w:p>
    <w:p>
      <w:pPr>
        <w:pStyle w:val="TH-Band"/>
      </w:pPr>
      <w:r>
        <w:t xml:space="preserve">بند دوم: تمایز عدول از مفاهیم خویشاوند</w:t>
      </w:r>
    </w:p>
    <w:p>
      <w:pPr>
        <w:pStyle w:val="TH-Body"/>
      </w:pPr>
      <w:r>
        <w:t xml:space="preserve">عدول باید از پنج مفهوم خویشاوند تفکیک شود؛ مفاهیمی که شباهت ظاهری آن‌ها منشأ خلط‌های فراوان در ادبیات سیاسی و حقوقی رایج است.</w:t>
      </w:r>
    </w:p>
    <w:p>
      <w:pPr>
        <w:pStyle w:val="TH-Body"/>
      </w:pPr>
      <w:r>
        <w:t xml:space="preserve">یکم، نقض (breach).</w:t>
      </w:r>
      <w:r>
        <w:t xml:space="preserve"> نقض عبارت است از عدم اجرای تعهد بدون مجوز حقوقی؛ عملی که ذاتاً متخلفانه و مسئولیت‌آور است.</w:t>
      </w:r>
      <w:r>
        <w:rPr>
          <w:rStyle w:val="FootnoteReference"/>
        </w:rPr>
        <w:footnoteReference w:id="16"/>
      </w:r>
      <w:r>
        <w:t xml:space="preserve"> عدولِ واجد ضوابط، نقض نامشروع نیست، بلکه «عدم اجرای مستند به مجوز داخلی» است؛ هرچند در سطح بین‌المللی چنان‌که در فصل پنجم تبیین می‌شود ممکن است همچنان مسئولیت بین‌المللی پدید آورد. معیار تمایز، «مجوز» است: نقض فاقد مجوز است و عدول دارای مجوز (شرعی و حکومتی). اما باید توجه داشت که این مجوز، مجوزی در نظام حقوقی داخلی است و به خودیِ خود در سطح بین‌المللی اثر ندارد؛ و همین، جوهر تفکیک سه‌گانهٔ سطوح تحلیل است.</w:t>
      </w:r>
    </w:p>
    <w:p>
      <w:pPr>
        <w:pStyle w:val="TH-Body"/>
      </w:pPr>
      <w:r>
        <w:t xml:space="preserve">دوم، تعلیق (suspension).</w:t>
      </w:r>
      <w:r>
        <w:t xml:space="preserve"> تعلیق عبارت است از توقف «موقت» اجرای معاهده با بقای رابطهٔ معاهده‌ای.</w:t>
      </w:r>
      <w:r>
        <w:rPr>
          <w:rStyle w:val="FootnoteReference"/>
        </w:rPr>
        <w:footnoteReference w:id="17"/>
      </w:r>
      <w:r>
        <w:t xml:space="preserve"> عدول بر اساس تعریف فوق اعم از تعلیق است و شامل توقف دائم نیز می‌شود. با این حال، چنان‌که در ضابطهٔ پنجم فصل چهارم می‌آید، عدول مطلوب باید موقت باشد و راه بازگشت را باز بگذارد؛ اما این «باید» از سنخ ضوابط است، نه از اجزای تعریف. به عبارت دیگر، عدولِ دائم هم عدول است، اما عدولی خلاف ضابطه.</w:t>
      </w:r>
    </w:p>
    <w:p>
      <w:pPr>
        <w:pStyle w:val="TH-Body"/>
      </w:pPr>
      <w:r>
        <w:t xml:space="preserve">سوم، خاتمه (termination).</w:t>
      </w:r>
      <w:r>
        <w:t xml:space="preserve"> خاتمه عبارت است از پایان رابطهٔ معاهده‌ای و نهادی حقوقی با سازوکار مشخص در کنوانسیون وین است (مواد ۵۴ تا ۶۴). عدول ممکن است به خاتمه بینجامد یا نینجامد؛ اما خودش نهادی جداست: تصمیم حکومتی فوق‌العاده‌ای که گاه در قالب خاتمه ظاهر می‌شود و گاه در قالب تعلیق و گاه در قالب‌های دیگر.</w:t>
      </w:r>
    </w:p>
    <w:p>
      <w:pPr>
        <w:pStyle w:val="TH-Body"/>
      </w:pPr>
      <w:r>
        <w:t xml:space="preserve">چهارم، فسخ (rescission).</w:t>
      </w:r>
      <w:r>
        <w:t xml:space="preserve"> فسخ اصطلاح فقهی ابواب عقود خصوصی و مرتبط با خیارات است و نباید با نهادهای حقوق معاهدات خلط شود. در معاهدات بین‌المللی، «فسخ» به معنای فقهی کاربرد ندارد. آن‌چه فقهای امامیه در باب هدنه گفته‌اند (جواز فسخ هدنه عند المصلحة) باید با احتیاط به معاهدات امروزی تسری یابد؛ و این تسری، جز با دلیل مستقل (تزاحم و حکم حکومتی)، صورت نگرفته است. تفصیل در گفتار پنجم این فصل و فصل چهارم.</w:t>
      </w:r>
    </w:p>
    <w:p>
      <w:pPr>
        <w:pStyle w:val="TH-Body"/>
      </w:pPr>
      <w:r>
        <w:t xml:space="preserve">پنجم، انباذ (renunciation).</w:t>
      </w:r>
      <w:r>
        <w:t xml:space="preserve"> انباذ عبارت است از اعلام آشکار برهم‌زدن عهد به طرف مقابل، مأخوذ از آیهٔ شریفهٔ «فَانْبِذْ إِلَیْهِمْ عَلَىٰ سَوَاءٍ».</w:t>
      </w:r>
      <w:r>
        <w:rPr>
          <w:rStyle w:val="FootnoteReference"/>
        </w:rPr>
        <w:footnoteReference w:id="18"/>
      </w:r>
      <w:r>
        <w:t xml:space="preserve"> انباذ، خودِ عدول نیست، بلکه «صورت اعلام» آن است؛ یعنی ضابطه‌ای از ضوابط عدول (ضابطهٔ ششم)، نه جزء تعریف آن. عدولِ بی‌انباذ، عدول ناقص است زیرا واجد یکی از ضوابط نیست اما همچنان در ماهیت، عدول محسوب می‌شود.</w:t>
      </w:r>
    </w:p>
    <w:p>
      <w:pPr>
        <w:pStyle w:val="TH-Band"/>
      </w:pPr>
      <w:r>
        <w:t xml:space="preserve">بند سوم: مراتب پنج‌گانهٔ عدول</w:t>
      </w:r>
    </w:p>
    <w:p>
      <w:pPr>
        <w:pStyle w:val="TH-Body"/>
      </w:pPr>
      <w:r>
        <w:t xml:space="preserve">عدول پدیده‌ای صفر و یکی نیست؛ بلکه دارای مراتبی است که هر مرتبه از جهت «مبنا»، «مشروعیت» و «هزینهٔ حقوقی» با مرتبهٔ دیگر تفاوت دارد. تفکیک این مراتب، هم از جهت نظری ضروری است (زیرا داوری دربارهٔ عدول باید درجه‌بندی‌شده باشد، نه مطلق) و هم از جهت عملی (زیرا به تصمیم‌گیر جهت می‌دهد که تصمیم خود را تا جای ممکن به مراتب بالاتر منتقل کند). مراتب پنج‌گانه چنین است:</w:t>
      </w:r>
    </w:p>
    <w:p>
      <w:pPr>
        <w:pStyle w:val="TH-Body"/>
      </w:pPr>
      <w:r>
        <w:t xml:space="preserve">مرتبهٔ اول: اعمال حق مندرج در متن معاهده.</w:t>
      </w:r>
      <w:r>
        <w:t xml:space="preserve"> چون اعمال شرط خروج، شرط بازنگری یا شرط تعلیق که در خود سند پیش‌بینی شده است. این مرتبه، در حقیقت «عدول» به معنای فنی نیست، بلکه «اعمال حق قراردادی» است؛ زیرا مطابق مواد ۵۴ و ۵۶ کنوانسیون وین، خاتمه یا خروج بر اساس مقررات خود معاهده، کاملاً موجه است.</w:t>
      </w:r>
      <w:r>
        <w:rPr>
          <w:rStyle w:val="FootnoteReference"/>
        </w:rPr>
        <w:footnoteReference w:id="19"/>
      </w:r>
      <w:r>
        <w:t xml:space="preserve"> کم‌هزینه‌ترین و بی‌مناقشه‌ترین صورت ممکن است و هیچ مسئولیت بین‌المللی پدید نمی‌آورد.</w:t>
      </w:r>
    </w:p>
    <w:p>
      <w:pPr>
        <w:pStyle w:val="TH-Body"/>
      </w:pPr>
      <w:r>
        <w:t xml:space="preserve">مرتبهٔ دوم: عدول توافقی.</w:t>
      </w:r>
      <w:r>
        <w:t xml:space="preserve"> چون مذاکرهٔ مجدد، تعدیل معاهده (مواد ۳۹ تا ۴۱ کنوانسیون وین) و تعلیق با رضایت اطراف. این مرتبه نیز خارج از موضوع اصلی این رساله است، اما به‌عنوان «راه مقدم» همواره باید نخست آزموده شود؛ و همین، مبنای ضابطهٔ دوم فصل چهارم است.</w:t>
      </w:r>
    </w:p>
    <w:p>
      <w:pPr>
        <w:pStyle w:val="TH-Body"/>
      </w:pPr>
      <w:r>
        <w:t xml:space="preserve">مرتبهٔ سوم: عدول مستند به نهادهای عام حقوق بین‌الملل.</w:t>
      </w:r>
      <w:r>
        <w:t xml:space="preserve"> چون استناد به تغییر بنیادین اوضاع (مادهٔ ۶۲ کنوانسیون وین)، عدم امکان اجرای بعدی (مادهٔ ۶۱) یا ضرورت (مادهٔ ۲۵ طرح مواد مسئولیت). این مرتبه، هم مجوز حقوقی بین‌المللی دارد و هم در فرض احراز شرایط مجوز شرعی. مطلوب‌ترین صورتِ عدول یک‌جانبه است؛ زیرا در آن، مجوز فقهی و مجوز بین‌المللی هم‌جهت می‌شوند و مسئولیت بین‌المللی مرتفع می‌گردد.</w:t>
      </w:r>
    </w:p>
    <w:p>
      <w:pPr>
        <w:pStyle w:val="TH-Body"/>
      </w:pPr>
      <w:r>
        <w:t xml:space="preserve">مرتبهٔ چهارم: عدول واکنشی.</w:t>
      </w:r>
      <w:r>
        <w:t xml:space="preserve"> چون اقدام متقابل در برابر نقض اساسی طرف مقابل (مادهٔ ۶۰ کنوانسیون وین و مواد ۴۹ تا ۵۴ طرح مواد مسئولیت). این مرتبه مجوز حقوقی دارد، اما مشروط و محدود است: باید متناسب باشد، اعلام و مذاکره پیش از آن صورت گرفته باشد، موقت باشد و به تعهدات ناشی از قواعد آمره و تعهدات حقوق بشری و بشردوستانه لطمه نزند.</w:t>
      </w:r>
      <w:r>
        <w:rPr>
          <w:rStyle w:val="FootnoteReference"/>
        </w:rPr>
        <w:footnoteReference w:id="20"/>
      </w:r>
      <w:r>
        <w:t xml:space="preserve"> تعدی از این حدود، خود به نقض جدید می‌انجامد.</w:t>
      </w:r>
    </w:p>
    <w:p>
      <w:pPr>
        <w:pStyle w:val="TH-Body"/>
      </w:pPr>
      <w:r>
        <w:t xml:space="preserve">مرتبهٔ پنجم: عدول فاقد مبنا.</w:t>
      </w:r>
      <w:r>
        <w:t xml:space="preserve"> تصمیم یک‌جانبه بدون مستند حقوقی، بدون طی تشریفات و بدون اعلام. این مرتبه همان «نقض» و «عهدشکنی» است که آیات و روایات آن را نکوهش کرده‌اند و هیچ‌یک از مبانی چهارگانهٔ فصل چهارم شامل آن نمی‌شود. از جهت بین‌المللی نیز موجب مسئولیت کامل دولت است (توقف، جبران و آثار دورهٔ تعلیق).</w:t>
      </w:r>
    </w:p>
    <w:p>
      <w:pPr>
        <w:pStyle w:val="TH-Body"/>
      </w:pPr>
      <w:r>
        <w:t xml:space="preserve">نتیجهٔ عملی این مراتب‌بندی.</w:t>
      </w:r>
      <w:r>
        <w:t xml:space="preserve"> داوری دربارهٔ عدول باید «درجه‌بندی‌شده» باشد: تصمیمی که در مرتبهٔ سوم یا چهارم قرار گیرد، هم شرعاً و هم حقوقاً قابل دفاع است؛ تصمیمی که در مرتبهٔ پنجم قرار گیرد، در هیچ سطحی قابل دفاع نیست. وظیفهٔ تصمیم‌گیر آن است که با «مهندسی حقوقی» از مرحلهٔ انعقاد تا مرحلهٔ پسااجرا تصمیم خود را تا جای ممکن به مراتب بالاتر منتقل کند. راهبردهای پنج‌گانهٔ مدیریت حقوقی که در گفتار چهارم فصل پنجم ارائه می‌شود، دقیقاً ابزار همین انتقال است.</w:t>
      </w:r>
    </w:p>
    <w:p>
      <w:pPr>
        <w:pStyle w:val="TH-Band"/>
      </w:pPr>
      <w:r>
        <w:t xml:space="preserve">بند چهارم: تحریر محلّ النزاع</w:t>
      </w:r>
    </w:p>
    <w:p>
      <w:pPr>
        <w:pStyle w:val="TH-Body"/>
      </w:pPr>
      <w:r>
        <w:t xml:space="preserve">پیش از ورود در ادله، تعیین دقیق محلّ نزاع ضروری است؛ زیرا بدون آن، استدلال‌ها به مواردی تسری می‌یابد که مورد اختلاف نیست و بحث بی‌ثمر می‌شود. محلّ نزاع در این رساله با چهار قید محدود می‌شود و از چهار مورد خارج است.</w:t>
      </w:r>
    </w:p>
    <w:p>
      <w:pPr>
        <w:pStyle w:val="TH-Body"/>
      </w:pPr>
      <w:r>
        <w:t xml:space="preserve">موارد خارج از محلّ نزاع:</w:t>
      </w:r>
      <w:r>
        <w:t xml:space="preserve"> (۱) معاهدات باطل: معاهده‌ای که با قاعدهٔ آمرهٔ حقوق بین‌الملل عام تعارض داشته باشد (مادهٔ ۵۳) یا با تهدید یا استعمال زور بر دولت تحمیل شده باشد (مادهٔ ۵۲)، از آغاز باطل است و سخن از «عدول» از آن بیمعناست؛ زیرا تعهدی وجود ندارد که از آن عدول شود. بحث در این فروض، بحث از «اعلام بی‌اعتباری» است، نه عدول. (۲) معاهدات مرزی و مرتبط با تمامیت ارضی: به حکم بند ۲ (الف) مادهٔ ۶۲ و با توجه به قاعدهٔ ثبات مرزها، خارج از محل بحث‌اند. (۳) تعهدات اخلاقی و سیاسی غیرالزام‌آور: چون بیانیه‌های حسن نیت که تعهد حقوقی به معنای فنی نیستند. (۴) عقود و قراردادهای خصوصی یا تجاری دولت: که تابع نظام حقوقی دیگری‌اند و قواعد حل اختلاف آن‌ها (داوری تجاری بین‌المللی) متفاوت است.</w:t>
      </w:r>
    </w:p>
    <w:p>
      <w:pPr>
        <w:pStyle w:val="TH-Body"/>
      </w:pPr>
      <w:r>
        <w:t xml:space="preserve">قیود چهارگانهٔ محلّ نزاع:</w:t>
      </w:r>
      <w:r>
        <w:t xml:space="preserve"> (۱) موضوع، «معاهدهٔ معتبر و لازم‌الاجرا» از گونهٔ سوم (میان‌مدت و بلندمدت) است. (۲) فرض، «تغییر شرایط یا ضرر جدی به دولت اسلامی» است، نه شرایط عادی. (۳) تصمیم‌گیر، «ولی فقیه» است، نه سایر مقامات. (۴) و پرسش اصلی، دو سطحی است: سطح نخست، «حکم تکلیفی شرعی» (آیا حاکم مجاز به عدول است؟) و سطح دوم، «آثار حقوقی» (این تصمیم در نظام حقوقی داخلی و بین‌المللی چه جایگاهی دارد؟). تفکیک این دو سطح از آغاز ضروری است؛ زیرا خلط آن‌ها منشأ اصلی خطاهای تحلیلی در ادبیات رایج است.</w:t>
      </w:r>
    </w:p>
    <w:p>
      <w:pPr>
        <w:pStyle w:val="TH-Body"/>
      </w:pPr>
      <w:r>
        <w:t xml:space="preserve">نکته‌ای در مقام ثبوت و اثبات.</w:t>
      </w:r>
      <w:r>
        <w:t xml:space="preserve"> پرسش از عدول، در «مقام ثبوت» دو چهره دارد: آیا عدول به‌حکم اولی جایز است یا به‌حکم ثانوی؟ پاسخ این رساله آن است که عدول حکومتی، نه از سنخ احکام ثانویه (چون اضطرار و اکراه) است و نه تخصیص‌دهندهٔ احکام اولی؛ بلکه از سنخ «احکام اولیهٔ حکومتی» است. امام خمینی در نامهٔ مورخ ۱۶ دی ۱۳۶۶ به آیت‌الله خامنه‌ای صریحاً همین موضع را اتخاذ کرده و حکومت را «یکی از احکام اولیهٔ اسلام» و «مقدم بر تمام احکام فرعیه، حتی نماز و روزه و حج» شمرده است.</w:t>
      </w:r>
      <w:r>
        <w:rPr>
          <w:rStyle w:val="FootnoteReference"/>
        </w:rPr>
        <w:footnoteReference w:id="21"/>
      </w:r>
      <w:r>
        <w:t xml:space="preserve"> این تعیین مقام، در فصل چهارم مبنای تحلیل قرار می‌گیرد و از آن نتیجه گرفته می‌شود که التزام به معاهده که از احکام فرعیه است به طریق اولی در برابر حکم حکومتی کنار می‌رود.</w:t>
      </w:r>
    </w:p>
    <w:p>
      <w:pPr>
        <w:pStyle w:val="TH-Goftar"/>
      </w:pPr>
      <w:r>
        <w:t xml:space="preserve">گفتار چهارم: مفهوم مصلحت و چارچوب نظری پژوهش</w:t>
      </w:r>
    </w:p>
    <w:p>
      <w:pPr>
        <w:pStyle w:val="TH-Band"/>
      </w:pPr>
      <w:r>
        <w:t xml:space="preserve">بند اول: مصلحت در لغت و اصطلاح</w:t>
      </w:r>
    </w:p>
    <w:p>
      <w:pPr>
        <w:pStyle w:val="TH-Body"/>
      </w:pPr>
      <w:r>
        <w:t xml:space="preserve">«مصلحت» از ریشهٔ «صلاح» است و صلاح به معنای درستی و به‌سامانی، در برابر فساد. در اصطلاح فقهی، مصلحت به منفعت واقعی و نوعی گفته می‌شود که شارع در جعل احکام لحاظ کرده است؛ و در ادبیات حکم حکومتی، به منفعت نظام و امت اطلاق می‌شود که مبنای تصمیم حاکم قرار می‌گیرد.</w:t>
      </w:r>
      <w:r>
        <w:rPr>
          <w:rStyle w:val="FootnoteReference"/>
        </w:rPr>
        <w:footnoteReference w:id="22"/>
      </w:r>
      <w:r>
        <w:t xml:space="preserve"> تعریف عملیاتی مصلحت در این رساله، دارای سه قید است که هر سه از جهت استدلال حیاتی‌اند:</w:t>
      </w:r>
    </w:p>
    <w:p>
      <w:pPr>
        <w:pStyle w:val="TH-Body"/>
      </w:pPr>
      <w:r>
        <w:t xml:space="preserve">قید «واقعی».</w:t>
      </w:r>
      <w:r>
        <w:t xml:space="preserve"> مصلحت مجوّز، مصلحت واقعی است، نه پنداری؛ یعنی باید با کارشناسی مستند احراز شود، نه با حدس و گمان. حاکمی که بر مبنای توهم مصلحت تصمیم بگیرد، تصمیمش فاقد مجوز است هرچند خود گمان کند مجوز دارد. کارکرد این قید، مهار خودسری است و مبنای ضابطهٔ سوم فصل چهارم (لزوم پشتوانهٔ کارشناسی) قرار می‌گیرد.</w:t>
      </w:r>
    </w:p>
    <w:p>
      <w:pPr>
        <w:pStyle w:val="TH-Body"/>
      </w:pPr>
      <w:r>
        <w:t xml:space="preserve">قید «نوعی».</w:t>
      </w:r>
      <w:r>
        <w:t xml:space="preserve"> مصلحت مجوّز، مصلحت نوع مردم و نظام است، نه مصلحت شخصی حاکم یا گروه وابسته به او. تصمیمی که به نفع جناح حاکم و به زیان کشور باشد، مصلحت نیست، بلکه سوءاستفاده از عنوان مصلحت است؛ و هیچ‌یک از مبانی چهارگانهٔ این رساله شامل آن نمی‌شود. کارکرد این قید، مهار استبداد است.</w:t>
      </w:r>
    </w:p>
    <w:p>
      <w:pPr>
        <w:pStyle w:val="TH-Body"/>
      </w:pPr>
      <w:r>
        <w:t xml:space="preserve">قید «اهم».</w:t>
      </w:r>
      <w:r>
        <w:t xml:space="preserve"> مصلحت مجوّز، مصلحت «اهم» است؛ یعنی در ترازوی تزاحم، از وجوب وفای به عهد سنگین‌تر باشد. مصلحت مساوی یا ادنی، مجوز عدول نیست؛ زیرا در فرض تساوی، حکم تخییر است و در فرض ادنی بودن، وجوب وفا مقدم می‌ماند. تفصیل مراتب تزاحم (اهم و مهم، تساوی، و محتمل الاهمیه) در بند پنجم گفتار ششم فصل چهارم می‌آید. کارکرد این قید، جلوگیری از عهدشکنی آسان است.</w:t>
      </w:r>
    </w:p>
    <w:p>
      <w:pPr>
        <w:pStyle w:val="TH-Body"/>
      </w:pPr>
      <w:r>
        <w:t xml:space="preserve">این سه قید مجموعاً «تعریف عملیاتی مصلحت» در این رساله‌اند. هرگاه در فصول بعد از مصلحت سخن رفته، همین سه قید اراده شده است.</w:t>
      </w:r>
    </w:p>
    <w:p>
      <w:pPr>
        <w:pStyle w:val="TH-Band"/>
      </w:pPr>
      <w:r>
        <w:t xml:space="preserve">بند دوم: نسبت مصلحت با «ضرورت» در حقوق بین‌الملل</w:t>
      </w:r>
    </w:p>
    <w:p>
      <w:pPr>
        <w:pStyle w:val="TH-Body"/>
      </w:pPr>
      <w:r>
        <w:t xml:space="preserve">در حقوق بین‌الملل، نزدیک‌ترین نهاد به مصلحت فقهی، «ضرورت» (necessity) در مادهٔ ۲۵ طرح مواد مسئولیت بین‌المللی دولت‌ها است. به موجب این ماده، ضرورت تنها در شرایطی قابل استناد است که: (۱) رفتار مورد نظر، تنها راه ممکن برای صیانت از منفعتی اساسی دولت در برابر خطری شدید و قریب‌الوقوع باشد؛ (۲) آن رفتار به منفعت اساسی دولت یا دولت‌هایی که تعهد نسبت به آن‌ها وجود دارد، یا به جامعهٔ بین‌المللی به‌طور اعم، لطمهٔ شدید نزند؛ (۳) تعهد بین‌المللی مورد نظر، امکان استناد به ضرورت را منتفی نکرده باشد؛ و (۴) دولت در پدید آمدن وضعیت اضطراری سهمی نداشته باشد.</w:t>
      </w:r>
      <w:r>
        <w:rPr>
          <w:rStyle w:val="FootnoteReference"/>
        </w:rPr>
        <w:footnoteReference w:id="23"/>
      </w:r>
      <w:r>
        <w:t xml:space="preserve"> دیوان بین‌المللی دادگستری در قضیهٔ گابچیکوو‌ناگیماروش (۱۹۹۷) این شرایط را بسیار مضیق تفسیر کرد و تصریح نمود که استناد موفق به ضرورت، امری استثنایی و نادر است.</w:t>
      </w:r>
      <w:r>
        <w:rPr>
          <w:rStyle w:val="FootnoteReference"/>
        </w:rPr>
        <w:footnoteReference w:id="24"/>
      </w:r>
    </w:p>
    <w:p>
      <w:pPr>
        <w:pStyle w:val="TH-Body"/>
      </w:pPr>
      <w:r>
        <w:t xml:space="preserve">تحلیل نسبت.</w:t>
      </w:r>
      <w:r>
        <w:t xml:space="preserve"> نسبت میان «مصلحت» فقهی و «ضرورت» مادهٔ ۲۵، عموم و خصوص من‌وجه است؛ نه عموم مطلق و نه تباین. وجه اشتراک: هر دو از «تغییر شرایط» و «لزوم صیانت از منفعتی مهم» سخن می‌گویند. وجه افتراق ضرورت: آستانهٔ آن (خطر شدید و قریب‌الوقوع + تنها راه بودن + عدم سهم دولت در پیدایی وضعیت) به‌مراتب بالاتر از آستانهٔ مصلحت فقهی (اهم بودن واقعی) است. وجه افتراق مصلحت: مصلحت فقهی، برخلاف ضرورت، لزوماً به «خطر قریب‌الوقوع» مقید نیست و می‌تواند ناظر به زیان تدریجی و بلندمدت باشد.</w:t>
      </w:r>
    </w:p>
    <w:p>
      <w:pPr>
        <w:pStyle w:val="TH-Body"/>
      </w:pPr>
      <w:r>
        <w:t xml:space="preserve">نتیجهٔ عملی.</w:t>
      </w:r>
      <w:r>
        <w:t xml:space="preserve"> از این نسبت‌سنجی، گزارهٔ زیر حاصل می‌شود که از مهم‌ترین یافته‌های این پژوهش است: </w:t>
      </w:r>
      <w:r>
        <w:t xml:space="preserve">مصلحتی که از نظر فقهی مجوز عدول است، لزوماً در سطح بین‌المللی رافع مسئولیت نیست.</w:t>
      </w:r>
      <w:r>
        <w:t xml:space="preserve"> یعنی ممکن است عدولی شرعاً کاملاً جایز باشد، اما بین‌المللاً مسئولیت پدید آورد؛ زیرا آستانهٔ مادهٔ ۲۵ احراز نشده است. این گزاره، دقیق‌ترین جلوهٔ تفکیک سه‌گانهٔ سطوح تحلیل است و در فصل پنجم به تفصیل استدلال می‌شود.</w:t>
      </w:r>
    </w:p>
    <w:p>
      <w:pPr>
        <w:pStyle w:val="TH-Band"/>
      </w:pPr>
      <w:r>
        <w:t xml:space="preserve">بند سوم: چارچوب نظری پژوهش: سه پایه</w:t>
      </w:r>
    </w:p>
    <w:p>
      <w:pPr>
        <w:pStyle w:val="TH-Body"/>
      </w:pPr>
      <w:r>
        <w:t xml:space="preserve">چارچوب نظری این پژوهش بر سه پایه استوار است که هر سه در فصول بعد بسط می‌یابند:</w:t>
      </w:r>
    </w:p>
    <w:p>
      <w:pPr>
        <w:pStyle w:val="TH-Body"/>
      </w:pPr>
      <w:r>
        <w:t xml:space="preserve">پایهٔ نخست: قاعدهٔ تزاحم.</w:t>
      </w:r>
      <w:r>
        <w:t xml:space="preserve"> نسبت میان وجوب وفای به عهد و وجوب حفظ نظام و مصلحت اهم، نسبت تزاحمی است، نه تعارضی. یعنی هر دو حکم در مقام جعل باقی و معتبر می‌مانند، اما در مقام امتثال جمع‌شدنی نیستند؛ و راه‌حل اصولی، تقدیم اهم است، بی‌آن‌که حکم مهم از میان برود. این پایه، مبنای فقهی جواز عدول است و در گفتار اول فصل چهارم به تفصیل استدلال می‌شود.</w:t>
      </w:r>
    </w:p>
    <w:p>
      <w:pPr>
        <w:pStyle w:val="TH-Body"/>
      </w:pPr>
      <w:r>
        <w:t xml:space="preserve">پایهٔ دوم: نظریهٔ حکم حکومتی.</w:t>
      </w:r>
      <w:r>
        <w:t xml:space="preserve"> ولی فقیه در مقام ادارهٔ نظام می‌تواند بر مبنای مصلحت اهم، حکمی صادر کند که احکام فرعیه را در مقام اجرا کنار بزند؛ و التزام به معاهده، به طریق اولی در زمرهٔ احکام فرعیه است. این پایه، مبنای نهادی جواز عدول است؛ یعنی مشخص می‌کند «چه کسی» و «با چه سازوکاری» می‌تواند عدول کند. تحلیل آن در گفتار دوم فصل چهارم می‌آید.</w:t>
      </w:r>
    </w:p>
    <w:p>
      <w:pPr>
        <w:pStyle w:val="TH-Body"/>
      </w:pPr>
      <w:r>
        <w:t xml:space="preserve">پایهٔ سوم: تفکیک سطوح تحلیل.</w:t>
      </w:r>
      <w:r>
        <w:t xml:space="preserve"> جواز فقهی، مشروعیت داخلی و مسئولیت بین‌المللی، سه سطح مستقل‌اند که هر یک مرجع و معیار داوری خاص خود را دارد. این پایه، مبنای روشی رساله است؛ یعنی مشخص می‌کند «چگونه» باید مسئله را تحلیل کرد تا دچار خلط نشد. تبیین آن در گفتار سوم فصل پنجم می‌آید.</w:t>
      </w:r>
    </w:p>
    <w:p>
      <w:pPr>
        <w:pStyle w:val="TH-Body"/>
      </w:pPr>
      <w:r>
        <w:t xml:space="preserve">خلاصهٔ چارچوب.</w:t>
      </w:r>
      <w:r>
        <w:t xml:space="preserve"> در یک گزاره: حاکم اسلامی می‌تواند از تعهد زیان‌بار عدول کند (پایهٔ نخست و دوم)، اما باید بداند این عدول چه آثاری دارد و چگونه باید مدیریت شود (پایهٔ سوم). سه پایه، مجموعاً چارچوبی می‌سازند که هم استدلال فقهی را پوشش می‌دهد، هم تحلیل حقوقی را، و هم کاربرد عملی را.</w:t>
      </w:r>
    </w:p>
    <w:p>
      <w:pPr>
        <w:pStyle w:val="TH-Goftar"/>
      </w:pPr>
      <w:r>
        <w:t xml:space="preserve">گفتار پنجم: پیشینهٔ مفهومی عهد در فقه امامیه: هدنه، امان، ذمه و صلح</w:t>
      </w:r>
    </w:p>
    <w:p>
      <w:pPr>
        <w:pStyle w:val="TH-Band"/>
      </w:pPr>
      <w:r>
        <w:t xml:space="preserve">بند اول: ضرورت بررسی پیشینهٔ فقهی</w:t>
      </w:r>
    </w:p>
    <w:p>
      <w:pPr>
        <w:pStyle w:val="TH-Body"/>
      </w:pPr>
      <w:r>
        <w:t xml:space="preserve">در فصل سوم، استدلال فقهی بر پایهٔ واژگانی استوار می‌شود که فقهای امامیه احکام عهدنامه‌ها را در قالب آن‌ها بحث کرده‌اند: هدنه، امان، ذمه و صلح. اگر معنای دقیق و قلمرو این مفاهیم تبیین نشود، استدلال‌های فصل سوم و چهارم فاقد پشتوانه می‌ماند. این گفتار به کالبدشکافی این چهار مفهوم اختصاص دارد؛ با این تصریح مقدم که هیچ‌یک دقیقاً معادل «معاهدهٔ بین‌المللی امروزی» نیست و تسری احکام آن‌ها نیازمند دلیل مستقل است.</w:t>
      </w:r>
    </w:p>
    <w:p>
      <w:pPr>
        <w:pStyle w:val="TH-Band"/>
      </w:pPr>
      <w:r>
        <w:t xml:space="preserve">بند دوم: هدنه؛ آتش‌بس موقت</w:t>
      </w:r>
    </w:p>
    <w:p>
      <w:pPr>
        <w:pStyle w:val="TH-Body"/>
      </w:pPr>
      <w:r>
        <w:t xml:space="preserve">تعریف.</w:t>
      </w:r>
      <w:r>
        <w:t xml:space="preserve"> «هدنه» از مادهٔ «هدن» به معنای سکون و آرامش است و در اصطلاح فقهی، به آتش‌بس موقت با دشمن گفته می‌شود؛ پیمانی که به موجب آن، جنگ برای مدتی معین متوقف می‌شود.</w:t>
      </w:r>
      <w:r>
        <w:rPr>
          <w:rStyle w:val="FootnoteReference"/>
        </w:rPr>
        <w:footnoteReference w:id="25"/>
      </w:r>
    </w:p>
    <w:p>
      <w:pPr>
        <w:pStyle w:val="TH-Body"/>
      </w:pPr>
      <w:r>
        <w:t xml:space="preserve">شرایط.</w:t>
      </w:r>
      <w:r>
        <w:t xml:space="preserve"> فقهای امامیه برای هدنه شرایطی ذکر کرده‌اند که مهم‌ترین آن‌ها سه شرط است: (۱) </w:t>
      </w:r>
      <w:r>
        <w:t xml:space="preserve">موقت بودن</w:t>
      </w:r>
      <w:r>
        <w:t xml:space="preserve">؛ زیرا صلح دائم با دشمن محارب، با ادلهٔ وجوب جهاد ناسازگار انگاشته شده است. اما در «حداکثر مدت» اختلاف است: بعضی چهار ماه گفته‌اند (به استناد آیات برائت)، بعضی یک سال، بعضی ده سال (به استناد مدت صلح حدیبیه) و بعضی هر مدتی که مصلحت اقتضا کند. نظر اخیر به اطلاق ادله نزدیک‌تر است و مختار این رساله نیز همین است، مشروط به احراز مصلحت. (۲) </w:t>
      </w:r>
      <w:r>
        <w:t xml:space="preserve">مبتنی بر مصلحت بودن</w:t>
      </w:r>
      <w:r>
        <w:t xml:space="preserve">؛ یعنی حاکم تشخیص دهد که آتش‌بس به نفع اسلام و مسلمانان است، چون فرصت تجدید قوا، کاهش تلفات یا فراهم‌سازی زمینهٔ دعوت. (۳) </w:t>
      </w:r>
      <w:r>
        <w:t xml:space="preserve">با اذن حاکم بودن</w:t>
      </w:r>
      <w:r>
        <w:t xml:space="preserve">؛ زیرا تصمیم جنگ و صلح از شئون حکومت است، نه اشخاص.</w:t>
      </w:r>
    </w:p>
    <w:p>
      <w:pPr>
        <w:pStyle w:val="TH-Body"/>
      </w:pPr>
      <w:r>
        <w:t xml:space="preserve">نسبت با مسئلهٔ حاضر، در دو نکته.</w:t>
      </w:r>
      <w:r>
        <w:t xml:space="preserve"> نکتهٔ نخست: هدنه نزدیک‌ترین نهاد فقهی به «معاهدهٔ موقت امنیتی امروزی» (چون آتش‌بس و موافقت‌نامهٔ ترک مخاصمه) است؛ اما تفاوت بنیادین آن این است که هدنه ذاتاً موقت فرض شده، در حالی که معاهدات امروزی غالباً بلندمدت یا دائم‌اند. ازاین‌رو، تسری مستقیم احکام هدنه به معاهدات امروزی نیازمند توجیه مستقل است. نکتهٔ دوم و مهم‌تر: قول مشهور فقهای امامیه آن است که حاکم می‌تواند هدنه را «عند المصلحة» برهم بزند؛ یعنی اگر مصلحت اقتضا کند، آتش‌بس را پایان دهد البته با اعلام قبلی (همان انباذ).</w:t>
      </w:r>
      <w:r>
        <w:rPr>
          <w:rStyle w:val="FootnoteReference"/>
        </w:rPr>
        <w:footnoteReference w:id="26"/>
      </w:r>
      <w:r>
        <w:t xml:space="preserve"> این قول مشهور، مهم‌ترین سابقهٔ فقهی «جواز عدول مصلحتی» است و در فصل چهارم از آن بهره گرفته می‌شود؛ اما با این قید صریح که هدنه با معاهدهٔ امروزی تفاوت دارد و تسری، محتاج دلیل مستقل است که همان قاعدهٔ تزاحم و نظریهٔ حکم حکومتی است.</w:t>
      </w:r>
    </w:p>
    <w:p>
      <w:pPr>
        <w:pStyle w:val="TH-Band"/>
      </w:pPr>
      <w:r>
        <w:t xml:space="preserve">بند سوم: امان؛ تأمین فردی و جمعی</w:t>
      </w:r>
    </w:p>
    <w:p>
      <w:pPr>
        <w:pStyle w:val="TH-Body"/>
      </w:pPr>
      <w:r>
        <w:t xml:space="preserve">تعریف.</w:t>
      </w:r>
      <w:r>
        <w:t xml:space="preserve"> «امان» به معنای تأمین است؛ پیمانی که به موجب آن، به شخص یا گروهی از غیرمسلمانان امنیت جانی و مالی داده می‌شود. امان می‌تواند «فردی و یک‌جانبه» باشد (چون امانی که یک مسلمان به یک غیرمسلمان می‌دهد) یا «جمعی و متقابل» (چون امانی که حاکم به اهل یک سرزمین می‌دهد). صورت‌های امروزی آن، روادید، مصونیت‌های دیپلماتیک و کنسولی و تضمین‌های امنیتی‌اند.</w:t>
      </w:r>
    </w:p>
    <w:p>
      <w:pPr>
        <w:pStyle w:val="TH-Body"/>
      </w:pPr>
      <w:r>
        <w:t xml:space="preserve">حکم.</w:t>
      </w:r>
      <w:r>
        <w:t xml:space="preserve"> فقهای امامیه بر آن‌اند که امان هر مسلمان بالغ عاقل حتی زن و حتی فرد غیر ذی‌منصب برای همهٔ مسلمانان لازم‌الاتباع است؛ مستند به روایت مشهور «ذِمَّةُ الْمُسْلِمِینَ وَاحِدَةٌ یَسْعَىٰ بِهَا أَدْنَاهُمْ».</w:t>
      </w:r>
      <w:r>
        <w:rPr>
          <w:rStyle w:val="FootnoteReference"/>
        </w:rPr>
        <w:footnoteReference w:id="27"/>
      </w:r>
      <w:r>
        <w:t xml:space="preserve"> تفاوت امان با هدنه نیز در همین است: هدنه جمعی و متقابل و از شئون حاکم است، اما امان می‌تواند فردی و از جانب هر مسلمانی باشد.</w:t>
      </w:r>
    </w:p>
    <w:p>
      <w:pPr>
        <w:pStyle w:val="TH-Body"/>
      </w:pPr>
      <w:r>
        <w:t xml:space="preserve">نسبت با مسئلهٔ حاضر، غیرمستقیم اما مهم است.</w:t>
      </w:r>
      <w:r>
        <w:t xml:space="preserve"> امان نشان می‌دهد که در فقه امامیه، «پیمان با غیرمسلمان» حتی در سطح فردی و حتی از جانب یک فرد عادی محترم و لازم‌الاتباع است؛ چه رسد به پیمان حکومتی رسمی که با ارادهٔ متقابل دولت‌ها منعقد شده باشد. ازاین‌رو، قاعدهٔ وفا دامنه‌ای از فرد تا حکومت دارد و نمی‌توان آن را به عقود خصوصی محدود کرد. نکتهٔ دوم آن است که امان، برای طرف مقابل «حق» ایجاد می‌کند و نقض بی‌مجوز آن ظلم است حتی اگر طرف، غیرمسلمان باشد. این، نشان‌دهندهٔ جهان‌شمولی اخلاق عهد در اسلام است و در فصل سوم به‌عنوان مؤیدی بر عموم قاعدهٔ وفا به‌کار می‌رود.</w:t>
      </w:r>
    </w:p>
    <w:p>
      <w:pPr>
        <w:pStyle w:val="TH-Band"/>
      </w:pPr>
      <w:r>
        <w:t xml:space="preserve">بند چهارم: ذمه و صلح؛ پیمان‌های بلندمدت</w:t>
      </w:r>
    </w:p>
    <w:p>
      <w:pPr>
        <w:pStyle w:val="TH-Body"/>
      </w:pPr>
      <w:r>
        <w:t xml:space="preserve">ذمه.</w:t>
      </w:r>
      <w:r>
        <w:t xml:space="preserve"> «عقد ذمه» پیمانی است که به موجب آن، اقلیت‌های دینی (اهل کتاب) در پناه حکومت اسلامی قرار می‌گیرند و در برابر پرداخت جزیه، از جان، مال و دین خود حمایت می‌شوند. این پیمان، ذاتاً بلندمدت و مستمر است و با پذیرش اسلام یا نقض شرایط از سوی اهل ذمه پایان می‌یابد.</w:t>
      </w:r>
      <w:r>
        <w:rPr>
          <w:rStyle w:val="FootnoteReference"/>
        </w:rPr>
        <w:footnoteReference w:id="28"/>
      </w:r>
    </w:p>
    <w:p>
      <w:pPr>
        <w:pStyle w:val="TH-Body"/>
      </w:pPr>
      <w:r>
        <w:t xml:space="preserve">صلح.</w:t>
      </w:r>
      <w:r>
        <w:t xml:space="preserve"> «صلح» در معنای خاص فقهی، مصالحه با دشمن بر ترک جنگ در برابر مال یا شرایطی است و می‌تواند دائم یا موقت باشد. تفاوت آن با هدنه در استمرار و در ماهیت توافقی آن است.</w:t>
      </w:r>
    </w:p>
    <w:p>
      <w:pPr>
        <w:pStyle w:val="TH-Body"/>
      </w:pPr>
      <w:r>
        <w:t xml:space="preserve">اهمیت این دو نهاد برای مسئلهٔ حاضر.</w:t>
      </w:r>
      <w:r>
        <w:t xml:space="preserve"> ذمه و صلح نشان می‌دهند که فقه امامیه، «پیمان بلندمدت با غیرمسلمان» را نیز می‌شناسد و مشروع می‌داند؛ نه فقط پیمان موقت (هدنه). ازاین‌رو، این استدلال که «در اسلام، پیمان با غیرمسلمان تنها می‌تواند موقت باشد و معاهدهٔ بلندمدت امروزی اصولاً مشروع نیست»، با ادبیات فقهی ما سازگار نیست. ذمه، پیمانی بلندمدت و مشروع است؛ و معاهدهٔ امروزی، اگر شرایط اعتبار خود را داشته باشد، می‌تواند در همین منطق قرار گیرد. البته تسری احکام این نهادها به معاهدات امروزی نیازمند احتیاط است؛ اما «اصل امکان پیمان بلندمدت» در فقه امامیه پذیرفته شده و انکار آن، انکار بدیهیات فقهی است. این یافته، در دفع اشکال مقدّر فصل چهارم (بند سوم گفتار دوم) به‌کار می‌آید.</w:t>
      </w:r>
    </w:p>
    <w:p>
      <w:pPr>
        <w:pStyle w:val="TH-Band"/>
      </w:pPr>
      <w:r>
        <w:t xml:space="preserve">بند پنجم: جمع‌بندی؛ از نهادهای کهن تا معاهدهٔ مدرن</w:t>
      </w:r>
    </w:p>
    <w:p>
      <w:pPr>
        <w:pStyle w:val="TH-Body"/>
      </w:pPr>
      <w:r>
        <w:t xml:space="preserve">از مجموع این چهار نهاد، تصویر منسجمی از «فقه عهدنامه‌ها» در امامیه به دست می‌آید؛ فقهی که: (۱) هم پیمان موقت را می‌شناسد (هدنه)، هم پیمان فردی را (امان) و هم پیمان بلندمدت را (ذمه و صلح)؛ (۲) وفا به همهٔ این پیمان‌ها را واجب می‌داند؛ (۳) عدول مصلحتی ضابطه‌مند را می‌پذیرد (جواز نقض هدنه عند المصلحة)؛ و (۴) شیوهٔ عدول را مقید می‌کند (انباذ علی سواء). این منظومه، سرمایهٔ فقه امامیه در گفت‌وگو با حقوق بین‌الملل معاصر است.</w:t>
      </w:r>
    </w:p>
    <w:p>
      <w:pPr>
        <w:pStyle w:val="TH-Body"/>
      </w:pPr>
      <w:r>
        <w:t xml:space="preserve">اما سه شکاف ساختاری</w:t>
      </w:r>
      <w:r>
        <w:t xml:space="preserve"> میان این منظومه و حقوق معاهدات معاصر وجود دارد که باید صریحاً ثبت شود، زیرا نادیده‌گرفتن آن‌ها موجب تسری‌های ناروا می‌شود: </w:t>
      </w:r>
      <w:r>
        <w:t xml:space="preserve">شکاف نخست، چندجانبه بودن.</w:t>
      </w:r>
      <w:r>
        <w:t xml:space="preserve"> معاهدات امروزی غالباً چندجانبه‌اند و آثار عدول یک طرف، به همهٔ اطراف دیگر سرایت می‌کند؛ در حالی که نهادهای فقهی ما عمدتاً دوجانبه فرض شده‌اند. </w:t>
      </w:r>
      <w:r>
        <w:t xml:space="preserve">شکاف دوم، سازوکارهای تفسیر و حل اختلاف.</w:t>
      </w:r>
      <w:r>
        <w:t xml:space="preserve"> معاهدهٔ امروزی دارای قواعد تفسیر (مواد ۳۱ و ۳۲ کنوانسیون وین)، سازوکار حل اختلاف و گاه مراجع داوری الزام‌آور است که در نهادهای فقهی کهن ما سابقهٔ مستقیم ندارد. </w:t>
      </w:r>
      <w:r>
        <w:t xml:space="preserve">شکاف سوم، مسئولیت بین‌المللی.</w:t>
      </w:r>
      <w:r>
        <w:t xml:space="preserve"> در نهادهای فقهی کهن، ضمانت اجرای نقض عمدتاً اخروی و یا متکی به قدرت نظامی بود؛ اما در حقوق معاصر، ضمانت اجرا نهادینه شده (مسئولیت، جبران، اقدام متقابل و مراجع قضایی). این سه شکاف، دلیل آن است که تسری احکام نهادهای کهن به معاهدات امروزی، جز با توسل به قواعد عام (تزاحم، حکم حکومتی، لاضرر و لاحرج) ممکن نیست؛ و همین، روش این رساله در فصل چهارم است.</w:t>
      </w:r>
    </w:p>
    <w:p>
      <w:pPr>
        <w:pStyle w:val="TH-Hasel"/>
      </w:pPr>
      <w:r>
        <w:t xml:space="preserve">حاصل فصل اول</w:t>
      </w:r>
    </w:p>
    <w:p>
      <w:pPr>
        <w:pStyle w:val="TH-Body"/>
      </w:pPr>
      <w:r>
        <w:t xml:space="preserve">حاصل این فصل، تنقیح مفاهیم و تحدید محل بحث است. چهار تعریف عملیاتی به دست آمد: </w:t>
      </w:r>
      <w:r>
        <w:t xml:space="preserve">معاهده</w:t>
      </w:r>
      <w:r>
        <w:t xml:space="preserve"> = توافق کتبی میان دولت‌ها، تابع حقوق بین‌الملل، از گونهٔ سوم (میان‌مدت و بلندمدت)؛ </w:t>
      </w:r>
      <w:r>
        <w:t xml:space="preserve">ولی فقیه</w:t>
      </w:r>
      <w:r>
        <w:t xml:space="preserve"> = مقام رهبری در نظام جمهوری اسلامی ایران، دارای مراتب چهارگانهٔ اختیار (صریح، ضمنی، ولایی، حکومتی) که اختیار مورد بحث در مرتبهٔ دوم و سوم قرار دارد؛ </w:t>
      </w:r>
      <w:r>
        <w:t xml:space="preserve">عدول</w:t>
      </w:r>
      <w:r>
        <w:t xml:space="preserve"> = تصمیم یک‌جانبه و فوق‌العادهٔ ولی فقیه بر توقف یا تعلیق اجرای تعهد، در مقام تزاحم، دارای پنج مرتبه که مراتب اول تا چهارم موجه و مرتبهٔ پنجم فاقد مبناست؛ و </w:t>
      </w:r>
      <w:r>
        <w:t xml:space="preserve">مصلحت</w:t>
      </w:r>
      <w:r>
        <w:t xml:space="preserve"> = منفعت واقعی، نوعی و اهم نظام و امت.</w:t>
      </w:r>
    </w:p>
    <w:p>
      <w:pPr>
        <w:pStyle w:val="TH-Body"/>
      </w:pPr>
      <w:r>
        <w:t xml:space="preserve">همچنین، تحریر محلّ النزاع به انجام رسید: موضوع، معاهدهٔ معتبر و لازم‌الاجراست در فرض تغییر شرایط و ضرر جدی؛ تصمیم‌گیر، ولی فقیه است؛ و پرسش در دو سطح طرح می‌شود: حکم تکلیفی شرعی و آثار حقوقی داخلی و بین‌المللی. چهار فروض از محل نزاع خارج شد (معاهدات باطل، معاهدات مرزی، تعهدات اخلاقی غیرالزام‌آور، و عقود خصوصی) و مقام حکم روشن گردید: عدول حکومتی از سنخ احکام اولیهٔ حکومتی است، نه احکام ثانویه و نه تخصیص احکام اولی.</w:t>
      </w:r>
    </w:p>
    <w:p>
      <w:pPr>
        <w:pStyle w:val="TH-Body"/>
      </w:pPr>
      <w:r>
        <w:t xml:space="preserve">در پایان، سه شکاف ساختاری میان نهادهای فقهی کهن (هدنه، امان، ذمه، صلح) و حقوق معاهدات معاصر شناسایی شد: چندجانبه بودن، سازوکارهای تفسیر و حل اختلاف، و نهادینه شدن مسئولیت بین‌المللی. این شکاف‌ها، ضرورت توسل به قواعد عام فقهی را در فصل چهارم توجیه می‌کند. با این نقشهٔ مفهومی، می‌توان وارد کلیات شد: آن‌چه حقوق معاهدات می‌گوید و آن‌چه قانون اساسی جمهوری اسلامی ایران برای این موضوع پیش‌بینی کرده است.</w:t>
      </w:r>
    </w:p>
    <w:p>
      <w:pPr>
        <w:pStyle w:val="TH-Fasl"/>
      </w:pPr>
      <w:r>
        <w:t xml:space="preserve">فصل دوم: کلیات حقوق معاهدات و قانون اساسی</w:t>
      </w:r>
    </w:p>
    <w:p>
      <w:pPr>
        <w:pStyle w:val="TH-Body"/>
      </w:pPr>
      <w:r>
        <w:t xml:space="preserve">پس از تنقیح مفاهیم در فصل نخست، نوبت به تبیین دو نظام هنجاری می‌رسد که مسئلهٔ حاضر در بستر آن‌ها قرار می‌گیرد: حقوق معاهدات (نظام بیرونی) و قانون اساسی جمهوری اسلامی ایران (نظام درونی). کارکرد این فصل، «معرفی» است نه «داوری»؛ داوری در فصول سوم تا پنجم صورت می‌گیرد. روش این فصل آن است که در هر مورد، نخست قاعدهٔ حقوقی به‌نحو دقیق بیان شود، سپس نسبت آن با مسئلهٔ عدول به‌اجمال ثبت گردد؛ و از تکرار تحلیل‌هایی که در فصل پنجم می‌آید پرهیز شود.</w:t>
      </w:r>
    </w:p>
    <w:p>
      <w:pPr>
        <w:pStyle w:val="TH-Goftar"/>
      </w:pPr>
      <w:r>
        <w:t xml:space="preserve">گفتار اول: تاریخچه و اصول بنیادین حقوق معاهدات</w:t>
      </w:r>
    </w:p>
    <w:p>
      <w:pPr>
        <w:pStyle w:val="TH-Band"/>
      </w:pPr>
      <w:r>
        <w:t xml:space="preserve">بند اول: از عرف تا کنوانسیون وین</w:t>
      </w:r>
    </w:p>
    <w:p>
      <w:pPr>
        <w:pStyle w:val="TH-Body"/>
      </w:pPr>
      <w:r>
        <w:t xml:space="preserve">حقوق معاهدات به قدمت تمدن بشری است؛ زیرا هرگاه دو قدرت با یکدیگر پیمانی بسته‌اند، پرسش از اعتبار و آثار آن نیز مطرح شده است. اما صورت مدون و نظام‌مند آن، پدیدهٔ قرن بیستم است. تا پیش از جنگ جهانی اول، حقوق معاهدات عمدتاً عرفی و پراکنده بود. پس از جنگ نخست و تأسیس جامعهٔ ملل، گام‌هایی در جهت تدوین برداشته شد؛ اما نقطهٔ عطف، تأسیس سازمان ملل متحد (۱۹۴۵) و آغاز به‌کار کمیسیون حقوق بین‌الملل (۱۹۴۹) بود.</w:t>
      </w:r>
    </w:p>
    <w:p>
      <w:pPr>
        <w:pStyle w:val="TH-Body"/>
      </w:pPr>
      <w:r>
        <w:t xml:space="preserve">کمیسیون حقوق بین‌الملل رکن فرعی مجمع عمومی، متشکل از حقوق‌دانان برگزیده از نظام‌های حقوقی گوناگون و مأمور به «تدوین تدریجی و مدون‌سازی حقوق بین‌الملل»</w:t>
      </w:r>
      <w:r>
        <w:rPr>
          <w:rStyle w:val="FootnoteReference"/>
        </w:rPr>
        <w:footnoteReference w:id="29"/>
      </w:r>
      <w:r>
        <w:t xml:space="preserve"> تدوین حقوق معاهدات را در دستور کار خود قرار داد. سه گزارشگر ویژه در این مسیر نقش اصلی را ایفا کردند: سر هرش لاترپاخت (۱۹۵۳–۱۹۵۵)، سر جرالد فیتزموریس (۱۹۵۶–۱۹۶۰) و سر هامفری والداک (۱۹۶۱–۱۹۶۶). پس از دو دوره کنفرانس دیپلماتیک در وین (۱۹۶۸ و ۱۹۶۹) با حضور نمایندگان ۱۱۰ کشور، کنوانسیون وین حقوق معاهدات در ۲۳ مه ۱۹۶۹ تصویب شد و به موجب مادهٔ ۸۴ آن، از ۲۷ ژانویهٔ ۱۹۸۰ (یک ماه پس از تسلیم سی‌وپنجمین سند تصویب یا الحاق) لازم‌الاجرا گردید.</w:t>
      </w:r>
      <w:r>
        <w:rPr>
          <w:rStyle w:val="FootnoteReference"/>
        </w:rPr>
        <w:footnoteReference w:id="30"/>
      </w:r>
    </w:p>
    <w:p>
      <w:pPr>
        <w:pStyle w:val="TH-Body"/>
      </w:pPr>
      <w:r>
        <w:t xml:space="preserve">کنوانسیون وین در ۸۵ ماده و در هشت بخش، تقریباً همهٔ مسائل معاهدات را پوشش می‌دهد: انعقاد و ورود به التزام، اعتبار، تفسیر، اجرا، تعلیق و خاتمه، حق شرط، و مقررات پایانی. همهٔ دولت‌ها عضو آن نیستند؛ از جمله جمهوری اسلامی ایران که کنوانسیون را در ۲۳ مه ۱۹۶۹ امضا کرد، اما هرگز آن را به تصویب مجلس شورای اسلامی نرساند. با این حال، بخش قابل‌توجهی از قواعد آن چنان‌که دیوان بین‌المللی دادگستری مکرراً تأیید کرده است ماهیت عرفی یافته و حتی بر دولت‌های غیرعضو نیز اعمال می‌شود. دیوان در قضیهٔ گابچیکوو‌ناگیماروش صریحاً اعلام کرد که بسیاری از مقررات کنوانسیون، بیان‌کنندهٔ حقوق بین‌الملل عرفی است، حتی در مواردی که خود کنوانسیون بر دولت مورد نظر لازم‌الاجرا نیست.</w:t>
      </w:r>
      <w:r>
        <w:rPr>
          <w:rStyle w:val="FootnoteReference"/>
        </w:rPr>
        <w:footnoteReference w:id="31"/>
      </w:r>
    </w:p>
    <w:p>
      <w:pPr>
        <w:pStyle w:val="TH-Body"/>
      </w:pPr>
      <w:r>
        <w:t xml:space="preserve">موضع روشی این رساله.</w:t>
      </w:r>
      <w:r>
        <w:t xml:space="preserve"> کنوانسیون وین در این پژوهش به دو عنوان به‌کار می‌رود: (۱) به‌عنوان «بیان حقوق بین‌الملل عرفی»، که بر ایران نیز نافذ است؛ و (۲) به‌عنوان «متن مرجع برای فهم دقیق نهادهای حقوق معاهدات». از این جهت، عدم عضویت ایران در کنوانسیون، مانع استناد به آن نیست؛ اما در هر مورد باید تفکیک شود که قاعدهٔ مورد استناد، ماهیت عرفی دارد یا صرفاً معاهده‌ای است. این دقت، از جهت مسئولیت بین‌المللی دولت (فصل پنجم) حائز اهمیت است. شایستهٔ ذکر است که به موجب مادهٔ ۱۸ کنوانسیون، دولت امضاکننده نیز تا زمانی که قصد خود را مبنی بر عدم الحاق اعلام نکرده است، موظف است از اقداماتی که موضوع و هدف معاهده را ناکام می‌سازد، خودداری کند؛ و این تعهد، وضع حقوقی ایران را نسبت به کنوانسیون دقیق‌تر از وصف «غیرعضو» توصیف می‌کند.</w:t>
      </w:r>
      <w:r>
        <w:rPr>
          <w:rStyle w:val="FootnoteReference"/>
        </w:rPr>
        <w:footnoteReference w:id="32"/>
      </w:r>
    </w:p>
    <w:p>
      <w:pPr>
        <w:pStyle w:val="TH-Band"/>
      </w:pPr>
      <w:r>
        <w:t xml:space="preserve">بند دوم: اصل بنیادین: Pacta sunt servanda</w:t>
      </w:r>
    </w:p>
    <w:p>
      <w:pPr>
        <w:pStyle w:val="TH-Body"/>
      </w:pPr>
      <w:r>
        <w:t xml:space="preserve">مادهٔ ۲۶ کنوانسیون وین، اصل بنیادین حقوق معاهدات را چنین بیان می‌کند:</w:t>
      </w:r>
    </w:p>
    <w:p>
      <w:pPr>
        <w:pStyle w:val="TH-Quote"/>
      </w:pPr>
      <w:r>
        <w:t xml:space="preserve">«هر معاهدهٔ لازم‌الاجرایی، اطراف آن را متعهد می‌سازد و باید با حسن نیت توسط آنان اجرا شود.»</w:t>
      </w:r>
      <w:r>
        <w:rPr>
          <w:rStyle w:val="FootnoteReference"/>
        </w:rPr>
        <w:footnoteReference w:id="33"/>
      </w:r>
    </w:p>
    <w:p>
      <w:pPr>
        <w:pStyle w:val="TH-Body"/>
      </w:pPr>
      <w:r>
        <w:t xml:space="preserve">این اصل که به عبارت لاتین Pacta sunt servanda شناخته می‌شود، دو جزء دارد. </w:t>
      </w:r>
      <w:r>
        <w:t xml:space="preserve">جزء نخست (الزام‌آوری):</w:t>
      </w:r>
      <w:r>
        <w:t xml:space="preserve"> معاهده نسبت به اطراف آن، حکم قانون را دارد و اطراف نمی‌توانند به دلخواه از اجرای آن شانه خالی کنند. </w:t>
      </w:r>
      <w:r>
        <w:t xml:space="preserve">جزء دوم (حسن نیت):</w:t>
      </w:r>
      <w:r>
        <w:t xml:space="preserve"> اجرا باید صادقانه و منصفانه باشد، نه صوری و ترفندآمیز. دولتی که به ظاهر به نص معاهده عمل می‌کند اما روح و هدف آن را نقض می‌سازد چون تفسیرهای مغرضانه، تأخیرهای عمدی یا اجرای گزینشی ناقض حسن نیت است، هرچند ظاهراً اجرا کرده باشد. دیوان بین‌المللی دادگستری در قضیهٔ گابچیکوو بر «تمامیت قاعدهٔ pacta sunt servanda» تأکید کرد و پذیرش توجیهات یک‌جانبه را رد نمود.</w:t>
      </w:r>
    </w:p>
    <w:p>
      <w:pPr>
        <w:pStyle w:val="TH-Body"/>
      </w:pPr>
      <w:r>
        <w:t xml:space="preserve">برابرنهاد فقهی و نسبت آن با مسئلهٔ حاضر.</w:t>
      </w:r>
      <w:r>
        <w:t xml:space="preserve"> اصل فوق، برابرنهاد حقوقیِ همان «أَوْفُوا بِالْعُقُودِ» در فقه امامیه است؛ و همین خویشاوندی، گفت‌وگوی دو نظام را ممکن می‌سازد. اما نکتهٔ تعیین‌کننده که باید از آغاز ثبت شود این است که pacta sunt servanda در حقوق بین‌الملل نیز، همچون وجوب وفا در فقه امامیه، «قاعدهٔ اولی» است و نه حکم مطلق و بی‌استثنا. خود کنوانسیون وین، استثناها و مجاری خروج را در مواد ۵۴ تا ۶۴ پیش‌بینی کرده است: توافق اطراف، اعمال حق مندرج در متن، نقض اساسی طرف مقابل، عدم امکان اجرای بعدی، تغییر بنیادین اوضاع، و ظهور قاعدهٔ آمرهٔ جدید. منطق حقوق بین‌الملل نیز، همچون منطق فقه امامیه، چنین است: اصل، وفاست؛ اما خروج ضابطه‌مند از اصل، از مجاری مشخص، ممکن است. این هم‌ساختاری دو نظام، مبنای «دوزبانگی توجیهی» است که در فصل پنجم تبیین می‌شود.</w:t>
      </w:r>
    </w:p>
    <w:p>
      <w:pPr>
        <w:pStyle w:val="TH-Band"/>
      </w:pPr>
      <w:r>
        <w:t xml:space="preserve">بند سوم: مادهٔ ۲۷ و تفکیک نظام داخلی از نظام بین‌المللی</w:t>
      </w:r>
    </w:p>
    <w:p>
      <w:pPr>
        <w:pStyle w:val="TH-Body"/>
      </w:pPr>
      <w:r>
        <w:t xml:space="preserve">مادهٔ ۲۷ کنوانسیون وین مقرر می‌دارد:</w:t>
      </w:r>
    </w:p>
    <w:p>
      <w:pPr>
        <w:pStyle w:val="TH-Quote"/>
      </w:pPr>
      <w:r>
        <w:t xml:space="preserve">«یک طرف معاهده نمی‌تواند به مقررات حقوق داخلی خود به‌عنوان توجیهی برای عدم اجرای معاهده استناد کند.»</w:t>
      </w:r>
      <w:r>
        <w:rPr>
          <w:rStyle w:val="FootnoteReference"/>
        </w:rPr>
        <w:footnoteReference w:id="34"/>
      </w:r>
    </w:p>
    <w:p>
      <w:pPr>
        <w:pStyle w:val="TH-Body"/>
      </w:pPr>
      <w:r>
        <w:t xml:space="preserve">قاعدهٔ فوق، یکی از تعیین‌کننده‌ترین مواد کنوانسیون برای مسئلهٔ حاضر است. دلالت آن صریح و بی‌ابهام است: قانون اساسی، قوانین عادی، احکام شرعی و حکم حکومتی ولی فقیه، همگی از منظر حقوق بین‌الملل «حقوق داخلی» محسوب می‌شوند و هیچ‌یک نمی‌تواند توجیه عدم اجرای معاهده در برابر طرف مقابل باشد. دولتی که به استناد حقوق داخلی خود از اجرای معاهده سرباز زند، از نظر حقوق بین‌الملل «ناقض» است و طرف زیان‌دیده حق دارد آثار نقض را مطالبه کند. این قاعده در طرح مواد مسئولیت نیز در مادهٔ ۳۲ تکرار شده است: «یک دولت مسئول نمی‌تواند برای توجیه عدم انطباق رفتارش با تعهدات بین‌المللی خود، به ضرورت تبعیت از مقررات حقوق داخلی خود استناد کند.»</w:t>
      </w:r>
      <w:r>
        <w:rPr>
          <w:rStyle w:val="FootnoteReference"/>
        </w:rPr>
        <w:footnoteReference w:id="35"/>
      </w:r>
    </w:p>
    <w:p>
      <w:pPr>
        <w:pStyle w:val="TH-Body"/>
      </w:pPr>
      <w:r>
        <w:t xml:space="preserve">تنها استثنای مضیق</w:t>
      </w:r>
      <w:r>
        <w:t xml:space="preserve"> در مادهٔ ۴۶ آمده است: دولتی که رضایت خود را به التزام با نقض مقررات حقوق داخلی دربارهٔ صلاحیت انعقاد معاهدات ابراز کرده باشد، نمی‌تواند این امر را به‌عنوان مبنای بی‌اعتباری رضایت خود مطرح کند، «مگر آن‌که نقض، آشکار باشد و به قاعده‌ای بنیادین با اهمیت اساسی در حقوق داخلی آن مربوط شود». نقض آشکار، به موجب همان ماده، نقضی است که «برای هر دولتی که در این زمینه مطابق رویهٔ معمول و با حسن نیت عمل کند، به‌طور عینی محسوس باشد».</w:t>
      </w:r>
      <w:r>
        <w:rPr>
          <w:rStyle w:val="FootnoteReference"/>
        </w:rPr>
        <w:footnoteReference w:id="36"/>
      </w:r>
      <w:r>
        <w:t xml:space="preserve"> باید توجه داشت که این استثنا ناظر به مرحلهٔ «انعقاد» است، نه مرحلهٔ «اجرا»؛ ازاین‌رو، در فرض مورد بحث این رساله (عدول از اجرای معاهدهٔ معتبر) کاربردی ندارد.</w:t>
      </w:r>
    </w:p>
    <w:p>
      <w:pPr>
        <w:pStyle w:val="TH-Body"/>
      </w:pPr>
      <w:r>
        <w:t xml:space="preserve">کارکرد استدلالی مادهٔ ۲۷ در این رساله.</w:t>
      </w:r>
      <w:r>
        <w:t xml:space="preserve"> این ماده، تفکیک میان «نظام حقوقی داخلی» و «نظام حقوقی بین‌المللی» را به صراحت تثبیت می‌کند و هر توهمی را دربارهٔ سرایت جواز داخلی به سطح بین‌المللی از میان می‌برد. از همین‌رو، مادهٔ ۲۷ ستون فقرات «تفکیک سه‌گانهٔ سطوح تحلیل» است: حکم حکومتی ولی فقیه در نظام داخلی معتبر و لازم‌الاتباع است، اما در نظام بین‌المللی توجیه عدم اجرا محسوب نمی‌شود؛ در نتیجه، «مشروعیت داخلی» و «مسئولیت بین‌المللی» دو سطح جدا از یکدیگرند و باید جداگانه تحلیل شوند. تبیین کامل این تفکیک در گفتار سوم فصل پنجم می‌آید.</w:t>
      </w:r>
    </w:p>
    <w:p>
      <w:pPr>
        <w:pStyle w:val="TH-Goftar"/>
      </w:pPr>
      <w:r>
        <w:t xml:space="preserve">گفتار دوم: سازوکارهای تعلیق و خاتمهٔ موجه</w:t>
      </w:r>
    </w:p>
    <w:p>
      <w:pPr>
        <w:pStyle w:val="TH-Band"/>
      </w:pPr>
      <w:r>
        <w:t xml:space="preserve">بند اول: اصل انحصار مجاری قانونی</w:t>
      </w:r>
    </w:p>
    <w:p>
      <w:pPr>
        <w:pStyle w:val="TH-Body"/>
      </w:pPr>
      <w:r>
        <w:t xml:space="preserve">کنوانسیون وین در مواد ۵۴ تا ۶۴ سازوکارهای خاتمه و تعلیق را برشمرده است. اصل حاکم بر این مواد، در مواد ۵۴ و ۵۷ بیان شده: خاتمهٔ معاهده یا تعلیق اجرای آن، تنها «بر اساس مقررات معاهده» یا «در هر زمانی با رضایت همهٔ اطراف پس از مشورت با سایر دولت‌های متعاقد» ممکن است؛ و در فرض تعلیق و خاتمهٔ مبتنی بر کنوانسیون، قواعد بخش پنجم (مواد ۶۵ تا ۶۸) دربارهٔ آیین ادعا باید رعایت شود.</w:t>
      </w:r>
      <w:r>
        <w:rPr>
          <w:rStyle w:val="FootnoteReference"/>
        </w:rPr>
        <w:footnoteReference w:id="37"/>
      </w:r>
    </w:p>
    <w:p>
      <w:pPr>
        <w:pStyle w:val="TH-Body"/>
      </w:pPr>
      <w:r>
        <w:t xml:space="preserve">اهمیت این انحصار.</w:t>
      </w:r>
      <w:r>
        <w:t xml:space="preserve"> نتیجهٔ منطقی اصل فوق آن است که هر رفتاری که در قالب این سازوکارها نگنجد، از منظر کنوانسیون وین «ناموجه» است و آثار نقض را در پی دارد. ازاین‌رو، نخستین اقدام عقلانی حاکم پیش از تصمیم به عدول، آن است که بررسی کند آیا رفتار مورد نظر در یکی از این قالب‌های حقوقی قابل طرح است یا نه. این همان ضابطهٔ دوم فصل چهارم (تقدم راه‌های حقوقی مندرج) است، اما این‌بار از زبان خود کنوانسیون وین. مهم‌ترین این سازوکارها، در پنج بند بعدی تبیین می‌شود.</w:t>
      </w:r>
    </w:p>
    <w:p>
      <w:pPr>
        <w:pStyle w:val="TH-Band"/>
      </w:pPr>
      <w:r>
        <w:t xml:space="preserve">بند دوم: توافق اطراف و حق مندرج در متن معاهده</w:t>
      </w:r>
    </w:p>
    <w:p>
      <w:pPr>
        <w:pStyle w:val="TH-Body"/>
      </w:pPr>
      <w:r>
        <w:t xml:space="preserve">کم‌هزینه‌ترین مجرا، همان است که خود معاهده پیش‌بینی کرده است: شرط خروج، شرط بازنگری، انقضای مدت، یا توافق بعدی اطراف بر خاتمه. به موجب مادهٔ ۵۴، خاتمهٔ معاهده «بر اساس مقررات معاهده» مجاز است و به موجب مادهٔ ۵۶، حتی در معاهداتی که مقرراتی دربارهٔ خاتمه ندارند، اگر محرز شود که اطراف قصد امکان خروج یا فسخ را داشته‌اند، یا حق خروج از ماهیت معاهده قابل استنباط باشد، خروج با اطلاع قبلی دوازده ماه مجاز است.</w:t>
      </w:r>
      <w:r>
        <w:rPr>
          <w:rStyle w:val="FootnoteReference"/>
        </w:rPr>
        <w:footnoteReference w:id="38"/>
      </w:r>
      <w:r>
        <w:t xml:space="preserve"> این مرتبه، مرتبهٔ اول از مراتب پنج‌گانهٔ عدول (فصل اول) است و هیچ مسئولیت بین‌المللی پدید نمی‌آورد.</w:t>
      </w:r>
    </w:p>
    <w:p>
      <w:pPr>
        <w:pStyle w:val="TH-Body"/>
      </w:pPr>
      <w:r>
        <w:t xml:space="preserve">نتیجهٔ عملی برای مرحلهٔ انعقاد.</w:t>
      </w:r>
      <w:r>
        <w:t xml:space="preserve"> هر مذاکره‌کنندهٔ آگاه باید هنگام انعقاد معاهده، شرط‌های خروج، بازنگری و تعلیق را در متن بگنجاند تا دست تصمیم‌گیر آینده باز بماند. بسیاری از دشواری‌های مرحلهٔ اجرا، ریشه در غفلت‌های مرحلهٔ انعقاد دارد. تفصیل این راهبرد (راهبرد سوم از راهبردهای پنج‌گانهٔ فصل پنجم) در گفتار چهارم آن فصل می‌آید و از تکرار آن در این‌جا پرهیز می‌شود.</w:t>
      </w:r>
    </w:p>
    <w:p>
      <w:pPr>
        <w:pStyle w:val="TH-Band"/>
      </w:pPr>
      <w:r>
        <w:t xml:space="preserve">بند سوم: نقض اساسی طرف مقابل (مادهٔ ۶۰)</w:t>
      </w:r>
    </w:p>
    <w:p>
      <w:pPr>
        <w:pStyle w:val="TH-Body"/>
      </w:pPr>
      <w:r>
        <w:t xml:space="preserve">به موجب مادهٔ ۶۰ کنوانسیون وین، «نقض اساسی» معاهده از سوی یک طرف، به طرف یا طرف‌های زیان‌دیده حق می‌دهد که اجرای تعهدات خود را به‌طور کلی یا جزئی تعلیق کنند، یا معاهده را خاتمه دهند. نقض اساسی در بند ۳ همان ماده تعریف شده است: (الف) «رد معاهده به نحوی که به موجب این کنوانسیون مجاز نباشد»؛ یا (ب) «نقض مقرره‌ای که برای تحقق موضوع و هدف معاهده اساسی است».</w:t>
      </w:r>
      <w:r>
        <w:rPr>
          <w:rStyle w:val="FootnoteReference"/>
        </w:rPr>
        <w:footnoteReference w:id="39"/>
      </w:r>
    </w:p>
    <w:p>
      <w:pPr>
        <w:pStyle w:val="TH-Body"/>
      </w:pPr>
      <w:r>
        <w:t xml:space="preserve">نکات فنی سه‌گانه.</w:t>
      </w:r>
      <w:r>
        <w:t xml:space="preserve"> نخست، مادهٔ ۶۰ در معاهدات چندجانبه، آثار تفکیک‌شده‌ای دارد: حق تعلیق یا خاتمه، بسته به نوع نقض، می‌تواند میان همهٔ اطراف یا تنها میان طرف زیان‌دیده و دولت ناقض اعمال شود (بندهای ۲ و ۴). دوم، در معاهداتی که «ماهیت آن‌ها به نحوی است که نقض اساسی توسط یک طرف، وضع همهٔ اطراف را در اجرای تعهدات بعدی دگرگون می‌سازد» (چون معاهدات خلع سلاح)، هر طرفی می‌تواند اجرای معاهده را تعلیق کند (بند ۲ (ج)). سوم، بند ۵ مادهٔ ۶۰، مقررات مربوط به حمایت از شخص انسان را از شمول حق خاتمه و تعلیق به‌دلیل نقض استثنا کرده است؛ و این، نمودی از قاعدهٔ سقف‌گذاری بر اختیارات است که در ضابطهٔ هفتم فصل چهارم به آن پرداخته می‌شود.</w:t>
      </w:r>
    </w:p>
    <w:p>
      <w:pPr>
        <w:pStyle w:val="TH-Body"/>
      </w:pPr>
      <w:r>
        <w:t xml:space="preserve">نسبت با مسئلهٔ حاضر.</w:t>
      </w:r>
      <w:r>
        <w:t xml:space="preserve"> این نهاد، پشتوانهٔ حقوقی «عدول واکنشی» (مرتبهٔ چهارم از مراتب پنج‌گانه) است و نشان می‌دهد که منطق «تقابل» مشابه منطق آیهٔ شریفهٔ «فَمَا اسْتَقَامُوا لَکُمْ فَاسْتَقِیمُوا لَهُمْ»</w:t>
      </w:r>
      <w:r>
        <w:rPr>
          <w:rStyle w:val="FootnoteReference"/>
        </w:rPr>
        <w:footnoteReference w:id="40"/>
      </w:r>
      <w:r>
        <w:t xml:space="preserve"> در حقوق بین‌الملل نیز پذیرفته شده است. اما اعمال این حق، مقید به تشریفات مادهٔ ۶۵ تا ۶۸ است و عدم رعایت آن‌ها، اقدام را از موجه بودن خارج می‌سازد.</w:t>
      </w:r>
    </w:p>
    <w:p>
      <w:pPr>
        <w:pStyle w:val="TH-Band"/>
      </w:pPr>
      <w:r>
        <w:t xml:space="preserve">بند چهارم: تغییر بنیادین اوضاع (مادهٔ ۶۲)</w:t>
      </w:r>
    </w:p>
    <w:p>
      <w:pPr>
        <w:pStyle w:val="TH-Body"/>
      </w:pPr>
      <w:r>
        <w:t xml:space="preserve">مادهٔ ۶۲ کنوانسیون وین، قاعدهٔ موسوم به rebus sic stantibus را چنین تنظیم کرده است: «تغییر بنیادین اوضاعی که در زمان انعقاد معاهده موجود بوده و توسط اطراف پیش‌بینی نشده است، نمی‌تواند به‌عنوان مبنایی برای خاتمه یا خروج از معاهده مورد استناد قرار گیرد، مگر آن‌که: (الف) وجود آن اوضاع، مبنای اساسی رضایت اطراف به التزام در برابر معاهده تشکیل داده باشد؛ و (ب) اثر این تغییر، تعهدات باقی‌مانده برای اجرا را به نحو بنیادین دگرگون سازد.»</w:t>
      </w:r>
      <w:r>
        <w:rPr>
          <w:rStyle w:val="FootnoteReference"/>
        </w:rPr>
        <w:footnoteReference w:id="41"/>
      </w:r>
    </w:p>
    <w:p>
      <w:pPr>
        <w:pStyle w:val="TH-Body"/>
      </w:pPr>
      <w:r>
        <w:t xml:space="preserve">استثناهای دوگانه و قید ضمنی.</w:t>
      </w:r>
      <w:r>
        <w:t xml:space="preserve"> به موجب بند ۲ همان ماده، تغییر بنیادین اوضاع در دو فرض قابل استناد نیست: (الف) معاهداتی که مرزها را تعیین می‌کنند؛ و (ب) وضعیتی که تغییر بنیادین، نتیجهٔ نقض تعهدی باشد که توسط همان طرفی که به آن استناد می‌کند، نسبت به معاهده یا نسبت به تعهد بین‌المللی دیگری در برابر اطراف معاهده انجام شده است. افزون بر این، خود ماده با عبارت «پیش‌بینی نشده» قید سومی را نیز در بر دارد: تغییری که اطراف هنگام انعقاد آن را پیش‌بینی کرده باشند، مجوز استناد به مادهٔ ۶۲ نیست. و به موجب بند ۳، در فرض تحقق شرایط، طرف تنها می‌تواند «خاتمه یا خروج» یا «تعلیق» را مطالبه کند.</w:t>
      </w:r>
    </w:p>
    <w:p>
      <w:pPr>
        <w:pStyle w:val="TH-Body"/>
      </w:pPr>
      <w:r>
        <w:t xml:space="preserve">رویهٔ دیوان.</w:t>
      </w:r>
      <w:r>
        <w:t xml:space="preserve"> دیوان بین‌المللی دادگستری در قضیهٔ گابچیکوو‌ناگیماروش (۱۹۹۷)، استناد مجارستان به تغییر بنیادین اوضاع را نپذیرفت و معیارهای مضیقی را برقرار ساخت: تغییر باید «بنیادین» باشد، یعنی اوضاعی را که مبنای اساسی رضایت اطراف بوده دگرگون سازد؛ و «اثر بنیادین» بر تعهدات باقی‌مانده بگذارد، یعنی دامنهٔ تعهدات هنوز لازم‌الاجرا را به نحو رادیکال تغییر دهد. دیوان همچنین تصریح کرد که ملاحظات سیاسی و اقتصادیِ صرف، به‌تنهایی برای احراز این شرایط کافی نیست و «ثبات روابط معاهده‌ای» اقتضا می‌کند که استناد به مادهٔ ۶۲ تنها در موارد استثنایی پذیرفته شود.</w:t>
      </w:r>
      <w:r>
        <w:rPr>
          <w:rStyle w:val="FootnoteReference"/>
        </w:rPr>
        <w:footnoteReference w:id="42"/>
      </w:r>
    </w:p>
    <w:p>
      <w:pPr>
        <w:pStyle w:val="TH-Body"/>
      </w:pPr>
      <w:r>
        <w:t xml:space="preserve">نسبت با تزاحم مصلحتی.</w:t>
      </w:r>
      <w:r>
        <w:t xml:space="preserve"> نسبت میان «تغییر بنیادین اوضاع» و «تزاحم مصلحتی» فقهی، از سنخ نسبت «ضرورت» و «مصلحت» است که در گفتار چهارم فصل اول تحلیل شد: عموم و خصوص من‌وجه. وجه اشتراک: هر دو از تغییر شرایط و تأثیر آن بر تعهدات سخن می‌گویند. وجه افتراق مادهٔ ۶۲: آستانهٔ آن (بنیادین بودن + پیش‌بینی‌نشده بودن + مبنای رضایت بودن + عدم استثنا) بالاتر از آستانهٔ تزاحم فقهی (اهم بودن واقعی) است. وجه افتراق تزاحم فقهی: تزاحم می‌تواند ناشی از ضرر تدریجی و بلندمدت باشد، بی‌آن‌که «اوضاع» به معنای فنی مادهٔ ۶۲ دگرگون شده باشد. </w:t>
      </w:r>
      <w:r>
        <w:t xml:space="preserve">نتیجه:</w:t>
      </w:r>
      <w:r>
        <w:t xml:space="preserve"> مجوز فقهی، لزوماً مجوز بین‌المللی نیست؛ و حاکم باید هر دو را در کنار هم بسنجد. تفصیل این تحلیل در گفتار چهارم فصل پنجم می‌آید.</w:t>
      </w:r>
    </w:p>
    <w:p>
      <w:pPr>
        <w:pStyle w:val="TH-Band"/>
      </w:pPr>
      <w:r>
        <w:t xml:space="preserve">بند پنجم: عدم امکان اجرای بعدی و آیین ادعا</w:t>
      </w:r>
    </w:p>
    <w:p>
      <w:pPr>
        <w:pStyle w:val="TH-Body"/>
      </w:pPr>
      <w:r>
        <w:t xml:space="preserve">عدم امکان اجرای بعدی (مادهٔ ۶۱).</w:t>
      </w:r>
      <w:r>
        <w:t xml:space="preserve"> به موجب این ماده، یک طرف می‌تواند به «عدم امکان اجرا» به‌عنوان مبنایی برای خاتمه یا خروج از معاهده استناد کند، اگر این عدم امکان «ناشی از فقدان یا انهدام دائمی شیئی باشد که برای اجرای معاهده ضروری است». اگر عدم امکان، موقت باشد، تنها مجوز تعلیق است؛ و اگر نتیجهٔ نقض تعهد توسط همان طرف باشد، استناد به آن مجاز نیست.</w:t>
      </w:r>
      <w:r>
        <w:rPr>
          <w:rStyle w:val="FootnoteReference"/>
        </w:rPr>
        <w:footnoteReference w:id="43"/>
      </w:r>
    </w:p>
    <w:p>
      <w:pPr>
        <w:pStyle w:val="TH-Body"/>
      </w:pPr>
      <w:r>
        <w:t xml:space="preserve">آیین ادعا (مواد ۶۵ تا ۶۸).</w:t>
      </w:r>
      <w:r>
        <w:t xml:space="preserve"> هر ادعایی مبنی بر بی‌اعتباری معاهده یا مبنی بر خاتمه، خروج یا تعلیق اجرای آن، باید کتباً به سایر اطراف اعلام شود و در اعلامیه، اقدام پیشنهادی و دلایل آن ذکر گردد. اطراف دیگر، «نه کمتر از سه ماه» پس از دریافت اعلامیه فرصت دارند پاسخ دهند، مگر در «موارد فوریت خاص» که مهلت کوتاه‌تر مجاز است. اگر در پایان این مهلت اعتراضی نشده باشد، طرف مدعی می‌تواند اقدام پیشنهادی را به شیوهٔ مقرر در مادهٔ ۶۷ (ابزار کتبی با امضای رئیس دولت، رئیس حکومت یا وزیر امور خارجه) اعمال کند. اگر اعتراضی شده باشد، اطراف موظف‌اند از مجاری حل مسالمت‌آمیز اختلاف (مادهٔ ۳۳ منشور) بهره گیرند؛ و اعلامیه تا پیش از اثرگذاری، قابل استرداد است.</w:t>
      </w:r>
      <w:r>
        <w:rPr>
          <w:rStyle w:val="FootnoteReference"/>
        </w:rPr>
        <w:footnoteReference w:id="44"/>
      </w:r>
    </w:p>
    <w:p>
      <w:pPr>
        <w:pStyle w:val="TH-Body"/>
      </w:pPr>
      <w:r>
        <w:t xml:space="preserve">برابرنهاد فقهی و نسبت آن با مسئلهٔ حاضر.</w:t>
      </w:r>
      <w:r>
        <w:t xml:space="preserve"> آیین فوق، برابرنهاد حقوقیِ «انباذ علی سواء» در فقه امامیه است. هر دو نظام بر «اعلام آشکار و مستدل» تأکید دارند و عدول پنهانی و غافلگیرانه را نمی‌پذیرند. در آیهٔ شریفهٔ «وَإِمَّا تَخَافَنَّ مِنْ قَوْمٍ خِیَانَةً فَانْبِذْ إِلَیْهِمْ عَلَىٰ سَوَاءٍ»</w:t>
      </w:r>
      <w:r>
        <w:rPr>
          <w:rStyle w:val="FootnoteReference"/>
        </w:rPr>
        <w:footnoteReference w:id="45"/>
      </w:r>
      <w:r>
        <w:t xml:space="preserve"> مفسران امامیه در تفسیر «عَلَىٰ سَوَاءٍ» سه وجه ذکر کرده‌اند: (۱) «تا آن‌که تو و آنان در علم به برهم‌خوردن عهد برابر باشید» که وجه مشهور و برگزیده است؛</w:t>
      </w:r>
      <w:r>
        <w:rPr>
          <w:rStyle w:val="FootnoteReference"/>
        </w:rPr>
        <w:footnoteReference w:id="46"/>
      </w:r>
      <w:r>
        <w:t xml:space="preserve"> (۲) «به عدل و انصاف»؛ و (۳) «به نحو مقابله به مثل». وجه نخست با منطق مواد ۶۵ تا ۶۸ کنوانسیون وین هم‌خوانی کامل دارد؛ زیرا هر دو نظام، اطلاع متقابل و فرصت واکنش را شرط مشروعیت اعلام می‌شمارند. این هم‌خوانی، مبنای قرآنی ضابطهٔ ششم فصل چهارم است.</w:t>
      </w:r>
    </w:p>
    <w:p>
      <w:pPr>
        <w:pStyle w:val="TH-Band"/>
      </w:pPr>
      <w:r>
        <w:t xml:space="preserve">بند ششم: حق شرط و اعلامیهٔ تفسیری</w:t>
      </w:r>
    </w:p>
    <w:p>
      <w:pPr>
        <w:pStyle w:val="TH-Body"/>
      </w:pPr>
      <w:r>
        <w:t xml:space="preserve">حق شرط (reservation).</w:t>
      </w:r>
      <w:r>
        <w:t xml:space="preserve"> به موجب بند ۱ (د) مادهٔ ۲ کنوانسیون وین، حق شرط عبارت است از «اعلامیهٔ یک‌جانبه، با هر عنوان و توصیفی، که توسط یک دولت هنگام امضا، تصویب، پذیرش، تأیید یا الحاق به معاهده صادر می‌شود و به موجب آن، دولت قصد دارد اثر حقوقی مقررات معینی از معاهده را در اعمال آن نسبت به خود، منتفی سازد یا تعدیل کند».</w:t>
      </w:r>
      <w:r>
        <w:rPr>
          <w:rStyle w:val="FootnoteReference"/>
        </w:rPr>
        <w:footnoteReference w:id="47"/>
      </w:r>
      <w:r>
        <w:t xml:space="preserve"> مواد ۱۹ تا ۲۳ نظام حق شرط را تنظیم کرده‌اند: حق شرط جایز است، مگر آن‌که (الف) در خود معاهده ممنوع شده باشد؛ (ب) معاهده تنها حق شرط‌های معینی را مجاز شمرده باشد که حق شرط مورد نظر در زمرهٔ آن‌ها نباشد؛ یا (ج) در غیر این فروض، حق شرط با «موضوع و هدف معاهده» ناسازگار باشد (مادهٔ ۱۹). آثار حق شرط نسبت به دولت‌های پذیرنده و معترض، در مواد ۲۰ و ۲۱ تفکیک شده است.</w:t>
      </w:r>
    </w:p>
    <w:p>
      <w:pPr>
        <w:pStyle w:val="TH-Body"/>
      </w:pPr>
      <w:r>
        <w:t xml:space="preserve">اهمیت حق شرط برای مسئلهٔ حاضر</w:t>
      </w:r>
      <w:r>
        <w:t xml:space="preserve"> در یک گزاره خلاصه می‌شود: </w:t>
      </w:r>
      <w:r>
        <w:t xml:space="preserve">بهترین زمان مدیریت تعهد، هنگام پذیرش است، نه هنگام اجرا.</w:t>
      </w:r>
      <w:r>
        <w:t xml:space="preserve"> دولتی که هنگام پیوستن به معاهده‌ای چندجانبه، با دقت نسبت به بندهای ناسازگار با منافع حیاتی خود حق شرط بگذارد، در آینده کمتر نیازمند عدول می‌شود؛ زیرا از آغاز، دامنهٔ التزام خود را محدود ساخته است. به تعبیر دیگر، حق شرط ابزاری «پیشگیرانه» است و عدول، ابزاری «درمانی»؛ و عقلانیت حکومتی، پیشگیری را بر درمان مقدم می‌دارد. این تحلیل، مبنای راهبرد نخست از راهبردهای پنج‌گانهٔ فصل پنجم است.</w:t>
      </w:r>
    </w:p>
    <w:p>
      <w:pPr>
        <w:pStyle w:val="TH-Body"/>
      </w:pPr>
      <w:r>
        <w:t xml:space="preserve">اعلامیهٔ تفسیری (interpretive declaration).</w:t>
      </w:r>
      <w:r>
        <w:t xml:space="preserve"> اعلامیهٔ رسمی دولت است مبنی بر این‌که مقرره‌ای معین از معاهده را چنین تفسیر می‌کند. اثر حقوقی آن کمتر از حق شرط است؛ زیرا التزام را محدود نمی‌سازد، بلکه صرفاً فهم دولت را ثبت می‌کند. با این حال، اعلامیهٔ تفسیری در فرایند تفسیر (مواد ۳۱ و ۳۲) مؤثر است و در زمان بروز اختلاف، سند مهمی به شمار می‌رود. تمایز میان «حق شرط پنهان» (اعلامیه‌ای که در ماهیت، حق شرط است اما با نام اعلامیهٔ تفسیری صادر شده) و «اعلامیهٔ تفسیری واقعی» در رویهٔ بین‌المللی محل بحث است و معیار تمایز، نه نام اعلامیه، بلکه «اثر حقوقی واقعی» آن بر دامنهٔ التزام دولت است.</w:t>
      </w:r>
    </w:p>
    <w:p>
      <w:pPr>
        <w:pStyle w:val="TH-Body"/>
      </w:pPr>
      <w:r>
        <w:t xml:space="preserve">نتیجهٔ روشی برای دستگاه دیپلماسی.</w:t>
      </w:r>
      <w:r>
        <w:t xml:space="preserve"> در حقوق بین‌الملل، «واژه» بار حقوقی دارد؛ و هر سندی که دولت صادر می‌کند از اعلامیه و یادداشت تفاهم تا مصاحبهٔ رسمی مقامات عالیرتبه ممکن است روزی در فرایند تفسیر یا در مقام داوری، علیه او به‌کار رود. ازاین‌رو، دستگاه دیپلماسی باید «حقوق‌محور» باشد، نه صرفاً «سیاست‌محور»؛ و مستندسازی هوشمندانه از مرحلهٔ انعقاد، بخشی از «حقوق پیشگیرانه» است که در گفتار چهارم فصل پنجم تفصیل می‌یابد.</w:t>
      </w:r>
    </w:p>
    <w:p>
      <w:pPr>
        <w:pStyle w:val="TH-Goftar"/>
      </w:pPr>
      <w:r>
        <w:t xml:space="preserve">گفتار سوم: قواعد تفسیر معاهدات</w:t>
      </w:r>
    </w:p>
    <w:p>
      <w:pPr>
        <w:pStyle w:val="TH-Band"/>
      </w:pPr>
      <w:r>
        <w:t xml:space="preserve">بند اول: قاعدهٔ عام تفسیر (مادهٔ ۳۱)</w:t>
      </w:r>
    </w:p>
    <w:p>
      <w:pPr>
        <w:pStyle w:val="TH-Body"/>
      </w:pPr>
      <w:r>
        <w:t xml:space="preserve">پیش از آن‌که از اجرا، نقض، تعلیق و خاتمه سخن گفته شود، باید «معنای» معاهده تعیین شود؛ زیرا تا ندانیم معاهده چه می‌گوید، نمی‌توان داوری کرد که اجرا شده یا نقض. مادهٔ ۳۱ کنوانسیون وین، قاعدهٔ عام تفسیر را چنین مقرر می‌دارد: «یک معاهده باید با حسن نیت و مطابق معنای متعارفِ الفاظ آن، در سیاقشان و در پرتو موضوع و هدف معاهده تفسیر شود.» سیاق نیز به موجب بند ۲، افزون بر متن (شامل مقدمه و پیوست‌ها)، هر توافق یا سند مرتبطی را که میان همهٔ اطراف و در ارتباط با انعقاد معاهده ایجاد شده، در بر می‌گیرد. بند ۳ نیز سه عنصر تکمیلی را که «باید» همراه با سیاق لحاظ شوند، برمی‌شمرد: (الف) هر توافق بعدی میان اطراف دربارهٔ تفسیر معاهده یا اعمال مقررات آن؛ (ب) هر رفتار بعدی در اعمال معاهده که توافق اطراف دربارهٔ تفسیر آن را احراز کند؛ و (ج) هر قاعدهٔ مرتبط حقوق بین‌الملل که در روابط میان اطراف قابل اعمال باشد.</w:t>
      </w:r>
      <w:r>
        <w:rPr>
          <w:rStyle w:val="FootnoteReference"/>
        </w:rPr>
        <w:footnoteReference w:id="48"/>
      </w:r>
    </w:p>
    <w:p>
      <w:pPr>
        <w:pStyle w:val="TH-Body"/>
      </w:pPr>
      <w:r>
        <w:t xml:space="preserve">دو کاربرد مستقیم برای مسئلهٔ حاضر.</w:t>
      </w:r>
      <w:r>
        <w:t xml:space="preserve"> کاربرد نخست: هنگامی که حاکم می‌خواهد تشخیص دهد آیا رفتار مورد نظر «نقض» است یا نه، باید نخست معنای تعهد را با همین قواعد تعیین کند. چه‌بسا رفتاری که در نگاه نخست نقض به نظر می‌رسد، با تفسیر صحیح (با توجه به سیاق، موضوع و هدف معاهده) نقض نباشد؛ و چه‌بسا برعکس. ازاین‌رو، «تفسیر» مقدم بر «داوریِ نقض» است و حاکمی که بدون تفسیر دقیق حکم به جواز یا عدم جواز بدهد، شتاب کرده است. کاربرد دوم: اعلامیه‌های تفسیری دولت، دقیقاً در همین فرایند اثر می‌گذارند؛ دولتی که از آغاز تفسیر خود را مستند ثبت کرده باشد، در زمان اختلاف، پشتوانهٔ محکم‌تری دارد. تفسیر، بحثی آکادمیک و حاشیه‌ای نیست، بلکه ابزاری عملی در دست تصمیم‌گیر است.</w:t>
      </w:r>
    </w:p>
    <w:p>
      <w:pPr>
        <w:pStyle w:val="TH-Band"/>
      </w:pPr>
      <w:r>
        <w:t xml:space="preserve">بند دوم: وسایل تکمیلی تفسیر (مادهٔ ۳۲)</w:t>
      </w:r>
    </w:p>
    <w:p>
      <w:pPr>
        <w:pStyle w:val="TH-Body"/>
      </w:pPr>
      <w:r>
        <w:t xml:space="preserve">مادهٔ ۳۲ کنوانسیون وین، «وسایل تکمیلی تفسیر» را پیش‌بینی کرده است: «سوابق انعقاد معاهده» (travaux préparatoires) و «شرایطی که معاهده در آن منعقد شده است». رجوع به این وسایل، برای «تأیید معنایی که از اعمال مادهٔ ۳۱ حاصل می‌شود» یا برای «تعیین معنا هنگامی که تفسیر بر اساس مادهٔ ۳۱، معنا را مبهم یا نامفهوم بگذارد، یا به نتیجه‌ای آشکارا پوچ یا غیرمنطقی بینجامد»، مجاز است.</w:t>
      </w:r>
      <w:r>
        <w:rPr>
          <w:rStyle w:val="FootnoteReference"/>
        </w:rPr>
        <w:footnoteReference w:id="49"/>
      </w:r>
    </w:p>
    <w:p>
      <w:pPr>
        <w:pStyle w:val="TH-Body"/>
      </w:pPr>
      <w:r>
        <w:t xml:space="preserve">اهمیت برای دستگاه دیپلماسی.</w:t>
      </w:r>
      <w:r>
        <w:t xml:space="preserve"> مذاکره‌کنندگان باید بدانند که هر سندی که در فرایند مذاکره تولید می‌شود از یادداشت تفاهم و صورت‌جلسه تا پیش‌نویس‌های متوالی و مکاتبات رسمی ممکن است روزی در فرایند تفسیر به‌کار رود؛ به نفع دولت یا به زیان آن. ازاین‌رو، «مستندسازی هوشمندانه» از مرحلهٔ انعقاد، بخشی از همان حقوق پیشگیرانه است. افزون بر این، رفتار بعدی دولت در اجرای معاهده (بند ۳ (ب) مادهٔ ۳۱) نیز به‌عنوان تفسیر عملی دولت لحاظ می‌شود و پس از استقرار، نمی‌توان خلاف آن را ادعا کرد. نتیجهٔ عملی: رفتار امروز دولت، سند فردای اوست.</w:t>
      </w:r>
    </w:p>
    <w:p>
      <w:pPr>
        <w:pStyle w:val="TH-Goftar"/>
      </w:pPr>
      <w:r>
        <w:t xml:space="preserve">گفتار چهارم: اعتبار معاهدات: اهلیت، رضایت و مشروعیت موضوع</w:t>
      </w:r>
    </w:p>
    <w:p>
      <w:pPr>
        <w:pStyle w:val="TH-Band"/>
      </w:pPr>
      <w:r>
        <w:t xml:space="preserve">بند اول: ضرورت طرح بحث اعتبار در مسئلهٔ عدول</w:t>
      </w:r>
    </w:p>
    <w:p>
      <w:pPr>
        <w:pStyle w:val="TH-Body"/>
      </w:pPr>
      <w:r>
        <w:t xml:space="preserve">ممکن است پرسیده شود: بحث «اعتبار» معاهده (این‌که معاهده از آغاز صحیح منعقد شده یا نه) چه ارتباطی با بحث «عدول» دارد که فرض آن، وجود معاهدهٔ معتبر است؟ پاسخ آن است که در مواردی، آن‌چه در ظاهر «عدول» به نظر می‌رسد، در ماهیت «اعلام بی‌اعتباری» است؛ یعنی حاکم نمی‌گوید «از تعهد معتبر عدول می‌کنم»، بلکه می‌گوید «این التزام از آغاز معتبر نبوده است». این دو، هم از جهت مبنا و هم از جهت آثار متفاوت‌اند: اعلام بی‌اعتباری، تعهد را از ریشه منتفی می‌سازد و آثار گذشته را نیز تحت تأثیر قرار می‌دهد (مواد ۶۹ و ۷۱)، در حالی که عدول از معاهدهٔ معتبر، تنها آثار آتی را متوقف می‌سازد (مواد ۷۰ و ۷۲). ازاین‌رو، حاکم باید پیش از تصمیم به عدول، معاهده را از این زاویه نیز بررسی کند؛ چه‌بسا مجرای اعلام بی‌اعتباری باز باشد که هم کم‌هزینه‌تر است و هم از جهت بین‌المللی موجه‌تر. این جلوهٔ دیگری از ضابطهٔ دوم (تقدم راه کم‌هزینه‌تر) است.</w:t>
      </w:r>
    </w:p>
    <w:p>
      <w:pPr>
        <w:pStyle w:val="TH-Body"/>
      </w:pPr>
      <w:r>
        <w:t xml:space="preserve">کنوانسیون وین، اعتبار معاهده را در مواد ۴۶ تا ۵۳ بررسی کرده و سه شرط اصلی را برشمرده است: اهلیت اطراف، سلامت رضایت، و مشروعیت موضوع. هر یک در بندهای بعد تحلیل می‌شود.</w:t>
      </w:r>
    </w:p>
    <w:p>
      <w:pPr>
        <w:pStyle w:val="TH-Band"/>
      </w:pPr>
      <w:r>
        <w:t xml:space="preserve">بند دوم: اهلیت و صلاحیت انعقاد</w:t>
      </w:r>
    </w:p>
    <w:p>
      <w:pPr>
        <w:pStyle w:val="TH-Body"/>
      </w:pPr>
      <w:r>
        <w:t xml:space="preserve">به موجب مادهٔ ۶ کنوانسیون وین، «هر دولتی اهلیت انعقاد معاهدات را دارد». اما «صلاحیت» اشخاصی که به نمایندگی از دولت مذاکره، امضا یا ابراز رضایت می‌کنند، تابع مادهٔ ۷ است (ارائهٔ اختیارنامهٔ رسمی، مگر برای رؤسای دولت، رؤسای حکومت، وزرای امور خارجه و رؤسای هیئت‌های نمایندگی سیاسی) و در سطح داخلی، تابع حقوق داخلی هر دولت.</w:t>
      </w:r>
      <w:r>
        <w:rPr>
          <w:rStyle w:val="FootnoteReference"/>
        </w:rPr>
        <w:footnoteReference w:id="50"/>
      </w:r>
    </w:p>
    <w:p>
      <w:pPr>
        <w:pStyle w:val="TH-Body"/>
      </w:pPr>
      <w:r>
        <w:t xml:space="preserve">تطبیق بر نظام حقوقی ایران.</w:t>
      </w:r>
      <w:r>
        <w:t xml:space="preserve"> در نظام جمهوری اسلامی ایران، «تصویب» عهدنامه‌ها با مجلس شورای اسلامی است (اصل ۷۷) و «امضا» با رئیس‌جمهور یا نمایندهٔ قانونی او، پس از تصویب مجلس (اصل ۱۲۵).</w:t>
      </w:r>
      <w:r>
        <w:rPr>
          <w:rStyle w:val="FootnoteReference"/>
        </w:rPr>
        <w:footnoteReference w:id="51"/>
      </w:r>
      <w:r>
        <w:t xml:space="preserve"> در نتیجه، معاهده‌ای که بدون تصویب مجلس امضا و لازم‌الاجرا شده باشد، از منظر حقوق داخلی ناقص است. اما به موجب مادهٔ ۴۶، این نقص داخلی تنها در صورتی در سطح بین‌المللی قابل استناد است که «آشکار» باشد و به «قاعده‌ای بنیادین» مربوط شود؛ و تفسیر دیوان از این ماده بسیار مضیق است. نتیجهٔ عملی: دولتی که معاهده‌ای را امضا و اجرا کرده است، به‌سختی می‌تواند پس از آن به نقص تشریفات داخلی استناد کند. درس اصلی برای نظام حقوقی داخلی آن است که تشریفات باید «پیش از» التزام رعایت شود، نه «پس از» آن؛ و این وظیفهٔ مجلس شورای اسلامی، شورای نگهبان و معاونت حقوقی ریاست جمهوری در مرحلهٔ بررسی و تصویب است.</w:t>
      </w:r>
    </w:p>
    <w:p>
      <w:pPr>
        <w:pStyle w:val="TH-Band"/>
      </w:pPr>
      <w:r>
        <w:t xml:space="preserve">بند سوم: عیوب اراده</w:t>
      </w:r>
    </w:p>
    <w:p>
      <w:pPr>
        <w:pStyle w:val="TH-Body"/>
      </w:pPr>
      <w:r>
        <w:t xml:space="preserve">مهم‌ترین بخش بحث اعتبار، «عیوب اراده» است: فروضی که رضایت دولت به التزام مخدوش بوده و معاهده از آغاز معیوب است. کنوانسیون وین شش مورد را برشمرده است: اشتباه (مادهٔ ۴۸)، تدلیس (مادهٔ ۴۹)، فساد نمایندهٔ دولت (مادهٔ ۵۰)، اجبار بر نمایندهٔ دولت (مادهٔ ۵۱)، اجبار بر دولت با تهدید یا استعمال زور برخلاف اصول حقوق بین‌الملل (مادهٔ ۵۲)، و تعارض با قاعدهٔ آمره (مادهٔ ۵۳).</w:t>
      </w:r>
      <w:r>
        <w:rPr>
          <w:rStyle w:val="FootnoteReference"/>
        </w:rPr>
        <w:footnoteReference w:id="52"/>
      </w:r>
    </w:p>
    <w:p>
      <w:pPr>
        <w:pStyle w:val="TH-Body"/>
      </w:pPr>
      <w:r>
        <w:t xml:space="preserve">مورد نخست: اجبار بر دولت (مادهٔ ۵۲).</w:t>
      </w:r>
      <w:r>
        <w:t xml:space="preserve"> به موجب این ماده، «معاهده‌ای که انعقاد آن در نتیجهٔ تهدید یا استعمال زور برخلاف اصول حقوق بین‌الملل مندرج در منشور سازمان ملل متحد صورت گرفته باشد، فاقد هرگونه اثر حقوقی است». توجه به ادبیات ماده ضروری است: «فاقد هرگونه اثر حقوقی» (absolutely void)، نه «قابل ابطال». این قاعده، ریشه در ممنوعیت توسل به زور (بند ۴ مادهٔ ۲ منشور) دارد.</w:t>
      </w:r>
      <w:r>
        <w:rPr>
          <w:rStyle w:val="FootnoteReference"/>
        </w:rPr>
        <w:footnoteReference w:id="53"/>
      </w:r>
      <w:r>
        <w:t xml:space="preserve"> برای معاهداتی که قدرت‌های بزرگ در دوران ضعف بر دولت‌های ضعیف تحمیل کرده‌اند، این قاعده اهمیت تاریخی و اصولی دارد؛ هرچند از جهت حقوقی، عطف‌بماسبق شدن کنوانسیون وین (مادهٔ ۴) محل بحث است و در این رساله وارد آن نمی‌شویم. اصل قاعده، پشتوانهٔ حقوقیِ آن فهم فطری است که «پیمان تحمیلی، پیمان نیست»؛ و در فقه امامیه نیز با قاعدهٔ نفی سبیل و اصل ۱۵۳ قانون اساسی هم‌خوان است.</w:t>
      </w:r>
    </w:p>
    <w:p>
      <w:pPr>
        <w:pStyle w:val="TH-Body"/>
      </w:pPr>
      <w:r>
        <w:t xml:space="preserve">مورد دوم: تعارض با قاعدهٔ آمره (مادهٔ ۵۳).</w:t>
      </w:r>
      <w:r>
        <w:t xml:space="preserve"> به موجب این ماده، «معاهده‌ای که در زمان انعقاد با قاعدهٔ آمرهٔ حقوق بین‌الملل عام تعارض داشته باشد، باطل است». قاعدهٔ آمره، «قاعده‌ای است که مورد قبول جامعهٔ بین‌المللی دولت‌ها به‌طور اعم قرار گرفته و به‌عنوان قاعده‌ای که تخلف از آن مجاز نیست، شناخته شده و تنها توسط قاعدهٔ دیگری از حقوق بین‌الملل عام با همان ویژگی قابل تعدیل است». مادهٔ ۶۴ نیز ظهور قاعدهٔ آمرهٔ جدید را موجب خاتمهٔ معاهدات متعارض می‌داند.</w:t>
      </w:r>
      <w:r>
        <w:rPr>
          <w:rStyle w:val="FootnoteReference"/>
        </w:rPr>
        <w:footnoteReference w:id="54"/>
      </w:r>
      <w:r>
        <w:t xml:space="preserve"> این قاعده، همان «سقف» اختیار است که در ضابطهٔ هفتم فصل چهارم به آن پرداخته می‌شود و در هر دو نظام (حقوق بین‌الملل و فقه امامیه) پذیرفته شده است؛ و در مادهٔ ۲۶ طرح مواد مسئولیت نیز تکرار شده است.</w:t>
      </w:r>
    </w:p>
    <w:p>
      <w:pPr>
        <w:pStyle w:val="TH-Body"/>
      </w:pPr>
      <w:r>
        <w:t xml:space="preserve">نتیجهٔ عملی برای تصمیم‌گیر.</w:t>
      </w:r>
      <w:r>
        <w:t xml:space="preserve"> پیش از تصمیم به عدول، معاهده باید از زاویهٔ اعتبار نیز بررسی شود؛ چه‌بسا معاهده‌ای که معتبر پنداشته می‌شود، به یکی از عیوب اراده مبتلا باشد و در آن فرض، مجرای اعلام بی‌اعتباری (مواد ۶۵ تا ۶۸) باز است که هم کم‌هزینه‌تر و هم موجه‌تر است. با این حال، باید انصاف را رعایت کرد: اثبات این عیوب در مراجع بین‌المللی دشوار است و بار اثبات بر عهدهٔ دولت مدعی است؛ ازاین‌رو، نباید به‌سادگی به آن دل بست. اما به‌عنوان یکی از گزینه‌های روی میز، بررسی آن ضروری است.</w:t>
      </w:r>
    </w:p>
    <w:p>
      <w:pPr>
        <w:pStyle w:val="TH-Band"/>
      </w:pPr>
      <w:r>
        <w:t xml:space="preserve">بند چهارم: ثبت معاهدات و اثر آن (مادهٔ ۱۰۲ منشور)</w:t>
      </w:r>
    </w:p>
    <w:p>
      <w:pPr>
        <w:pStyle w:val="TH-Body"/>
      </w:pPr>
      <w:r>
        <w:t xml:space="preserve">به موجب مادهٔ ۱۰۲ منشور سازمان ملل متحد، «هر معاهده و هر توافق بین‌المللی که توسط یکی از اعضای سازمان ملل متحد پس از لازم‌الاجرا شدن منشور منعقد شود، باید در اسرع وقت در دبیرخانه ثبت و توسط آن منتشر گردد»؛ و «هیچ طرف چنین معاهده یا توافقی که ثبت نشده باشد، نمی‌تواند آن معاهده یا توافق را در برابر هر رکنی از ارکان سازمان ملل متحد مورد استناد قرار دهد».</w:t>
      </w:r>
      <w:r>
        <w:rPr>
          <w:rStyle w:val="FootnoteReference"/>
        </w:rPr>
        <w:footnoteReference w:id="55"/>
      </w:r>
      <w:r>
        <w:t xml:space="preserve"> هدف این قاعده، پایان دادن به «دیپلماسی پنهانی» و تضمین شفافیت روابط بین‌المللی بود.</w:t>
      </w:r>
    </w:p>
    <w:p>
      <w:pPr>
        <w:pStyle w:val="TH-Body"/>
      </w:pPr>
      <w:r>
        <w:t xml:space="preserve">دو نکته دربارهٔ نسبت آن با مسئلهٔ حاضر.</w:t>
      </w:r>
      <w:r>
        <w:t xml:space="preserve"> نکتهٔ نخست: ثبت، «شرط اعتبار» معاهده نیست، بلکه «شرط استنادپذیری» در برابر ارکان سازمان ملل است؛ یعنی معاهدهٔ ثبت‌نشده نیز معتبر و لازم‌الاجراست، اما در دیوان بین‌المللی دادگستری، شورای امنیت و مجمع عمومی قابل استناد نیست. نکتهٔ دوم: منطق ثبت (شفافیت) با منطق «انباذ علی سواء» در فقه امامیه هم‌خوان است؛ هر دو یک پیام دارند: روابط بین‌المللی باید شفاف باشد، هم در بستن پیمان و هم در عدول از آن. دولتی که پنهانی پیمان می‌بندد یا پنهانی از آن عدول می‌کند، در هر دو نظام مذموم است. شفافیت، زبان مشترک نظام‌های هنجاری است.</w:t>
      </w:r>
    </w:p>
    <w:p>
      <w:pPr>
        <w:pStyle w:val="TH-Goftar"/>
      </w:pPr>
      <w:r>
        <w:t xml:space="preserve">گفتار پنجم: اصول قانون اساسی مرتبط</w:t>
      </w:r>
    </w:p>
    <w:p>
      <w:pPr>
        <w:pStyle w:val="TH-Band"/>
      </w:pPr>
      <w:r>
        <w:t xml:space="preserve">بند اول: اصل ۵: تثبیت مرجعیت</w:t>
      </w:r>
    </w:p>
    <w:p>
      <w:pPr>
        <w:pStyle w:val="TH-Quote"/>
      </w:pPr>
      <w:r>
        <w:t xml:space="preserve">«در زمان غیبت حضرت ولی عصر (عجل الله تعالی فرجه) در جمهوری اسلامی ایران ولایت امر و امامت امت بر عهده فقیه عادل و باتقوی، آگاه به زمان، شجاع، مدیر و مدبر است که طبق اصل یکصد و هفتم عهده‌دار آن می‌گردد.»</w:t>
      </w:r>
      <w:r>
        <w:rPr>
          <w:rStyle w:val="FootnoteReference"/>
        </w:rPr>
        <w:footnoteReference w:id="56"/>
      </w:r>
    </w:p>
    <w:p>
      <w:pPr>
        <w:pStyle w:val="TH-Body"/>
      </w:pPr>
      <w:r>
        <w:t xml:space="preserve">دلالت این اصل بر مسئلهٔ حاضر، «مبنایی» است</w:t>
      </w:r>
      <w:r>
        <w:t xml:space="preserve">: مستقیم در اثبات مرجعیت ولی فقیه، و غیرمستقیم در مسئلهٔ خاص معاهدات. اصل ۵ نشان می‌دهد که «ولی فقیه» در این رساله، نهادی شناخته‌شده و رسمی در نظام حقوقی ایران است، نه مقامی فراقانونی. تصریح این نکته ضروری است، زیرا بخشی از تحلیل‌های رایج خواسته یا ناخواسته چنان سخن می‌گویند که گویی ولی فقیه بیرون از قانون اساسی ایستاده است؛ در حالی که اصل ۵ دقیقاً خلاف آن را می‌گوید: ولی فقیه درون قانون اساسی است و مشروعیت نهادی او از همین اصل ناشی می‌شود. اما این اصل دربارهٔ «گسترهٔ اختیارات» ساکت است و تفصیل آن را به اصول دیگر واگذار کرده است؛ پس اثبات‌کنندهٔ «اصل مرجعیت» است، نه تعیین‌کنندهٔ «حدود» آن. حدود را باید در اصول ۵۷ و ۱۱۰ جست‌وجو کرد.</w:t>
      </w:r>
    </w:p>
    <w:p>
      <w:pPr>
        <w:pStyle w:val="TH-Band"/>
      </w:pPr>
      <w:r>
        <w:t xml:space="preserve">بند دوم: اصل ۵۷: ولایت مطلقه و قید آن</w:t>
      </w:r>
    </w:p>
    <w:p>
      <w:pPr>
        <w:pStyle w:val="TH-Quote"/>
      </w:pPr>
      <w:r>
        <w:t xml:space="preserve">«قوای حاکم در جمهوری اسلامی ایران عبارتند از: قوه مقننه، قوه مجریه و قوه قضائیه که زیر نظر ولایت مطلقه امر و امامت امت بر طبق اصول آینده این قانون اعمال می‌گردند…»</w:t>
      </w:r>
      <w:r>
        <w:rPr>
          <w:rStyle w:val="FootnoteReference"/>
        </w:rPr>
        <w:footnoteReference w:id="57"/>
      </w:r>
    </w:p>
    <w:p>
      <w:pPr>
        <w:pStyle w:val="TH-Body"/>
      </w:pPr>
      <w:r>
        <w:t xml:space="preserve">دو عبارت در این اصل تعیین‌کننده‌اند: «ولایت مطلقهٔ امر و امامت امت» و «بر طبق اصول آینده این قانون». دیدگاه توسعه‌گرا به عبارت نخست استناد می‌کند و «مطلقه» را دلالت‌گر عدم محدودیت و فراتر از نصوص می‌داند؛ دیدگاه حصرگرا به عبارت دوم استناد می‌کند و آن را مقیدکنندهٔ اطلاق ولایت به اصول مندرج در قانون اساسی (از جمله اصل ۱۱۰) می‌شمارد. هر دو استناد وجهی دارد و هر دو یک‌سونگر است. داوری منصفانه میان این دو دیدگاه، به گفتار پنجم فصل پنجم واگذار می‌شود. در این مرحله تنها این ثبت می‌گردد که اصل ۵۷، «اصل مرجعیت نهایی» ولی فقیه بر همهٔ قوا از جمله قوهٔ مقننه (تصویب‌کنندهٔ معاهده) و قوهٔ مجریه (مجری آن) را تثبیت می‌کند؛ اما «شیوهٔ اعمال» این مرجعیت در حوزهٔ خاص معاهدات را تعیین نمی‌کند.</w:t>
      </w:r>
    </w:p>
    <w:p>
      <w:pPr>
        <w:pStyle w:val="TH-Band"/>
      </w:pPr>
      <w:r>
        <w:t xml:space="preserve">بند سوم: اصول ۷۷ و ۱۲۵: ورود به التزام</w:t>
      </w:r>
    </w:p>
    <w:p>
      <w:pPr>
        <w:pStyle w:val="TH-Quote"/>
      </w:pPr>
      <w:r>
        <w:t xml:space="preserve">اصل ۷۷: «عهدنامه‌ها، مقاوله‌نامه‌ها، قراردادها و موافقت‌نامه‌های بین‌المللی باید به تصویب مجلس شورای اسلامی برسد.»</w:t>
      </w:r>
      <w:r>
        <w:rPr>
          <w:rStyle w:val="FootnoteReference"/>
        </w:rPr>
        <w:footnoteReference w:id="58"/>
      </w:r>
    </w:p>
    <w:p>
      <w:pPr>
        <w:pStyle w:val="TH-Quote"/>
      </w:pPr>
      <w:r>
        <w:t xml:space="preserve">اصل ۱۲۵: «امضا عهدنامه‌ها، مقاوله‌نامه‌ها، موافقت‌نامه‌ها و قراردادهای دولت ایران با سایر دولت‌ها و همچنین امضا پیمان‌های مربوط به اتحادیه‌های بین‌المللی پس از تصویب مجلس شورای اسلامی با رئیس جمهور یا نماینده قانونی اوست.»</w:t>
      </w:r>
      <w:r>
        <w:rPr>
          <w:rStyle w:val="FootnoteReference"/>
        </w:rPr>
        <w:footnoteReference w:id="59"/>
      </w:r>
    </w:p>
    <w:p>
      <w:pPr>
        <w:pStyle w:val="TH-Body"/>
      </w:pPr>
      <w:r>
        <w:t xml:space="preserve">نکتهٔ تعیین‌کننده:</w:t>
      </w:r>
      <w:r>
        <w:t xml:space="preserve"> هر دو اصل ناظر به مرحلهٔ «ورود به التزام»‌اند، نه مرحلهٔ «خروج از التزام». قانون اساسی دربارهٔ این‌که خروج از التزام بین‌المللی (تعلیق، خاتمه یا خروج) در صلاحیت کدام مرجع است، سکوت اختیار کرده است. همین سکوت، فضای استنباط این پژوهش را می‌سازد: آیا باید از قاعدهٔ «وحدت مجرا» نتیجه گرفت که مرجع ایجادکنندهٔ التزام (مجلس)، صلاحیت رفع آن را نیز دارد؟ یا از قاعدهٔ «تفکیک مجرا» نتیجه گرفت که خروج از التزام، تصمیمی حاکمیتی‌امنیتی است و در صلاحیت ولی فقیه قرار دارد؟ هر دو استنباط در گفتار پنجم فصل پنجم به نحو منصفانه بررسی و داوری می‌شود. در این مرحله، تنها سکوت قانون اساسی ثبت می‌گردد؛ سکوتی که هم فرصت استنباط است و هم زمینهٔ مناقشهٔ نهادی.</w:t>
      </w:r>
    </w:p>
    <w:p>
      <w:pPr>
        <w:pStyle w:val="TH-Band"/>
      </w:pPr>
      <w:r>
        <w:t xml:space="preserve">بند چهارم: اصول ۱۱۰ و ۱۱۲: اختیارات رهبری و نهاد مصلحت‌سنجی</w:t>
      </w:r>
    </w:p>
    <w:p>
      <w:pPr>
        <w:pStyle w:val="TH-Body"/>
      </w:pPr>
      <w:r>
        <w:t xml:space="preserve">اصل ۱۱۰ قانون اساسی، وظایف و اختیارات رهبری را در یازده بند برشمرده است: (۱) تعیین سیاست‌های کلی نظام جمهوری اسلامی ایران پس از مشورت با مجمع تشخیص مصلحت نظام؛ (۲) نظارت بر حسن اجرای سیاست‌های کلی نظام؛ (۳) فرمان همه‌پرسی؛ (۴) فرماندهی کل نیروهای مسلح؛ (۵) اعلان جنگ و صلح و بسیج نیروها؛ (۶) نصب و عزل و قبول استعفای مقامات عالی (فقهای شورای نگهبان، رئیس قوهٔ قضائیه، رئیس سازمان صدا و سیما، رئیس ستاد مشترک، فرمانده کل سپاه پاسداران انقلاب اسلامی و فرماندهان عالی نیروهای نظامی و انتظامی)؛ (۷) حل اختلاف و تنظیم روابط قوای سه‌گانه؛ (۸) حل معضلات نظام که از طرق عادی قابل حل نیست، از طریق مجمع تشخیص مصلحت نظام؛ (۹) امضای حکم ریاست جمهوری پس از انتخاب مردم؛ (۱۰) عزل رئیس‌جمهور با در نظر گرفتن مصالح کشور، پس از رأی دیوان عالی کشور به تخلف او از وظایف قانونی یا رأی مجلس شورای اسلامی به عدم کفایت وی؛ و (۱۱) عفو یا تخفیف مجازات محکومین در حدود موازین اسلامی، پس از پیشنهاد رئیس قوهٔ قضائیه.</w:t>
      </w:r>
      <w:r>
        <w:rPr>
          <w:rStyle w:val="FootnoteReference"/>
        </w:rPr>
        <w:footnoteReference w:id="60"/>
      </w:r>
    </w:p>
    <w:p>
      <w:pPr>
        <w:pStyle w:val="TH-Body"/>
      </w:pPr>
      <w:r>
        <w:t xml:space="preserve">واقعیت متنی که باید صریحاً ثبت شود:</w:t>
      </w:r>
      <w:r>
        <w:t xml:space="preserve"> در هیچ‌یک از این یازده بند، اختیاری دربارهٔ «معاهدات بین‌المللی» به‌صراحت ذکر نشده است. هر ادعایی مبنی بر وجود اختیار صریح رهبری دربارهٔ معاهدات در اصل ۱۱۰، خلاف واقعیت متنی قانون اساسی است. تصریح این نکته از سر مخالفت با توسعهٔ اختیارات رهبری نیست که خود این رساله قائل به اختیار ضمنی و ولایی است بلکه از سر امانت علمی است؛ زیرا بنای استدلال بر مقدمهٔ خلاف واقع، هرچقدر هم نتیجهٔ آن مطلوب باشد، روش علمی نیست. پرسش صحیح، پس از این تصحیح، چنین است: آیا اختیار رهبری در حوزهٔ معاهدات را می‌توان از «بندهای عام» این اصل (به‌ویژه بندهای ۱، ۵، ۷ و ۸) یا از اصول دیگر استنباط کرد؟ پاسخ این رساله مثبت است و در گفتار پنجم فصل پنجم استدلال می‌شود.</w:t>
      </w:r>
    </w:p>
    <w:p>
      <w:pPr>
        <w:pStyle w:val="TH-Body"/>
      </w:pPr>
      <w:r>
        <w:t xml:space="preserve">اصل ۱۱۲</w:t>
      </w:r>
      <w:r>
        <w:t xml:space="preserve"> با رسمیت بخشیدن به «مجمع تشخیص مصلحت نظام» به‌عنوان نهاد تخصصی مصلحت‌سنجی، نشان می‌دهد که نظام قانون اساسی، «مصلحت» را به‌عنوان مبنای تصمیم‌گیری فوق‌العاده پذیرفته و برای تشخیص کارشناسی آن، نهادی در تراز عالی پیش‌بینی کرده است.</w:t>
      </w:r>
      <w:r>
        <w:rPr>
          <w:rStyle w:val="FootnoteReference"/>
        </w:rPr>
        <w:footnoteReference w:id="61"/>
      </w:r>
      <w:r>
        <w:t xml:space="preserve"> نسبت این نهاد با تشخیص شخص ولی فقیه چنان‌که در ضابطهٔ سوم فصل چهارم تبیین می‌شود نسبت «کارشناسی تخصصی» به «تصمیم نهایی» است: مجمع، مصلحت را کارشناسی می‌کند و ولی فقیه تصمیم نهایی را می‌گیرد. این تقسیم کار نهادی، از حکمت‌های قانون اساسی شمرده می‌شود؛ زیرا هم از خودسری جلوگیری می‌کند و هم از فلج تصمیم‌گیری.</w:t>
      </w:r>
    </w:p>
    <w:p>
      <w:pPr>
        <w:pStyle w:val="TH-Band"/>
      </w:pPr>
      <w:r>
        <w:t xml:space="preserve">بند پنجم: اصول ۱۵۲ تا ۱۵۴ و ۱۷۶: جهت‌گیری سیاست خارجی</w:t>
      </w:r>
    </w:p>
    <w:p>
      <w:pPr>
        <w:pStyle w:val="TH-Body"/>
      </w:pPr>
      <w:r>
        <w:t xml:space="preserve">سه اصل ۱۵۲، ۱۵۳ و ۱۵۴، «چارچوب ارزشی» سیاست خارجی جمهوری اسلامی ایران‌اند و هر تصمیمی در این عرصه از جمله تصمیم مورد بحث این رساله باید با آن‌ها سازگار باشد.</w:t>
      </w:r>
    </w:p>
    <w:p>
      <w:pPr>
        <w:pStyle w:val="TH-Body"/>
      </w:pPr>
      <w:r>
        <w:t xml:space="preserve">اصل ۱۵۲</w:t>
      </w:r>
      <w:r>
        <w:t xml:space="preserve"> مبانی سیاست خارجی را برمی‌شمرد: نفی هرگونه سلطه‌جویی و سلطه‌پذیری، حفظ استقلال همه‌جانبه و تمامیت ارضی کشور، دفاع از حقوق همهٔ مسلمانان، عدم تعهد در برابر قدرت‌های سلطه‌گر، و روابط صلح‌آمیز متقابل با دول غیرمحارب.</w:t>
      </w:r>
      <w:r>
        <w:rPr>
          <w:rStyle w:val="FootnoteReference"/>
        </w:rPr>
        <w:footnoteReference w:id="62"/>
      </w:r>
      <w:r>
        <w:t xml:space="preserve"> دو قید این اصل برای مسئلهٔ حاضر تعیین‌کننده است: «عدم تعهد در برابر قدرت‌های سلطه‌گر» یعنی معاهده‌ای که ایران را در برابر سلطه‌گران متعهد سازد، از آغاز با این اصل ناسازگار است؛ و «روابط صلح‌آمیز متقابل» یعنی انعقاد معاهده با دول غیرمحارب، اصل و مطلوب است. نتیجهٔ این دوگانگی آن است که قانون اساسی، نه انزواگراست و نه تسلیم‌پذیر، بلکه «عزت‌مدار» است؛ و همین اصل، هم مجوز عدول از معاهدهٔ سلطه‌آور است و هم مؤید وفا به معاهدهٔ عادلانه.</w:t>
      </w:r>
    </w:p>
    <w:p>
      <w:pPr>
        <w:pStyle w:val="TH-Body"/>
      </w:pPr>
      <w:r>
        <w:t xml:space="preserve">اصل ۱۵۳</w:t>
      </w:r>
      <w:r>
        <w:t xml:space="preserve"> صریح‌تر و قاطع‌تر است: «هرگونه قرارداد که موجب سلطهٔ بیگانه بر منابع طبیعی و اقتصادی، فرهنگ، ارتش و دیگر شئون کشور گردد، ممنوع است.»</w:t>
      </w:r>
      <w:r>
        <w:rPr>
          <w:rStyle w:val="FootnoteReference"/>
        </w:rPr>
        <w:footnoteReference w:id="63"/>
      </w:r>
      <w:r>
        <w:t xml:space="preserve"> این اصل، ترجمهٔ حقوقی «قاعدهٔ نفی سبیل»</w:t>
      </w:r>
      <w:r>
        <w:rPr>
          <w:rStyle w:val="FootnoteReference"/>
        </w:rPr>
        <w:footnoteReference w:id="64"/>
      </w:r>
      <w:r>
        <w:t xml:space="preserve"> در قانون اساسی است و حکم آن «ممنوعیت» است، نه صرفاً کراهت. نتیجهٔ آن برای مسئلهٔ حاضر قاطع است: اگر ادامهٔ اجرای معاهده‌ای به سلطهٔ بیگانه بینجامد یا چنین سلطه‌ای را تثبیت کند، عدول از آن نه‌تنها جایز، بلکه به مقتضای این اصل «واجب» است. و این وجوب، وجوب «قانون اساسی» است؛ یعنی بالاترین مرتبهٔ هنجاری در نظام حقوقی داخلی. در فرض سلطه‌آور بودن معاهده، هر سه سطح تحلیل هم‌جهت می‌شوند: شرعاً واجب (قاعدهٔ نفی سبیل)، قانوناً واجب (اصل ۱۵۳)، و بین‌المللاً قابل دفاع (در فرض گنجاندن در قالب نهادهای موجه حقوق معاهدات).</w:t>
      </w:r>
    </w:p>
    <w:p>
      <w:pPr>
        <w:pStyle w:val="TH-Body"/>
      </w:pPr>
      <w:r>
        <w:t xml:space="preserve">اصل ۱۵۴</w:t>
      </w:r>
      <w:r>
        <w:t xml:space="preserve"> آرمان جهانی انقلاب را بیان می‌کند: سعادت انسان در کل جامعهٔ بشری، و حمایت از مبارزات حق‌طلبانهٔ مستضعفان در برابر مستکبران، بدون دخالت در امور داخلی ملت‌ها.</w:t>
      </w:r>
      <w:r>
        <w:rPr>
          <w:rStyle w:val="FootnoteReference"/>
        </w:rPr>
        <w:footnoteReference w:id="65"/>
      </w:r>
      <w:r>
        <w:t xml:space="preserve"> دلالت این اصل بر مسئلهٔ حاضر غیرمستقیم است: معاهده‌ای که ایران را از حمایت مشروع از مظلومان باز دارد، با روح این اصل ناسازگار است و همین ناسازگاری می‌تواند جزئی از مصلحت مجوز عدول باشد. اما باید انصاف را رعایت کرد: این اصل به‌تنهایی مجوز عدول نیست، زیرا جنبهٔ آرمانی دارد، نه حکمی صریح؛ با این حال، در «ترازوی مصلحت» وزن دارد و نباید نادیده گرفته شود.</w:t>
      </w:r>
    </w:p>
    <w:p>
      <w:pPr>
        <w:pStyle w:val="TH-Body"/>
      </w:pPr>
      <w:r>
        <w:t xml:space="preserve">اصل ۱۷۶</w:t>
      </w:r>
      <w:r>
        <w:t xml:space="preserve"> شورای عالی امنیت ملی را پیش‌بینی می‌کند: شورایی به ریاست رئیس‌جمهور و با حضور سران قوا، مقامات عالی مدیریتی، نمایندگان رهبری و مقامات نظامی و امنیتی، که وظیفهٔ آن تعیین سیاست‌های دفاعی‌امنیتی کشور در چارچوب سیاست‌های کلی تعیین‌شده از سوی رهبری، هماهنگی فعالیت‌های سیاسی، اطلاعاتی، اجتماعی، فرهنگی و اقتصادی در ارتباط با تدابیر کلی دفاعی‌امنیتی، و بهره‌گیری از امکانات مادی و معنوی کشور برای مقابله با تهدیدهای داخلی و خارجی است. مصوبات این شورا پس از تأیید مقام رهبری قابل اجراست.</w:t>
      </w:r>
      <w:r>
        <w:rPr>
          <w:rStyle w:val="FootnoteReference"/>
        </w:rPr>
        <w:footnoteReference w:id="66"/>
      </w:r>
      <w:r>
        <w:t xml:space="preserve"> این شورا در مقام عمل، «مجرای نهادی» تصمیم مورد بحث این رساله است: تصمیم عدول، معمولاً در این شورا کارشناسی و صورت‌بندی می‌شود و سپس برای تأیید نهایی به مقام رهبری عرضه می‌گردد. تحلیل حقوقی کامل تصمیم، بدون فهم جایگاه این شورا ناقص است.</w:t>
      </w:r>
    </w:p>
    <w:p>
      <w:pPr>
        <w:pStyle w:val="TH-Hasel"/>
      </w:pPr>
      <w:r>
        <w:t xml:space="preserve">حاصل فصل دوم</w:t>
      </w:r>
    </w:p>
    <w:p>
      <w:pPr>
        <w:pStyle w:val="TH-Body"/>
      </w:pPr>
      <w:r>
        <w:t xml:space="preserve">حاصل این فصل، تبیین دو نظام هنجاری در دو سطح است. </w:t>
      </w:r>
      <w:r>
        <w:t xml:space="preserve">در سطح حقوق بین‌الملل:</w:t>
      </w:r>
      <w:r>
        <w:t xml:space="preserve"> اصل، وفاست (مادهٔ ۲۶) و حسن نیت در اجرا لازم است؛ توجیهات داخلی پذیرفته نیست (مادهٔ ۲۷ و مادهٔ ۳۲ طرح مواد مسئولیت)؛ خروج و تعلیق تنها از مجاری پیش‌بینی‌شده ممکن است (مواد ۵۴ تا ۶۴) و مقید به آیین ادعاست (مواد ۶۵ تا ۶۸)؛ تفسیر مقدم بر داوری نقض است (مواد ۳۱ و ۳۲)؛ و اعتبار معاهده تابع اهلیت، سلامت رضایت و مشروعیت موضوع است (مواد ۴۶ تا ۵۳).</w:t>
      </w:r>
    </w:p>
    <w:p>
      <w:pPr>
        <w:pStyle w:val="TH-Body"/>
      </w:pPr>
      <w:r>
        <w:t xml:space="preserve">در سطح قانون اساسی:</w:t>
      </w:r>
      <w:r>
        <w:t xml:space="preserve"> مرجعیت ولی فقیه مسلّم است (اصول ۵ و ۵۷)؛ ورود به التزام با مجلس و امضای آن با رئیس‌جمهور است (اصول ۷۷ و ۱۲۵)؛ اما دربارهٔ خروج از التزام، قانون اساسی ساکت است و اختیار صریحی نیز در یازده بند اصل ۱۱۰ نیامده است؛ نهاد تخصصی مصلحت‌سنجی وجود دارد (اصل ۱۱۲)؛ و چارچوب ارزشی سیاست خارجی بر نفی سلطه استوار است (اصول ۱۵۲ تا ۱۵۴) با مجرای نهادی شورای عالی امنیت ملی (اصل ۱۷۶).</w:t>
      </w:r>
    </w:p>
    <w:p>
      <w:pPr>
        <w:pStyle w:val="TH-Body"/>
      </w:pPr>
      <w:r>
        <w:t xml:space="preserve">این دو تصویر یکی از بیرون و دیگری از درون اکنون باید با تحلیل فقهی پیوند یابد: آن‌که شرع دربارهٔ وفا و عدول چه می‌گوید. این، کار دو فصل بعدی است که محور اصلی استدلال رساله‌اند.</w:t>
      </w:r>
    </w:p>
    <w:p>
      <w:pPr>
        <w:pStyle w:val="TH-Bakhsh"/>
      </w:pPr>
      <w:r>
        <w:t xml:space="preserve">بخش دوم: ادلهٔ شرعی و ضوابط عملی</w:t>
      </w:r>
    </w:p>
    <w:p>
      <w:pPr>
        <w:pStyle w:val="TH-Fasl"/>
      </w:pPr>
      <w:r>
        <w:t xml:space="preserve">فصل سوم: ادلهٔ وجوب وفای به عهد</w:t>
      </w:r>
    </w:p>
    <w:p>
      <w:pPr>
        <w:pStyle w:val="TH-Body"/>
      </w:pPr>
      <w:r>
        <w:t xml:space="preserve">پیش از ورود در بحث از جواز عدول، اثبات قاعدهٔ اولی ضروری است؛ زیرا عدول، خروج از قاعده است و خروج از قاعده‌ای که اثبات نشده باشد، بی‌معناست. بخشی از نویسندگان این حوزه، این مرحله را مختصر می‌گیرند و ادلهٔ طرف مقابل را ضعیف جلوه می‌دهند تا راه برای نتیجهٔ مطلوب هموار شود. این روش، خلاف امانت علمی و خلاف روش مصطلح حوزه است؛ زیرا در درس خارج، مدعی ابتدا دلیل خصم را با قوت اصلی آن نقل می‌کند، سپس به نقد آن می‌پردازد. روش این فصل همان است: ادلهٔ وجوب وفای به عهد با تمام قوت و گستردگی بررسی می‌شود، و استثنای آن در فصل چهارم، بر پایهٔ همین قاعدهٔ محکم استدلال خواهد شد. هرچه قاعدهٔ وفا قوی‌تر اثبات شود، استثنای مستند به آن، ارزشمندتر و قابل‌دفاع‌تر است.</w:t>
      </w:r>
    </w:p>
    <w:p>
      <w:pPr>
        <w:pStyle w:val="TH-Body"/>
      </w:pPr>
      <w:r>
        <w:t xml:space="preserve">ترتیب ادله.</w:t>
      </w:r>
      <w:r>
        <w:t xml:space="preserve"> ادله در هشت گفتار بررسی می‌شود: آیات عام وجوب وفا؛ آیات خاص جهاد و عهدنامه‌ها؛ روایات؛ سیرهٔ معصومان؛ حکم عقل و بنای عقلا؛ قواعد فقهی مؤید؛ ادلهٔ تکمیلی (امانت، سوگند، میثاق مدینه و آرای فقها)؛ و واژه‌شناسی قرآنی. این ترتیب، از قوی‌ترین دلیل (کتاب) آغاز می‌شود و به مؤیدات می‌رسد.</w:t>
      </w:r>
    </w:p>
    <w:p>
      <w:pPr>
        <w:pStyle w:val="TH-Goftar"/>
      </w:pPr>
      <w:r>
        <w:t xml:space="preserve">گفتار اول: آیات عام وجوب وفا</w:t>
      </w:r>
    </w:p>
    <w:p>
      <w:pPr>
        <w:pStyle w:val="TH-Band"/>
      </w:pPr>
      <w:r>
        <w:t xml:space="preserve">بند اول: آیهٔ «أَوْفُوا بِالْعُقُودِ»: امّ ادلهٔ باب</w:t>
      </w:r>
    </w:p>
    <w:p>
      <w:pPr>
        <w:pStyle w:val="TH-Ayah"/>
      </w:pPr>
      <w:r>
        <w:t xml:space="preserve">يَا أَيُّهَا الَّذِينَ آمَنُوا أَوْفُوا بِالْعُقُودِ</w:t>
      </w:r>
    </w:p>
    <w:p>
      <w:pPr>
        <w:pStyle w:val="TH-Trans"/>
      </w:pPr>
      <w:r>
        <w:t xml:space="preserve">«ای کسانی که ایمان آورده‌اید، به پیمان‌ها وفا کنید.» (مائده: ۱)</w:t>
      </w:r>
      <w:r>
        <w:rPr>
          <w:rStyle w:val="FootnoteReference"/>
        </w:rPr>
        <w:footnoteReference w:id="67"/>
      </w:r>
    </w:p>
    <w:p>
      <w:pPr>
        <w:pStyle w:val="TH-Body"/>
      </w:pPr>
      <w:r>
        <w:t xml:space="preserve">این آیه، «امّ ادلهٔ باب» است؛ آیه‌ای که فقهای امامیه در هر بحثی از عقود و تعهدات، نخست به آن استناد کرده‌اند.</w:t>
      </w:r>
      <w:r>
        <w:rPr>
          <w:rStyle w:val="FootnoteReference"/>
        </w:rPr>
        <w:footnoteReference w:id="68"/>
      </w:r>
      <w:r>
        <w:t xml:space="preserve"> تحلیل دلالی آن در چهار مرحله صورت می‌گیرد:</w:t>
      </w:r>
    </w:p>
    <w:p>
      <w:pPr>
        <w:pStyle w:val="TH-Body"/>
      </w:pPr>
      <w:r>
        <w:t xml:space="preserve">مرحلهٔ نخست: دلالت صیغهٔ امر.</w:t>
      </w:r>
      <w:r>
        <w:t xml:space="preserve"> «أَوْفُوا» صیغهٔ امر است و ظاهر امر چنان‌که در اصول ثابت شده وجوب است، مگر آن‌که قرینه‌ای بر خلاف آن وجود داشته باشد.</w:t>
      </w:r>
      <w:r>
        <w:rPr>
          <w:rStyle w:val="FootnoteReference"/>
        </w:rPr>
        <w:footnoteReference w:id="69"/>
      </w:r>
      <w:r>
        <w:t xml:space="preserve"> در این‌جا هیچ قرینهٔ صارفه‌ای در سیاق آیه یافت نمی‌شود؛ بلکه سیاق، با ذکر نقض عهد به‌عنوان صفت منافقان و با نکوهش صریح خائنان در آیات دیگر، مؤید وجوب است.</w:t>
      </w:r>
    </w:p>
    <w:p>
      <w:pPr>
        <w:pStyle w:val="TH-Body"/>
      </w:pPr>
      <w:r>
        <w:t xml:space="preserve">مرحلهٔ دوم: دلالت «العقود» بر عموم.</w:t>
      </w:r>
      <w:r>
        <w:t xml:space="preserve"> «العقود» جمع مکسر محلّی به الف و لام است. در اصول فقه، دربارهٔ دلالت جمع محلّی به لام بر عموم، دو دیدگاه وجود دارد: دیدگاه مشهور آن است که جمع محلّی به لام، همچون مفرد محلّی به لام، برای استغراق وضع شده و افادهٔ عموم می‌کند؛ و دیدگاه دیگر آن است که دلالت آن بر عموم، از مجرای مقدمات حکمت است، نه وضع.</w:t>
      </w:r>
      <w:r>
        <w:rPr>
          <w:rStyle w:val="FootnoteReference"/>
        </w:rPr>
        <w:footnoteReference w:id="70"/>
      </w:r>
      <w:r>
        <w:t xml:space="preserve"> بر هر دو دیدگاه، نتیجه در ما نحن فیه یکی است؛ زیرا حتی بر دیدگاه دوم نیز، با نبود هیچ قرینهٔ مقیده، مقدمات حکمت تمام است و اطلاق حاصل می‌شود. ازاین‌رو، مفاد آیه چنین است: وفای به همهٔ عقود، بر همهٔ مؤمنان واجب است.</w:t>
      </w:r>
    </w:p>
    <w:p>
      <w:pPr>
        <w:pStyle w:val="TH-Body"/>
      </w:pPr>
      <w:r>
        <w:t xml:space="preserve">مرحلهٔ سوم: قلمرو واژهٔ «عقد».</w:t>
      </w:r>
      <w:r>
        <w:t xml:space="preserve"> پرسش اصلی آن است که «عقد» در آیه، به معنای اصطلاحی فقهی (عقد معاوضی خصوصی چون بیع و اجاره) اراده شده یا به معنای لغوی عام (هر پیمان و التزام استوار)؟ در واژه‌شناسی قرآنی (گفتار هشتم این فصل) تبیین می‌شود که «عقد» در اصل لغت به معنای «گره زدن و استوار ساختن» است و در قرآن نیز در معنای عام به‌کار رفته است. ازاین‌رو، انصراف آیه به عقود معاوضی خصوصی، فاقد شاهد است؛ و معاهدهٔ بین‌المللی دولت اسلامی که عقدی است میان دولت اسلامی و دولت‌های دیگر و به طریق اولی از جهت استحکام و رسمیت بر عقود خصوصی مقدم است در این عموم قرار می‌گیرد.</w:t>
      </w:r>
    </w:p>
    <w:p>
      <w:pPr>
        <w:pStyle w:val="TH-Body"/>
      </w:pPr>
      <w:r>
        <w:t xml:space="preserve">مرحلهٔ چهارم: اشکال مقدّر و پاسخ.</w:t>
      </w:r>
      <w:r>
        <w:t xml:space="preserve"> ممکن است اشکال شود که مخاطب آیه «افراد مؤمن»‌اند، نه «دولت»؛ و دولت، شخصیت حقوقی متأخری است که در عصر نزول متصور نبوده است. پاسخ در دو لایه است. </w:t>
      </w:r>
      <w:r>
        <w:t xml:space="preserve">لایهٔ نخست:</w:t>
      </w:r>
      <w:r>
        <w:t xml:space="preserve"> احکام شرعی متوجه مکلفان است و دولت اسلامی، مجموعهٔ مکلفانی است که در قالب نهادی عمل می‌کنند؛ و حاکم اسلامی که به نمایندگی از امت پیمان می‌بندد، در حکم نمایندهٔ آنان در این التزام است. التزامی که به نمایندگی از جمع ایجاد شود، بر همهٔ آنان اثر دارد و وفای به آن بر همه واجب است. </w:t>
      </w:r>
      <w:r>
        <w:t xml:space="preserve">لایهٔ دوم و محکم‌تر:</w:t>
      </w:r>
      <w:r>
        <w:t xml:space="preserve"> سیرهٔ پیامبر اکرم (ص) و امیرالمؤمنین (ع) چنان‌که در گفتار چهارم می‌آید نشان می‌دهد که عهدنامه‌های حکومتی نیز مشمول وجوب وفا دانسته می‌شدند؛ و سیرهٔ معصوم، مفسر عملی نصوص است. ازاین‌رو، اشکال وارد نیست؛ اما طرح آن ضروری بود، زیرا نشان می‌دهد که استناد به آیه در مسئلهٔ حاضر، نیازمند این واسطه‌هاست و استناد مستقیم و بی‌واسطه نیست. همین دقت‌هاست که مرز کار علمی از کار تبلیغی را تعیین می‌کند.</w:t>
      </w:r>
    </w:p>
    <w:p>
      <w:pPr>
        <w:pStyle w:val="TH-Band"/>
      </w:pPr>
      <w:r>
        <w:t xml:space="preserve">بند دوم: آیات نحل، اسراء، رعد و مؤمنون</w:t>
      </w:r>
    </w:p>
    <w:p>
      <w:pPr>
        <w:pStyle w:val="TH-Ayah"/>
      </w:pPr>
      <w:r>
        <w:t xml:space="preserve">وَأَوْفُوا بِعَهْدِ اللَّهِ إِذَا عَاهَدْتُمْ وَلَا تَنقُضُوا الْأَيْمَانَ بَعْدَ تَوْكِيدِهَا وَقَدْ جَعَلْتُمُ اللَّهَ عَلَيْكُمْ كَفِيلًا</w:t>
      </w:r>
    </w:p>
    <w:p>
      <w:pPr>
        <w:pStyle w:val="TH-Trans"/>
      </w:pPr>
      <w:r>
        <w:t xml:space="preserve">«و چون پیمان بستید، به پیمان خدا وفا کنید، و سوگندها را پس از استوار ساختن نشکنید، در حالی که خدا را بر خود ضامن قرار داده‌اید.» (نحل: ۹۱)</w:t>
      </w:r>
      <w:r>
        <w:rPr>
          <w:rStyle w:val="FootnoteReference"/>
        </w:rPr>
        <w:footnoteReference w:id="71"/>
      </w:r>
    </w:p>
    <w:p>
      <w:pPr>
        <w:pStyle w:val="TH-Body"/>
      </w:pPr>
      <w:r>
        <w:t xml:space="preserve">دلالت این آیه از دو جهت بر آیهٔ پیشین افزوده است. </w:t>
      </w:r>
      <w:r>
        <w:t xml:space="preserve">جهت نخست:</w:t>
      </w:r>
      <w:r>
        <w:t xml:space="preserve"> قید «إِذَا عَاهَدْتُمْ» صریحاً ناظر به «پیمان بستن» است، نه صرفاً عقود معاوضی؛ و واژهٔ «عاهدتم» که بر وزن مفاعله است، بر دوسویه بودن و توافقی بودن دلالت دارد. این، نزدیک‌ترین واژهٔ قرآنی به «معاهده» در اصطلاح حقوقی معاصر است. </w:t>
      </w:r>
      <w:r>
        <w:t xml:space="preserve">جهت دوم:</w:t>
      </w:r>
      <w:r>
        <w:t xml:space="preserve"> عبارت «وَقَدْ جَعَلْتُمُ اللَّهَ عَلَیْکُمْ کَفِیلًا» نشان می‌دهد که در پیمان، خداوند به‌عنوان ضامن و ناظر لحاظ شده است؛ و نقض آن، نقض تعهد در برابر خداست، نه تنها در برابر طرف مقابل. این بُعد، قبح نقض را فراتر از زیان دنیوی می‌برد.</w:t>
      </w:r>
    </w:p>
    <w:p>
      <w:pPr>
        <w:pStyle w:val="TH-Ayah"/>
      </w:pPr>
      <w:r>
        <w:t xml:space="preserve">وَلَا تَكُونُوا كَالَّتِي نَقَضَتْ غَزْلَهَا مِن بَعْدِ قُوَّةٍ أَنكَاثًا</w:t>
      </w:r>
    </w:p>
    <w:p>
      <w:pPr>
        <w:pStyle w:val="TH-Trans"/>
      </w:pPr>
      <w:r>
        <w:t xml:space="preserve">«و مانند آن زن مباشید که رشتهٔ خود را پس از استواری، باز می‌تابید.» (نحل: ۹۲)</w:t>
      </w:r>
      <w:r>
        <w:rPr>
          <w:rStyle w:val="FootnoteReference"/>
        </w:rPr>
        <w:footnoteReference w:id="72"/>
      </w:r>
    </w:p>
    <w:p>
      <w:pPr>
        <w:pStyle w:val="TH-Body"/>
      </w:pPr>
      <w:r>
        <w:t xml:space="preserve">این آیه، قبح عقلی نقض عهد را با تمثیل بیان می‌کند: عهدشکنی، عملی عبث و نابخردانه است؛ زیرا رشته‌ای را که خود تابیده‌ای، باز می‌گشایی. علامه طباطبایی در المیزان، این تمثیل را به نقض پیمان‌های اجتماعی و سیاسی تفسیر کرده و آن را نشانهٔ فقدان استواری در شخصیت جمعی دانسته است.</w:t>
      </w:r>
      <w:r>
        <w:rPr>
          <w:rStyle w:val="FootnoteReference"/>
        </w:rPr>
        <w:footnoteReference w:id="73"/>
      </w:r>
      <w:r>
        <w:t xml:space="preserve"> اهمیت استدلالی این آیه آن است که «قبح عقلی» را تأیید می‌کند؛ و این، پل میان دلیل نقلی و دلیل عقلی (گفتار پنجم) است.</w:t>
      </w:r>
    </w:p>
    <w:p>
      <w:pPr>
        <w:pStyle w:val="TH-Ayah"/>
      </w:pPr>
      <w:r>
        <w:t xml:space="preserve">وَأَوْفُوا بِالْعَهْدِ ۖ إِنَّ الْعَهْدَ كَانَ مَسْئُولًا</w:t>
      </w:r>
    </w:p>
    <w:p>
      <w:pPr>
        <w:pStyle w:val="TH-Trans"/>
      </w:pPr>
      <w:r>
        <w:t xml:space="preserve">«و به پیمان وفا کنید؛ زیرا از پیمان پرسش خواهد شد.» (اسراء: ۳۴)</w:t>
      </w:r>
      <w:r>
        <w:rPr>
          <w:rStyle w:val="FootnoteReference"/>
        </w:rPr>
        <w:footnoteReference w:id="74"/>
      </w:r>
    </w:p>
    <w:p>
      <w:pPr>
        <w:pStyle w:val="TH-Body"/>
      </w:pPr>
      <w:r>
        <w:t xml:space="preserve">عبارت «إِنَّ الْعَهْدَ کَانَ مَسْئُولًا» دلالت بر مسئولیت‌پذیری در برابر عهد دارد؛ یعنی عهد، در محکمهٔ الهی مورد پرسش قرار می‌گیرد. این آیه، از جهت دلالت بر «مسئولیت» با منطق حقوق بین‌الملل که مسئولیت را ضمانت اجرای تعهد می‌داند، هم‌خوان است؛ با این تفاوت که در آیه، مسئولیت اخروی است و در حقوق بین‌الملل، مسئولیت حقوقی.</w:t>
      </w:r>
    </w:p>
    <w:p>
      <w:pPr>
        <w:pStyle w:val="TH-Ayah"/>
      </w:pPr>
      <w:r>
        <w:t xml:space="preserve">الَّذِينَ يُوفُونَ بِعَهْدِ اللَّهِ وَلَا يَنقُضُونَ الْمِيثَاقَ</w:t>
      </w:r>
    </w:p>
    <w:p>
      <w:pPr>
        <w:pStyle w:val="TH-Trans"/>
      </w:pPr>
      <w:r>
        <w:t xml:space="preserve">«آنان که به پیمان خدا وفا می‌کنند و میثاق را نمی‌شکنند.» (رعد: ۲۰)</w:t>
      </w:r>
      <w:r>
        <w:rPr>
          <w:rStyle w:val="FootnoteReference"/>
        </w:rPr>
        <w:footnoteReference w:id="75"/>
      </w:r>
    </w:p>
    <w:p>
      <w:pPr>
        <w:pStyle w:val="TH-Body"/>
      </w:pPr>
      <w:r>
        <w:t xml:space="preserve">آیات ۲۰ تا ۲۵ سورهٔ رعد، اوصاف «اولی‌الالباب» را برمی‌شمرد و وفای به عهد و عدم نقض میثاق را در زمرهٔ آن اوصاف قرار می‌دهد؛ و در آیهٔ ۲۵، نقض میثاق را به «قطع آنچه خدا فرمان به وصل آن داده» و «فساد در زمین» تعبیر کرده و لعنت الهی را بر آن وعده داده است. سیاق این آیات نشان می‌دهد که نقض عهد، تنها گناه فردی نیست، بلکه از مصادیق «فساد در زمین» شمرده شده است؛ و این توصیف، با ماهیت اجتماعی و سیاسی عهد در سطح حکومتی سازگار است.</w:t>
      </w:r>
    </w:p>
    <w:p>
      <w:pPr>
        <w:pStyle w:val="TH-Ayah"/>
      </w:pPr>
      <w:r>
        <w:t xml:space="preserve">وَالَّذِينَ هُمْ لِأَمَانَتِهِمْ وَعَهْدِهِمْ رَاعُونَ</w:t>
      </w:r>
    </w:p>
    <w:p>
      <w:pPr>
        <w:pStyle w:val="TH-Trans"/>
      </w:pPr>
      <w:r>
        <w:t xml:space="preserve">«و آنان که امانت‌ها و پیمان خود را رعایت می‌کنند.» (مؤمنون: ۸؛ و معارج: ۳۲)</w:t>
      </w:r>
      <w:r>
        <w:rPr>
          <w:rStyle w:val="FootnoteReference"/>
        </w:rPr>
        <w:footnoteReference w:id="76"/>
      </w:r>
    </w:p>
    <w:p>
      <w:pPr>
        <w:pStyle w:val="TH-Body"/>
      </w:pPr>
      <w:r>
        <w:t xml:space="preserve">تکرار این وصف در دو سورهٔ مکی، و قرار گرفتن آن در میان اوصاف مؤمنان وارث فردوس، نشان دهندهٔ اهمیت بنیادین آن در نظام ارزشی قرآن است. واژهٔ «راعون» از «رعایت» است و دلالت بر مراقبت مستمر و پایدار دارد؛ نه صرف ادای یک‌بارهٔ تعهد. این دلالت برای معاهدات بلندمدت که اجرای آن‌ها مستمر است، از جهت تطبیق مناسب‌تر است.</w:t>
      </w:r>
    </w:p>
    <w:p>
      <w:pPr>
        <w:pStyle w:val="TH-Band"/>
      </w:pPr>
      <w:r>
        <w:t xml:space="preserve">بند سوم: دفع یک توهم: عموم یا اطلاق؟</w:t>
      </w:r>
    </w:p>
    <w:p>
      <w:pPr>
        <w:pStyle w:val="TH-Body"/>
      </w:pPr>
      <w:r>
        <w:t xml:space="preserve">ممکن است توهم شود که میان دو تعبیر «عموم» و «اطلاق» در این آیات، تفاوتی استدلالی وجود دارد که در نتیجهٔ بحث اثر بگذارد. دفع این توهم ضروری است:</w:t>
      </w:r>
    </w:p>
    <w:p>
      <w:pPr>
        <w:pStyle w:val="TH-Body"/>
      </w:pPr>
      <w:r>
        <w:t xml:space="preserve">تفاوت مفهومی.</w:t>
      </w:r>
      <w:r>
        <w:t xml:space="preserve"> «عموم» (universal) آن است که حکم، افراد زیادی را به نحو شمول در بر گیرد و خروج هر فرد نیازمند «تخصیص» باشد. «اطلاق» (absolute) آن است که حکم، نسبت به خصوصیات و حالات موضوع مقید نشده باشد و تقیید آن نیازمند «قرینه» است. در ما نحن فیه، «العقود» جمع محلّی به لام است و از جهت «افراد عقد» عموم دارد؛ و «أوفوا» از جهت «حالات و شرایط وفا» اطلاق دارد.</w:t>
      </w:r>
    </w:p>
    <w:p>
      <w:pPr>
        <w:pStyle w:val="TH-Body"/>
      </w:pPr>
      <w:r>
        <w:t xml:space="preserve">اثر این تفکیک بر مسئلهٔ حاضر.</w:t>
      </w:r>
      <w:r>
        <w:t xml:space="preserve"> اگر درگیری میان وجوب وفا و وجوب حفظ نظام از سنخ «تعارض» باشد، راه‌حل، تخصیص ادلهٔ وفاست؛ و تخصیص، قاعده را می‌شکند و ادلهٔ عام را نسبت به مورد استثنائی خارج می‌سازد. اما اگر درگیری از سنخ «تزاحم» باشد، ادلهٔ وفا بر عموم و اطلاق خود باقی می‌مانند و تنها در مقام امتثال، حکم اهم مقدم می‌شود. این رساله در فصل چهارم نشان می‌دهد که درگیری از سنخ تزاحم است؛ و از همین‌رو، نه به تخصیص ادلهٔ وفا نیاز است و نه قاعدهٔ وفا تضعیف می‌شود. تفکیک مفهومی فوق، مقدمات آن استدلال است و از همین‌رو در این مرحله ذکر شد.</w:t>
      </w:r>
    </w:p>
    <w:p>
      <w:pPr>
        <w:pStyle w:val="TH-Body"/>
      </w:pPr>
      <w:r>
        <w:t xml:space="preserve">نتیجهٔ گفتار اول.</w:t>
      </w:r>
      <w:r>
        <w:t xml:space="preserve"> پنج آیهٔ عام (مائده/۱، نحل/۹۱–۹۲، اسراء/۳۴، رعد/۲۰–۲۵ و مؤمنون/۸) بر وجوب وفای به عهد دلالت دارند؛ دلالتی که از مجرای ظهور صیغهٔ امر در وجوب و عموم یا اطلاق متعلق حاصل می‌شود و شامل معاهدات بین‌المللی دولت اسلامی نیز می‌گردد. این دلالت، مقید به «شرایط عادی» است و در فرض تزاحم با مصلحت اهم، تحلیل آن در فصل چهارم می‌آید.</w:t>
      </w:r>
    </w:p>
    <w:p>
      <w:pPr>
        <w:pStyle w:val="TH-Goftar"/>
      </w:pPr>
      <w:r>
        <w:t xml:space="preserve">گفتار دوم: آیات خاص جهاد و عهدنامه‌ها</w:t>
      </w:r>
    </w:p>
    <w:p>
      <w:pPr>
        <w:pStyle w:val="TH-Band"/>
      </w:pPr>
      <w:r>
        <w:t xml:space="preserve">بند اول: آیات سورهٔ توبه: وفا در برابر استقامت</w:t>
      </w:r>
    </w:p>
    <w:p>
      <w:pPr>
        <w:pStyle w:val="TH-Ayah"/>
      </w:pPr>
      <w:r>
        <w:t xml:space="preserve">إِلَّا الَّذِينَ عَاهَدْتُمْ مِنَ الْمُشْرِكِينَ ثُمَّ لَمْ يَنْقُصُوكُمْ شَيْئًا وَلَمْ يُظَاهِرُوا عَلَيْكُمْ أَحَدًا فَأَتِمُّوا إِلَيْهِمْ عَهْدَهُمْ إِلَىٰ مُدَّتِهِمْ ۚ إِنَّ اللَّهَ يُحِبُّ الْمُتَّقِينَ</w:t>
      </w:r>
    </w:p>
    <w:p>
      <w:pPr>
        <w:pStyle w:val="TH-Trans"/>
      </w:pPr>
      <w:r>
        <w:t xml:space="preserve">«مگر کسانی از مشرکان که با آنان پیمان بسته‌اید و سپس چیزی از شما نکاسته و هیچ کس را بر ضد شما یاری نداده‌اند؛ پس پیمان آنان را تا پایان مدتش کامل نمایید؛ زیرا خداوند پرهیزکاران را دوست دارد.» (توبه: ۴)</w:t>
      </w:r>
      <w:r>
        <w:rPr>
          <w:rStyle w:val="FootnoteReference"/>
        </w:rPr>
        <w:footnoteReference w:id="77"/>
      </w:r>
    </w:p>
    <w:p>
      <w:pPr>
        <w:pStyle w:val="TH-Body"/>
      </w:pPr>
      <w:r>
        <w:t xml:space="preserve">این آیه، از جهت استدلالی، یکی از دقیق‌ترین نصوص باب است؛ زیرا صریحاً میان مشرکان ناقض و مشرکان غیرناقض تفکیک می‌کند و وفای به عهد گروه دوم را حتی در شرایط اعلان عمومی برائت از گروه نخست، واجب می‌شمارد. سه نکته از این آیه استخراج می‌شود:</w:t>
      </w:r>
    </w:p>
    <w:p>
      <w:pPr>
        <w:pStyle w:val="TH-Body"/>
      </w:pPr>
      <w:r>
        <w:t xml:space="preserve">نکتهٔ نخست: عموم قاعدهٔ وفا نسبت به غیرمسلمان.</w:t>
      </w:r>
      <w:r>
        <w:t xml:space="preserve"> آیه، وفای به عهد با مشرکان را واجب می‌داند؛ یعنی قلمرو قاعدهٔ وفا، محدود به مسلمانان نیست. این، اوج جهان‌شمولی اخلاق عهد در اسلام است و با قاعدهٔ «ذمهٔ مسلمانان واحد است» و با امان‌های فردی (گفتار پنجم فصل اول) هم‌خوان است.</w:t>
      </w:r>
    </w:p>
    <w:p>
      <w:pPr>
        <w:pStyle w:val="TH-Body"/>
      </w:pPr>
      <w:r>
        <w:t xml:space="preserve">نکتهٔ دوم: قید «إِلَىٰ مُدَّتِهِمْ» و دلالت آن بر لزوم.</w:t>
      </w:r>
      <w:r>
        <w:t xml:space="preserve"> عبارت «پیمان آنان را تا پایان مدتش کامل نمایید» دلالت بر آن دارد که اصل بر استمرار عهد تا پایان مدت است و پایان‌بخشی پیش از موعد، نیازمند دلیل است. این، مؤید قاعدهٔ «اصالة اللزوم» (گفتار ششم) است.</w:t>
      </w:r>
    </w:p>
    <w:p>
      <w:pPr>
        <w:pStyle w:val="TH-Body"/>
      </w:pPr>
      <w:r>
        <w:t xml:space="preserve">نکتهٔ سوم: دو شرط استثناء.</w:t>
      </w:r>
      <w:r>
        <w:t xml:space="preserve"> آیه، وفای به عهد را مقید به دو شرط کرده است: «لَمْ یَنْقُصُوکُمْ شَیْئًا» (نکاستن از تعهدات) و «لَمْ یُظَاهِرُوا عَلَیْکُمْ أَحَدًا» (یاری نکردن دشمن). انتفای هر یک از این دو شرط، عهد را از اعتبار می‌اندازد. این منطق، اساس «عدول واکنشی» (مرتبهٔ چهارم از مراتب پنج‌گانه) است و با منطق مادهٔ ۶۰ کنوانسیون وین (نقض اساسی طرف مقابل) هم‌خوان است.</w:t>
      </w:r>
    </w:p>
    <w:p>
      <w:pPr>
        <w:pStyle w:val="TH-Ayah"/>
      </w:pPr>
      <w:r>
        <w:t xml:space="preserve">كَيْفَ يَكُونُ لِلْمُشْرِكِينَ عَهْدٌ عِنْدَ اللَّهِ وَعِنْدَ رَسُولِهِ إِلَّا الَّذِينَ عَاهَدْتُمْ عِنْدَ الْمَسْجِدِ الْحَرَامِ ۖ فَمَا اسْتَقَامُوا لَكُمْ فَاسْتَقِيمُوا لَهُمْ ۚ إِنَّ اللَّهَ يُحِبُّ الْمُتَّقِينَ</w:t>
      </w:r>
    </w:p>
    <w:p>
      <w:pPr>
        <w:pStyle w:val="TH-Trans"/>
      </w:pPr>
      <w:r>
        <w:t xml:space="preserve">«چگونه برای مشرکان پیمانی نزد خدا و رسولش باشد، مگر کسانی که در مسجدالحرام با آنان پیمان بستید؟ پس تا زمانی که آنان برای شما استقامت کنند، شما نیز برای آنان استقامت کنید؛ زیرا خداوند پرهیزکاران را دوست دارد.» (توبه: ۷)</w:t>
      </w:r>
      <w:r>
        <w:rPr>
          <w:rStyle w:val="FootnoteReference"/>
        </w:rPr>
        <w:footnoteReference w:id="78"/>
      </w:r>
    </w:p>
    <w:p>
      <w:pPr>
        <w:pStyle w:val="TH-Body"/>
      </w:pPr>
      <w:r>
        <w:t xml:space="preserve">عبارت «فَمَا اسْتَقَامُوا لَکُمْ فَاسْتَقِیمُوا لَهُمْ» صریح‌ترین نص قرآنی بر اصل «تقابل» در عهدنامه‌هاست: استمرار وفای شما، مقید به استمرار وفای آنان است. این، مبنای قرآنی دو نهاد حقوقی معاصر است: مادهٔ ۶۰ کنوانسیون وین (نقض اساسی طرف مقابل) و مواد ۴۹ تا ۵۴ طرح مواد مسئولیت (اقدام متقابل). اما باید توجه داشت که این آیه، مجوز «عدول بی‌ضابطه» نیست؛ زیرا استقامت طرف مقابل، باید احراز شود و احراز آن نیازمند مستند است. احراز یک‌جانبه و بی‌مستند، خود می‌تواند مصداق نقض باشد.</w:t>
      </w:r>
    </w:p>
    <w:p>
      <w:pPr>
        <w:pStyle w:val="TH-Band"/>
      </w:pPr>
      <w:r>
        <w:t xml:space="preserve">بند دوم: آیات سورهٔ انفال: انباذ و استنصار</w:t>
      </w:r>
    </w:p>
    <w:p>
      <w:pPr>
        <w:pStyle w:val="TH-Ayah"/>
      </w:pPr>
      <w:r>
        <w:t xml:space="preserve">وَإِمَّا تَخَافَنَّ مِنْ قَوْمٍ خِيَانَةً فَانْبِذْ إِلَيْهِمْ عَلَىٰ سَوَاءٍ ۚ إِنَّ اللَّهَ لَا يُحِبُّ الْخَائِنِينَ</w:t>
      </w:r>
    </w:p>
    <w:p>
      <w:pPr>
        <w:pStyle w:val="TH-Trans"/>
      </w:pPr>
      <w:r>
        <w:t xml:space="preserve">«و اگر از خیانت قومی بیم داری، پیمان را به‌طور برابر به سوی آنان بازافکن؛ زیرا خداوند خائنان را دوست ندارد.» (انفال: ۵۸)</w:t>
      </w:r>
      <w:r>
        <w:rPr>
          <w:rStyle w:val="FootnoteReference"/>
        </w:rPr>
        <w:footnoteReference w:id="79"/>
      </w:r>
    </w:p>
    <w:p>
      <w:pPr>
        <w:pStyle w:val="TH-Body"/>
      </w:pPr>
      <w:r>
        <w:t xml:space="preserve">اهمیت این آیه.</w:t>
      </w:r>
      <w:r>
        <w:t xml:space="preserve"> این آیه، مهم‌ترین نص قرآنی دربارهٔ «صورت» عدول است؛ زیرا تکلیف حاکم را در فرض بیم خیانت مشخص می‌کند: نه آن‌که پنهانی نقض کند، و نه آن‌که صبر کند تا خیانت واقع شود، بلکه «انباذ علی سواء»؛ یعنی اعلام آشکار برهم‌خوردن عهد، به نحوی که هر دو طرف در علم به آن برابر باشند.</w:t>
      </w:r>
    </w:p>
    <w:p>
      <w:pPr>
        <w:pStyle w:val="TH-Body"/>
      </w:pPr>
      <w:r>
        <w:t xml:space="preserve">تحلیل واژه‌ها.</w:t>
      </w:r>
      <w:r>
        <w:t xml:space="preserve"> «تَخَافَنَّ» از خوف است و در سیاق آیه به معنای «علم یا ظن قوی مبتنی بر قرائن» است، نه ترس بی‌مستند؛ زیرا آیه با «مِنْ قَوْمٍ خِیَانَةً» مقید شده و دلالت دارد که بیم، مبتنی بر نشانه‌های خیانت است. این قید، مبنای ضابطهٔ نخست فصل چهارم (لزوم احراز تزاحم واقعی با مستند) است. «فَانْبِذْ» از نبذ به معنای افکندن است و در سیاق آیه، کنایه از اعلام آشکار برهم‌زدن عهد. و «عَلَىٰ سَوَاءٍ» را مفسران امامیه به سه وجه تفسیر کرده‌اند: (۱) «تا آن‌که تو و آنان در علم به برهم‌خوردن عهد برابر باشید» وجه مشهور؛</w:t>
      </w:r>
      <w:r>
        <w:rPr>
          <w:rStyle w:val="FootnoteReference"/>
        </w:rPr>
        <w:footnoteReference w:id="80"/>
      </w:r>
      <w:r>
        <w:t xml:space="preserve"> (۲) «به عدل و انصاف»؛ و (۳) «به نحو مقابله به مثل». وجه نخست برگزیده است، زیرا با سیاق آیه و با قاعدهٔ قبح غدر سازگارتر است؛ و دو وجه دیگر نیز با آن منافاتی ندارند، بلکه مؤید آن‌اند.</w:t>
      </w:r>
    </w:p>
    <w:p>
      <w:pPr>
        <w:pStyle w:val="TH-Body"/>
      </w:pPr>
      <w:r>
        <w:t xml:space="preserve">سه نتیجهٔ استدلالی.</w:t>
      </w:r>
      <w:r>
        <w:t xml:space="preserve"> نخست، آیه دلالت دارد که حتی در فرض وجود مجوز عدول، «شیوهٔ» عدول نیز مقید به ضابطه است: شفاف، آشکار و منصفانه. دوم، عبارت «إِنَّ اللَّهَ لَا یُحِبُّ الْخَائِنِینَ» نشان می‌دهد که عدول پنهانی و غافلگیرانه، در زمرهٔ خیانت است؛ حتی اگر طرف مقابل دشمن باشد و حتی اگر مجوز ماهوی عدول موجود باشد. سوم، این آیه مبنای قرآنی ضابطهٔ ششم فصل چهارم (انباذ علی سواء) است و با آیین ادعای مواد ۶۵ تا ۶۸ کنوانسیون وین هم‌خوانی کامل دارد (فصل دوم، گفتار دوم، بند پنجم).</w:t>
      </w:r>
    </w:p>
    <w:p>
      <w:pPr>
        <w:pStyle w:val="TH-Ayah"/>
      </w:pPr>
      <w:r>
        <w:t xml:space="preserve">وَإِنِ اسْتَنْصَرُوكُمْ فِي الدِّينِ فَعَلَيْكُمُ النَّصْرُ إِلَّا عَلَىٰ قَوْمٍ بَيْنَكُمْ وَبَيْنَهُمْ مِيثَاقٌ</w:t>
      </w:r>
    </w:p>
    <w:p>
      <w:pPr>
        <w:pStyle w:val="TH-Trans"/>
      </w:pPr>
      <w:r>
        <w:t xml:space="preserve">«و اگر در [کار] دین از شما یاری خواستند، یاری کردنشان بر شماست، مگر بر قومی که میان شما و آنان پیمانی است.» (انفال: ۷۲)</w:t>
      </w:r>
      <w:r>
        <w:rPr>
          <w:rStyle w:val="FootnoteReference"/>
        </w:rPr>
        <w:footnoteReference w:id="81"/>
      </w:r>
    </w:p>
    <w:p>
      <w:pPr>
        <w:pStyle w:val="TH-Body"/>
      </w:pPr>
      <w:r>
        <w:t xml:space="preserve">این آیه، نکته‌ای ظریف و از جهت استدلالی بسیار مهم دارد: حتی «نصرت دینی» که از واجبات قطعی است در برابر «میثاق» متوقف می‌شود. یعنی اگر با قومی پیمان بسته باشید، نمی‌توانید به بهانهٔ یاری مسلمانان تحت ستم آن قوم، پیمان خود را بشکنید. دلالت آیه بر قوت وجوب وفا، از جهت اولویت روشن است: وقتی واجب قطعی چون نصرت دینی در برابر میثاق متوقف می‌شود، واجبات کم‌اهمیت‌تر به طریق اولی متوقف می‌شوند. </w:t>
      </w:r>
      <w:r>
        <w:t xml:space="preserve">نتیجهٔ استدلالی:</w:t>
      </w:r>
      <w:r>
        <w:t xml:space="preserve"> مجوز عدول، اگر ثابت شود، باید از سنخ «اهم» باشد؛ و این، مبنای ضابطهٔ نخست فصل چهارم (احراز تزاحم واقعی با مصلحت اهم) است. مصلحتی که هم‌سنگ نصرت دینی نباشد، مجوز عدول نیست.</w:t>
      </w:r>
    </w:p>
    <w:p>
      <w:pPr>
        <w:pStyle w:val="TH-Goftar"/>
      </w:pPr>
      <w:r>
        <w:t xml:space="preserve">گفتار سوم: روایات وفای به عهد</w:t>
      </w:r>
    </w:p>
    <w:p>
      <w:pPr>
        <w:pStyle w:val="TH-Band"/>
      </w:pPr>
      <w:r>
        <w:t xml:space="preserve">بند اول: حدیث شروط: «المؤمنون عند شروطهم»</w:t>
      </w:r>
    </w:p>
    <w:p>
      <w:pPr>
        <w:pStyle w:val="TH-Riwayah"/>
      </w:pPr>
      <w:r>
        <w:t xml:space="preserve">الْمُؤْمِنُونَ عِنْدَ شُرُوطِهِمْ؛ و در روایت دیگر: الْمُسْلِمُونَ عِنْدَ شُرُوطِهِمْ إِلَّا كُلَّ شَرْطٍ خَالَفَ كِتَابَ اللَّهِ عَزَّ وَ جَلَّ</w:t>
      </w:r>
    </w:p>
    <w:p>
      <w:pPr>
        <w:pStyle w:val="TH-Trans"/>
      </w:pPr>
      <w:r>
        <w:t xml:space="preserve">«مؤمنان نزد شروط خود هستند»؛ و «مسلمانان نزد شروط خود هستند، مگر هر شرطی که مخالف کتاب خدای عزوجل باشد.»</w:t>
      </w:r>
    </w:p>
    <w:p>
      <w:pPr>
        <w:pStyle w:val="TH-Body"/>
      </w:pPr>
      <w:r>
        <w:t xml:space="preserve">بررسی سندی.</w:t>
      </w:r>
      <w:r>
        <w:t xml:space="preserve"> این حدیث با طرق متعدد و در جوامع حدیثی مختلف نقل شده است: در الکافی (از عدهٔ اصحاب، از سهل بن زیاد، از احمد بن حسن بن علی، از عمرو بن سعید، از مصدق بن صدقه، از عمار ساباطی، از امام صادق (ع))، در من لا یحضره الفقیه، در تهذیب الاحکام و در وسائل الشیعه.</w:t>
      </w:r>
      <w:r>
        <w:rPr>
          <w:rStyle w:val="FootnoteReference"/>
        </w:rPr>
        <w:footnoteReference w:id="82"/>
      </w:r>
      <w:r>
        <w:t xml:space="preserve"> در بعضی طرق، راویانی چون سهل بن زیاد و عمار ساباطی قرار دارند که در ارزیابی رجالیون محل بحث‌اند: سهل بن زیاد از جهت وثاقت مورد اختلاف است (برخی او را تضعیف و برخی توثیق کرده‌اند) و عمار ساباطی فطحی بوده اما ثقه شمرده شده است.</w:t>
      </w:r>
      <w:r>
        <w:rPr>
          <w:rStyle w:val="FootnoteReference"/>
        </w:rPr>
        <w:footnoteReference w:id="83"/>
      </w:r>
      <w:r>
        <w:t xml:space="preserve"> با این حال، دو نکته ضعف سندی بعضی طرق را جبران می‌کند: </w:t>
      </w:r>
      <w:r>
        <w:t xml:space="preserve">نخست،</w:t>
      </w:r>
      <w:r>
        <w:t xml:space="preserve"> حدیث از جهت نقل، «مشهور» بلکه «مستفیض» است و تعدد طرق، موجب اطمینان به صدور می‌شود؛ و در اصول فقه ثابت است که شهرت روایی، ضعف سندی را جبران می‌کند. </w:t>
      </w:r>
      <w:r>
        <w:t xml:space="preserve">دوم،</w:t>
      </w:r>
      <w:r>
        <w:t xml:space="preserve"> مضمون حدیث با آیات عام وجوب وفا (گفتار نخست) و با بنای عقلا (گفتار پنجم) موافق است و مخالفتی با ضرورت‌های دین ندارد؛ و موافقت با کتاب، از مرجحات است.</w:t>
      </w:r>
    </w:p>
    <w:p>
      <w:pPr>
        <w:pStyle w:val="TH-Body"/>
      </w:pPr>
      <w:r>
        <w:t xml:space="preserve">بررسی دلالی.</w:t>
      </w:r>
      <w:r>
        <w:t xml:space="preserve"> جمله «المؤمنون عند شروطهم» جملهٔ خبری است، اما در مقام انشا به‌کار رفته است؛ یعنی «باید پایبند شروط خود باشند». این شیوهٔ بیان، در زبان عرب برای تأکید بر لزوم، رایج است و دلالت آن بر وجوب، از دلالت صیغهٔ امر قوی‌تر است؛ زیرا خبر، وقوع متعلق را مفروض می‌گیرد. پرسش اصلی از جهت دلالی آن است که آیا «شروط» شامل شروط حکومتی و بین‌المللی نیز می‌شود یا منحصر به شروط خصوصی است؟ پاسخ: لفظ «شروط» مطلق است و هیچ قرینهٔ مقیده‌ای در کلام وجود ندارد؛ و اطلاق، مقتضی شمول است. افزون بر این، قید «إِلَّا کُلَّ شَرْطٍ خَالَفَ کِتَابَ اللَّهِ» دلالت بر آن دارد که دایرهٔ شروط، وسعتی دارد که حتی شروط حکومتی را در بر می‌گیرد؛ زیرا استثنا، تنها شروط مخالف کتاب خدا را خارج کرده است. </w:t>
      </w:r>
      <w:r>
        <w:t xml:space="preserve">اما</w:t>
      </w:r>
      <w:r>
        <w:t xml:space="preserve"> این شمول، همچون شمول آیات، در فرض «شرایط عادی» است و در فرض تزاحم با مصلحت اهم، تحلیل آن در فصل چهارم می‌آید. همچنین، خود قید «خلاف کتاب الله» دال بر آن است که شرطی که ادامهٔ آن موجب ضرر جدی به نظام اسلامی که حفظش از اوجب واجبات است باشد، در دایرهٔ شروط نافذ قرار نمی‌گیرد.</w:t>
      </w:r>
    </w:p>
    <w:p>
      <w:pPr>
        <w:pStyle w:val="TH-Band"/>
      </w:pPr>
      <w:r>
        <w:t xml:space="preserve">بند دوم: عهدنامهٔ مالک اشتر: منشور حکومتی وفای به عهد</w:t>
      </w:r>
    </w:p>
    <w:p>
      <w:pPr>
        <w:pStyle w:val="TH-Body"/>
      </w:pPr>
      <w:r>
        <w:t xml:space="preserve">عهدنامهٔ امیرالمؤمنین (ع) به مالک اشتر هنگامی که او را به استانداری مصر گماشت (نامهٔ ۵۳ نهج‌البلاغه)، مهم‌ترین سند روایی حکومتی در این حوزه است. اهمیت ویژهٔ آن از دو جهت است: </w:t>
      </w:r>
      <w:r>
        <w:t xml:space="preserve">نخست،</w:t>
      </w:r>
      <w:r>
        <w:t xml:space="preserve"> مخاطب آن نه فرد عادی، بلکه «حاکم» است؛ و ازاین‌رو، احکام آن ناظر به تکالیف حکومتی است، نه تکالیف شخصی. </w:t>
      </w:r>
      <w:r>
        <w:t xml:space="preserve">دوم،</w:t>
      </w:r>
      <w:r>
        <w:t xml:space="preserve"> این عهدنامه به‌طور مستقل و مفصل دربارهٔ وفای به عهد در سطح حکومتی سخن گفته و قواعد آن را تبیین کرده است.</w:t>
      </w:r>
      <w:r>
        <w:rPr>
          <w:rStyle w:val="FootnoteReference"/>
        </w:rPr>
        <w:footnoteReference w:id="84"/>
      </w:r>
    </w:p>
    <w:p>
      <w:pPr>
        <w:pStyle w:val="TH-Riwayah"/>
      </w:pPr>
      <w:r>
        <w:t xml:space="preserve">وَإِنْ عَقَدْتَ بَيْنَكَ وَبَيْنَ عَدُوِّكَ عُقْدَةً أَوْ أَلْبَسْتَهُ مِنْكَ ذِمَّةً فَحُطْ عَهْدَكَ بِالْوَفَاءِ وَارْعَ ذِمَّتَكَ بِالْأَمَانَةِ وَاجْعَلْ نَفْسَكَ جُنَّةً دُونَمَا أَعْطَيْتَ</w:t>
      </w:r>
    </w:p>
    <w:p>
      <w:pPr>
        <w:pStyle w:val="TH-Trans"/>
      </w:pPr>
      <w:r>
        <w:t xml:space="preserve">«و اگر میان خود و دشمنت پیمانی بستی، یا ذمه‌ای از سوی خود بر گردن او نهادی، عهدت را با وفا بپوشان، و ذمه‌ات را با امانتداری رعایت کن، و خود را سپر آنچه داده‌ای قرار ده.»</w:t>
      </w:r>
    </w:p>
    <w:p>
      <w:pPr>
        <w:pStyle w:val="TH-Body"/>
      </w:pPr>
      <w:r>
        <w:t xml:space="preserve">تحلیل دلالی این فراز.</w:t>
      </w:r>
      <w:r>
        <w:t xml:space="preserve"> سه تعبیر در این فراز حائز اهمیت است: «فَحُطْ عَهْدَکَ بِالْوَفَاءِ» (عهد را با وفا بپوشان) که دلالت بر محافظت همه‌جانبه و مستمر دارد؛ «وَارْعَ ذِمَّتَکَ بِالْأَمَانَةِ» که وفای به عهد را در زمرهٔ امانت‌داری قرار می‌دهد؛ و «وَاجْعَلْ نَفْسَکَ جُنَّةً دُونَمَا أَعْطَیْتَ» (خود را سپر آنچه داده‌ای قرار ده) که دلالت بر آن دارد که وفای حاکم به عهد، حتی به قیمت ضرر شخصی او نیز واجب است. این تعبیر اخیر، از جهت استدلالی بسیار قوی است؛ زیرا نشان می‌دهد که در منطق علوی، «ضرر» به‌تنهایی مجوز نقض عهد نیست و حاکم باید خود را در برابر ضرر، سپر عهد خویش سازد. این، قید مهمی بر قاعدهٔ لاضرر است که در فصل چهارم تحلیل می‌شود: ضرری مجوز عدول است که به «نظام و امت» باشد، نه ضرر شخصی حاکم و نه هر ضرر جزئی.</w:t>
      </w:r>
    </w:p>
    <w:p>
      <w:pPr>
        <w:pStyle w:val="TH-Riwayah"/>
      </w:pPr>
      <w:r>
        <w:t xml:space="preserve">فَإِنَّهُ لَيْسَ مِنْ فَرَائِضِ اللَّهِ سُبْحَانَهُ شَيْءٌ النَّاسُ أَشَدُّ عَلَيْهِ اجْتِمَاعاً مَعَ تَفَرُّقِ أَهْوَائِهِمْ وَتَشَتُّتِ آرَائِهِمْ مِنْ تَعْظِيمِ الْوَفَاءِ بِالْعُهُودِ وَقَدْ لَزِمَ ذَلِكَ الْمُشْرِكُونَ فِيمَا بَيْنَهُمْ دُونَ الْمُسْلِمِينَ لِمَا اسْتَوْبَلُوا مِنْ عَوَاقِبِ الْغَدْرِ فَلَا تَغْدِرَنَّ بِذِمَّتِكَ وَلَا تَخِيسَنَّ بِعَهْدِكَ وَلَا تَخْتِلَنَّ عَدُوَّكَ فَإِنَّهُ لَا يَجْتَرِئُ عَلَى اللَّهِ إِلَّا جَاهِلٌ شَقِيٌّ</w:t>
      </w:r>
    </w:p>
    <w:p>
      <w:pPr>
        <w:pStyle w:val="TH-Trans"/>
      </w:pPr>
      <w:r>
        <w:t xml:space="preserve">«زیرا از میان فرائض الهی، هیچ چیز نیست که مردم با وجود پراکندگی هواها و پراکندگی آرا بر آن همداستان‌تر باشند تا بر تعظیم وفای به عهد. و مشرکان نیز این اصل را در میان خود لازم شمرده‌اند، [حتی] پیش از مسلمانان، به‌دلیل آن‌که تلخی عواقب غدر را چشیده‌اند. پس هرگز به ذمهٔ خود خیانت مکن، و به عهد خود وفا بشکن، و دشمنت را مفریب؛ زیرا جز جاهل شقاوت‌پیشه، کسی بر خدا جرأت نمی‌کند.»</w:t>
      </w:r>
    </w:p>
    <w:p>
      <w:pPr>
        <w:pStyle w:val="TH-Body"/>
      </w:pPr>
      <w:r>
        <w:t xml:space="preserve">اهمیت استدلالی این فراز، در سه جهت است.</w:t>
      </w:r>
      <w:r>
        <w:t xml:space="preserve"> </w:t>
      </w:r>
      <w:r>
        <w:t xml:space="preserve">جهت نخست (استناد به بنای عقلا):</w:t>
      </w:r>
      <w:r>
        <w:t xml:space="preserve"> عبارت «النَّاسُ أَشَدُّ عَلَیْهِ اجْتِمَاعاً مَعَ تَفَرُّقِ أَهْوَائِهِمْ وَتَشَتُّتِ آرَائِهِمْ» صریحاً به اجماع عملی مردم با وجود اختلاف هواها و آرا اشاره دارد؛ و این، همان «بنای عقلا» است که در اصول فقه، در فرض عدم ردع شارع، حجت شمرده می‌شود. امام در این فراز، خود به بنای عقلا استدلال کرده است؛ و این، قوی‌ترین شاهد بر امضای شرع بر این بناست. </w:t>
      </w:r>
      <w:r>
        <w:t xml:space="preserve">جهت دوم (جهان‌شمولی):</w:t>
      </w:r>
      <w:r>
        <w:t xml:space="preserve"> عبارت «وَقَدْ لَزِمَ ذَلِکَ الْمُشْرِکُونَ فِیمَا بَیْنَهُمْ دُونَ الْمُسْلِمِینَ» نشان می‌دهد که حتی مشرکان نیز این اصل را در روابط متقابل خود لازم شمرده‌اند؛ یعنی وفای به عهد، قاعده‌ای فرادینی و فرا‌اسلامی است و اعتبار آن محدود به روابط میان مسلمانان نیست. این، مؤید آن است که قاعدهٔ وفا در روابط بین‌المللی دولت اسلامی با دولت‌های غیرمسلمان نیز جاری است. </w:t>
      </w:r>
      <w:r>
        <w:t xml:space="preserve">جهت سوم (علت‌سنجی عقلانی):</w:t>
      </w:r>
      <w:r>
        <w:t xml:space="preserve"> عبارت «لِمَا اسْتَوْبَلُوا مِنْ عَوَاقِبِ الْغَدْرِ» (به‌دلیل آن‌که تلخی عواقب غدر را چشیدند) نشان می‌دهد که مبنای این بنا، تجربهٔ عقلانی بشر از پیامدهای غدر است؛ و این، همان استدلال عقلی گفتار پنجم است که از زبان معصوم بیان شده است.</w:t>
      </w:r>
    </w:p>
    <w:p>
      <w:pPr>
        <w:pStyle w:val="TH-Body"/>
      </w:pPr>
      <w:r>
        <w:t xml:space="preserve">اما نکتهٔ مهم و مکمل:</w:t>
      </w:r>
      <w:r>
        <w:t xml:space="preserve"> همین عهدنامه، در فرازهای دیگر، مصلحت‌سنجی و تدبیر حکومتی را نیز از وظایف حاکم می‌شمارد و امیرالمؤمنین (ع) خود در عمل چنان‌که در گفتار چهارم می‌آید در مقام تزاحم، تصمیم‌هایی گرفت که صورت عدول داشت. ازاین‌رو، عهدنامهٔ مالک باید «مجموعی» خوانده شود، نه گزینشی: هم وفای به عهد، هم تدبیر و مصلحت‌سنجی؛ و جمع میان این دو، در قاعدهٔ تزاحم صورت می‌گیرد. خوانش گزینشی چه در جهت وفای مطلق و چه در جهت مصلحت مطلق خلاف امانت در نقل نص است.</w:t>
      </w:r>
    </w:p>
    <w:p>
      <w:pPr>
        <w:pStyle w:val="TH-Band"/>
      </w:pPr>
      <w:r>
        <w:t xml:space="preserve">بند سوم: سایر روایات: نکوهش غدر و عهدشکنی</w:t>
      </w:r>
    </w:p>
    <w:p>
      <w:pPr>
        <w:pStyle w:val="TH-Riwayah"/>
      </w:pPr>
      <w:r>
        <w:t xml:space="preserve">لَا إِيمَانَ لِمَنْ لَا أَمَانَةَ لَهُ وَلَا دِينَ لِمَنْ لَا عَهْدَ لَهُ</w:t>
      </w:r>
    </w:p>
    <w:p>
      <w:pPr>
        <w:pStyle w:val="TH-Trans"/>
      </w:pPr>
      <w:r>
        <w:t xml:space="preserve">«کسی که امانت‌دار نیست، ایمان ندارد؛ و کسی که عهد ندارد، دین ندارد.»</w:t>
      </w:r>
    </w:p>
    <w:p>
      <w:pPr>
        <w:pStyle w:val="TH-Body"/>
      </w:pPr>
      <w:r>
        <w:t xml:space="preserve">این روایت از پیامبر اکرم (ص)، در جوامع حدیثی امامیه نقل شده است.</w:t>
      </w:r>
      <w:r>
        <w:rPr>
          <w:rStyle w:val="FootnoteReference"/>
        </w:rPr>
        <w:footnoteReference w:id="85"/>
      </w:r>
      <w:r>
        <w:t xml:space="preserve"> دلالت آن از جهت «نفی دین از ناقض عهد» بسیار قوی است؛ زیرا نفی دین، بالاترین درجهٔ نکوهش شرعی است. لحن عام روایت (عدم تقیید به عقود خصوصی) نشان می‌دهد که قبح عهدشکنی فراتر از بستر خصوصی است و شامل عهدهای حکومتی نیز می‌شود.</w:t>
      </w:r>
    </w:p>
    <w:p>
      <w:pPr>
        <w:pStyle w:val="TH-Riwayah"/>
      </w:pPr>
      <w:r>
        <w:t xml:space="preserve">لِكُلِّ غَادِرٍ لِوَاءٌ يَوْمَ الْقِيَامَةِ يُعْرَفُ بِهِ</w:t>
      </w:r>
    </w:p>
    <w:p>
      <w:pPr>
        <w:pStyle w:val="TH-Trans"/>
      </w:pPr>
      <w:r>
        <w:t xml:space="preserve">«برای هر پیمان‌شکنی در روز قیامت پرچمی است که با آن شناخته می‌شود.»</w:t>
      </w:r>
    </w:p>
    <w:p>
      <w:pPr>
        <w:pStyle w:val="TH-Body"/>
      </w:pPr>
      <w:r>
        <w:t xml:space="preserve">این روایت در منابع امامیه</w:t>
      </w:r>
      <w:r>
        <w:rPr>
          <w:rStyle w:val="FootnoteReference"/>
        </w:rPr>
        <w:footnoteReference w:id="86"/>
      </w:r>
      <w:r>
        <w:t xml:space="preserve"> و نیز در منابع اهل سنت</w:t>
      </w:r>
      <w:r>
        <w:rPr>
          <w:rStyle w:val="FootnoteReference"/>
        </w:rPr>
        <w:footnoteReference w:id="87"/>
      </w:r>
      <w:r>
        <w:t xml:space="preserve"> نقل شده و دلالت بر رسوایی عمومی غادر در قیامت دارد. اهمیت آن در ما نحن فیه، تأکید بر «حیثیت و اعتبار» است که در فصل چهارم (ضابطهٔ هشتم: لحاظ آثار در محاسبهٔ مصلحت) و در فصل پنجم به‌عنوان یکی از آثار مهم عدول بی‌ضابطه تحلیل می‌شود. اعتبار یک حکومت در صحنهٔ بین‌المللی، سرمایه‌ای است که با هر عهدشکنی بی‌ضابطه فرسوده می‌شود و بازسازی آن دشوار است.</w:t>
      </w:r>
    </w:p>
    <w:p>
      <w:pPr>
        <w:pStyle w:val="TH-Riwayah"/>
      </w:pPr>
      <w:r>
        <w:t xml:space="preserve">ذِمَّةُ الْمُسْلِمِينَ وَاحِدَةٌ يَسْعَىٰ بِهَا أَدْنَاهُمْ</w:t>
      </w:r>
    </w:p>
    <w:p>
      <w:pPr>
        <w:pStyle w:val="TH-Trans"/>
      </w:pPr>
      <w:r>
        <w:t xml:space="preserve">«ذمهٔ مسلمانان واحد است و ادنا‌ترین آنان نیز می‌تواند آن را برقرار سازد.»</w:t>
      </w:r>
    </w:p>
    <w:p>
      <w:pPr>
        <w:pStyle w:val="TH-Body"/>
      </w:pPr>
      <w:r>
        <w:t xml:space="preserve">این روایت</w:t>
      </w:r>
      <w:r>
        <w:rPr>
          <w:rStyle w:val="FootnoteReference"/>
        </w:rPr>
        <w:footnoteReference w:id="88"/>
      </w:r>
      <w:r>
        <w:t xml:space="preserve"> بر آن دلالت دارد که امان و عهد، در نظام اسلامی واحد و یکپارچه است و حتی فرد ادنا‌ی مسلمانان می‌تواند آن را برقرار کند؛ و در نتیجه، همهٔ مسلمانان از جمله حاکم به آن ملتزم‌اند. دلالت این روایت بر مسئلهٔ حاضر، دو جهت دارد: </w:t>
      </w:r>
      <w:r>
        <w:t xml:space="preserve">نخست،</w:t>
      </w:r>
      <w:r>
        <w:t xml:space="preserve"> قاعدهٔ وفا دامنه‌ای از فرد تا حکومت دارد و نمی‌توان آن را به عقود خصوصی محدود ساخت. </w:t>
      </w:r>
      <w:r>
        <w:t xml:space="preserve">دوم،</w:t>
      </w:r>
      <w:r>
        <w:t xml:space="preserve"> وحدت ذمه، دلالت بر آن دارد که تعهد ایجادشده از سوی هر مقام اسلامی، بر کل جامعهٔ اسلامی اثر دارد؛ و این، مبنای فقهی «انتساب رفتار به دولت» در فصل پنجم است (گفتار دوم).</w:t>
      </w:r>
    </w:p>
    <w:p>
      <w:pPr>
        <w:pStyle w:val="TH-Goftar"/>
      </w:pPr>
      <w:r>
        <w:t xml:space="preserve">گفتار چهارم: سیرهٔ معصومان در عهدنامه‌ها</w:t>
      </w:r>
    </w:p>
    <w:p>
      <w:pPr>
        <w:pStyle w:val="TH-Band"/>
      </w:pPr>
      <w:r>
        <w:t xml:space="preserve">بند اول: صلح حدیبیه: الگوی وفای صبورانه</w:t>
      </w:r>
    </w:p>
    <w:p>
      <w:pPr>
        <w:pStyle w:val="TH-Body"/>
      </w:pPr>
      <w:r>
        <w:t xml:space="preserve">گزارش واقعه.</w:t>
      </w:r>
      <w:r>
        <w:t xml:space="preserve"> صلح حدیبیه در سال ششم هجری میان پیامبر اکرم (ص) و قریش منعقد شد. شرایط ظاهری این پیمان، به زیان مسلمانان بود؛ از جمله آن‌که هر کس از مکه به مدینه بگریزد (حتی اگر مسلمان باشد) باید به قریش بازگردانده شود، اما هر کس از مدینه به مکه رود، بازگردانده نشود؛ و آن‌که مسلمانان در آن سال از زیارت کعبه بازمی‌مانند و سال آینده با شرایط معین زیارت کنند.</w:t>
      </w:r>
      <w:r>
        <w:rPr>
          <w:rStyle w:val="FootnoteReference"/>
        </w:rPr>
        <w:footnoteReference w:id="89"/>
      </w:r>
    </w:p>
    <w:p>
      <w:pPr>
        <w:pStyle w:val="TH-Body"/>
      </w:pPr>
      <w:r>
        <w:t xml:space="preserve">وفای پیامبر به عهد.</w:t>
      </w:r>
      <w:r>
        <w:t xml:space="preserve"> مشهورترین نمونهٔ وفای به عهد در این واقعه، ماجرای ابوجندل و ابوبصیر است. ابوجندل، فرزند سهیل بن عمرو (مذاکره‌کنندهٔ قریش) که به اسلام گرویده بود، در حین امضای پیمان با زنجیر به اردوی مسلمانان پناه آورد و پیامبر با وجود اعتراض شدید مسلمانان و با وجود دشواری عاطفی صحنه، او را به قریش بازگرداند؛ زیرا عهد بسته شده بود و پیش از امضای نهایی، امکان استثنا کردن او فراهم نشد. این واقعه، یکی از روشن‌ترین نمونه‌های وفای به عهد در شرایط سخت و حتی در برابر دشمن است.</w:t>
      </w:r>
    </w:p>
    <w:p>
      <w:pPr>
        <w:pStyle w:val="TH-Body"/>
      </w:pPr>
      <w:r>
        <w:t xml:space="preserve">دو درس استدلالی.</w:t>
      </w:r>
      <w:r>
        <w:t xml:space="preserve"> </w:t>
      </w:r>
      <w:r>
        <w:t xml:space="preserve">درس نخست (وفای صبورانه):</w:t>
      </w:r>
      <w:r>
        <w:t xml:space="preserve"> وفای به عهد، حتی در شرایط سخت و به زیان ظاهری مسلمانان، وظیفهٔ حاکم اسلامی است؛ و این، مؤید قاعدهٔ اصلی این فصل است. </w:t>
      </w:r>
      <w:r>
        <w:t xml:space="preserve">درس دوم (مصلحت‌سنجی مقدم):</w:t>
      </w:r>
      <w:r>
        <w:t xml:space="preserve"> اما صلح حدیبیه، خود حاصل «مصلحت‌سنجی حکومتی» بود؛ پیامبر صلح را بر جنگ ترجیح داد، زیرا مصلحت اسلام در آن بود. همین مصلحت‌سنجی است که در فصل چهارم مبنای جواز عدول می‌شود. ازاین‌رو، حدیبیه نیز باید مجموعی خوانده شود: هم الگوی وفا، هم الگوی تدبیر. نکتهٔ تاریخی مؤید: همین صلحِ ظاهراً زیان‌بار، دو سال بعد به فتح مکه انجامید و اسلام در سایهٔ آن امنیت، گسترش بی‌سابقه‌ای یافت؛ و این نشان می‌دهد که مصلحت‌سنجی پیامبر، صحیح بوده و صبر حکومتی، ثمره‌بخش است. </w:t>
      </w:r>
      <w:r>
        <w:t xml:space="preserve">نتیجهٔ روشی:</w:t>
      </w:r>
      <w:r>
        <w:t xml:space="preserve"> در تحلیل سیره، نباید یک واقعه را گزینشی خواند؛ واقعهٔ واحد می‌تواند هم مؤید وفا باشد و هم مؤید تدبیر، و جمع آن دو در قاعدهٔ تزاحم صورت می‌گیرد.</w:t>
      </w:r>
    </w:p>
    <w:p>
      <w:pPr>
        <w:pStyle w:val="TH-Band"/>
      </w:pPr>
      <w:r>
        <w:t xml:space="preserve">بند دوم: نقض عهد قریش و فتح مکه؛ و اعلان برائت</w:t>
      </w:r>
    </w:p>
    <w:p>
      <w:pPr>
        <w:pStyle w:val="TH-Body"/>
      </w:pPr>
      <w:r>
        <w:t xml:space="preserve">تصحیح یک خلط رایج.</w:t>
      </w:r>
      <w:r>
        <w:t xml:space="preserve"> در ادبیات رایج، دو واقعهٔ متمایز اغلب با یکدیگر خلط می‌شوند: (۱) نقض عهد حدیبیه از سوی قریش و فتح مکه؛ و (۲) نزول آیات برائت و اعلان عمومی آن. این دو، از جهت زمان، سبب و حکم متفاوت‌اند و تفکیک آن‌ها برای استدلال دقیق ضروری است.</w:t>
      </w:r>
    </w:p>
    <w:p>
      <w:pPr>
        <w:pStyle w:val="TH-Body"/>
      </w:pPr>
      <w:r>
        <w:t xml:space="preserve">واقعهٔ نخست: نقض عهد و فتح مکه (سال هشتم هجری).</w:t>
      </w:r>
      <w:r>
        <w:t xml:space="preserve"> پیمان حدیبیه، ده‌ساله بود و شامل هم‌پیمانان دو طرف نیز می‌شد. بنوبکر (هم‌پیمان قریش) به خزاعه (هم‌پیمان مسلمانان) حمله کرد و قریش نیز آنان را یاری داد؛ و این، نقض صریح پیمان بود. پیامبر با استناد به همین نقض، خود را از پیمان آزاد دانست و در رمضان سال هشتم هجری مکه را فتح کرد.</w:t>
      </w:r>
      <w:r>
        <w:rPr>
          <w:rStyle w:val="FootnoteReference"/>
        </w:rPr>
        <w:footnoteReference w:id="90"/>
      </w:r>
      <w:r>
        <w:t xml:space="preserve"> </w:t>
      </w:r>
      <w:r>
        <w:t xml:space="preserve">دلالت استدلالی:</w:t>
      </w:r>
      <w:r>
        <w:t xml:space="preserve"> این واقعه، نمونهٔ روشن «عدول واکنشی» است (مرتبهٔ چهارم از مراتب پنج‌گانهٔ فصل اول): عدول به‌دلیل نقض اساسی طرف مقابل؛ و با منطق آیهٔ «فَمَا اسْتَقَامُوا لَکُمْ فَاسْتَقِیمُوا لَهُمْ»</w:t>
      </w:r>
      <w:r>
        <w:rPr>
          <w:rStyle w:val="FootnoteReference"/>
        </w:rPr>
        <w:footnoteReference w:id="91"/>
      </w:r>
      <w:r>
        <w:t xml:space="preserve"> و با منطق مادهٔ ۶۰ کنوانسیون وین هم‌خوان است.</w:t>
      </w:r>
    </w:p>
    <w:p>
      <w:pPr>
        <w:pStyle w:val="TH-Body"/>
      </w:pPr>
      <w:r>
        <w:t xml:space="preserve">واقعهٔ دوم: آیات برائت (سال نهم هجری).</w:t>
      </w:r>
      <w:r>
        <w:t xml:space="preserve"> در سال نهم هجری، پس از فتح مکه و گسترش اسلام در شبه‌جزیره، آیات نخست سورهٔ توبه (برائت) نازل شد و پیامبر، امیرالمؤمنین (ع) را مأمور کرد تا در موسم حج آن را بر مشرکان بخواند.</w:t>
      </w:r>
      <w:r>
        <w:rPr>
          <w:rStyle w:val="FootnoteReference"/>
        </w:rPr>
        <w:footnoteReference w:id="92"/>
      </w:r>
      <w:r>
        <w:t xml:space="preserve"> این آیات، مشرکان را به سه دسته تقسیم کردند:</w:t>
      </w:r>
    </w:p>
    <w:p>
      <w:pPr>
        <w:pStyle w:val="TH-Body"/>
      </w:pPr>
      <w:r>
        <w:t xml:space="preserve">دستهٔ نخست:</w:t>
      </w:r>
      <w:r>
        <w:t xml:space="preserve"> مشرکانی که هیچ پیمانی نداشتند یا پیمان نامحدود داشتند و نقض کردند؛ حکم آنان «فسیحوا فی الارض اربعة اشهر» است؛ یعنی چهار ماه مهلت، سپس اعلان برائت.</w:t>
      </w:r>
      <w:r>
        <w:rPr>
          <w:rStyle w:val="FootnoteReference"/>
        </w:rPr>
        <w:footnoteReference w:id="93"/>
      </w:r>
      <w:r>
        <w:t xml:space="preserve"> </w:t>
      </w:r>
      <w:r>
        <w:t xml:space="preserve">دستهٔ دوم:</w:t>
      </w:r>
      <w:r>
        <w:t xml:space="preserve"> مشرکانی که پیمان داشتند، اما آن را نقض کردند و به یاری دشمن برخاستند؛ حکم آنان نیز پایان عهد است. </w:t>
      </w:r>
      <w:r>
        <w:t xml:space="preserve">دستهٔ سوم و تعیین‌کننده:</w:t>
      </w:r>
      <w:r>
        <w:t xml:space="preserve"> مشرکانی که پیمان داشتند، آن را نقض نکردند و هیچ‌کس را بر ضد مسلمانان یاری ندادند؛ حکم آنان صریحاً «فَأَتِمُّوا إِلَیْهِمْ عَهْدَهُمْ إِلَىٰ مُدَّتِهِمْ» است؛ یعنی پیمان آنان تا پایان مدتش کامل اجرا شود.</w:t>
      </w:r>
      <w:r>
        <w:rPr>
          <w:rStyle w:val="FootnoteReference"/>
        </w:rPr>
        <w:footnoteReference w:id="94"/>
      </w:r>
    </w:p>
    <w:p>
      <w:pPr>
        <w:pStyle w:val="TH-Body"/>
      </w:pPr>
      <w:r>
        <w:t xml:space="preserve">چهار نتیجهٔ استدلالی از این تحلیل دقیق.</w:t>
      </w:r>
      <w:r>
        <w:t xml:space="preserve"> </w:t>
      </w:r>
      <w:r>
        <w:t xml:space="preserve">نخست،</w:t>
      </w:r>
      <w:r>
        <w:t xml:space="preserve"> برائت، نمونهٔ «نقض عهد از سوی پیامبر» نیست؛ بلکه اعلان عمومی پایان عهد با کسانی است که خود عهد را شکسته‌اند یا پیمان مستحکمی نداشته‌اند. انتساب نقض عهد به پیامبر در این واقعه، خلاف نص صریح آیهٔ ۴ سورهٔ توبه است. </w:t>
      </w:r>
      <w:r>
        <w:t xml:space="preserve">دوم،</w:t>
      </w:r>
      <w:r>
        <w:t xml:space="preserve"> تفکیک سه‌گانهٔ فوق، نشان می‌دهد که در منطق قرآنی، «عدول» یک تصمیم یکپارچه و بی‌تفکیک نیست؛ بلکه باید نسبت به هر طرف و هر تعهد، جداگانه سنجیده شود. این، مؤید ضابطهٔ چهارم فصل چهارم (تناسب) و مؤید دقت در تعیین موضوع است. </w:t>
      </w:r>
      <w:r>
        <w:t xml:space="preserve">سوم،</w:t>
      </w:r>
      <w:r>
        <w:t xml:space="preserve"> مهلت چهارماهه، نشان می‌دهد که حتی در فرض اعلان برائت، فرصت واکنش و تنظیم امور به طرف مقابل داده شده است؛ و این، مؤید ضابطهٔ پنجم (تدریجی بودن) و ضابطهٔ ششم (انباذ علی سواء) است. </w:t>
      </w:r>
      <w:r>
        <w:t xml:space="preserve">چهارم،</w:t>
      </w:r>
      <w:r>
        <w:t xml:space="preserve"> اعلان عمومی آیات در موسم حج، روشن‌ترین مصداق «انباذ آشکار» است؛ و با آیین ادعای مواد ۶۵ تا ۶۸ کنوانسیون وین (اعلام کتبی و مستدل) هم‌خوانی دارد.</w:t>
      </w:r>
    </w:p>
    <w:p>
      <w:pPr>
        <w:pStyle w:val="TH-Band"/>
      </w:pPr>
      <w:r>
        <w:t xml:space="preserve">بند سوم: سیرهٔ امیرالمؤمنین (ع): از صفین تا حکمیت</w:t>
      </w:r>
    </w:p>
    <w:p>
      <w:pPr>
        <w:pStyle w:val="TH-Body"/>
      </w:pPr>
      <w:r>
        <w:t xml:space="preserve">واقعهٔ آب در صفین.</w:t>
      </w:r>
      <w:r>
        <w:t xml:space="preserve"> هنگامی که سپاه معاویه بر شریعهٔ فرات تسلط یافت، آب را بر سپاه امیرالمؤمنین (ع) بست. سپاه امام با جنگ، شریعه را بازپس گرفت؛ اما امام اجازه نداد آب بر دشمن بسته شود و فرمان داد که آنان نیز از آب بهره‌مند شوند.</w:t>
      </w:r>
      <w:r>
        <w:rPr>
          <w:rStyle w:val="FootnoteReference"/>
        </w:rPr>
        <w:footnoteReference w:id="95"/>
      </w:r>
      <w:r>
        <w:t xml:space="preserve"> </w:t>
      </w:r>
      <w:r>
        <w:t xml:space="preserve">دلالت استدلالی:</w:t>
      </w:r>
      <w:r>
        <w:t xml:space="preserve"> حاکم اسلامی حتی در برابر دشمن باغی که خود مرتکب نقض شده، به اصول اخلاقی و انسانی پایبند می‌ماند؛ و نقض طرف مقابل، مجوز نقض متقابلِ بی‌حد نیست. این، مؤید ضابطهٔ چهارم (تناسب) و مؤید بند ۵ مادهٔ ۶۰ کنوانسیون وین (استثنای تعهدات مربوط به حمایت از شخص انسان) است؛ و نیز با مواد ۴۹ و ۵۰ طرح مواد مسئولیت (ممنوعیت لطمه به تعهدات حقوق بشری و بشردوستانه در اقدام متقابل) هم‌خوان است.</w:t>
      </w:r>
    </w:p>
    <w:p>
      <w:pPr>
        <w:pStyle w:val="TH-Body"/>
      </w:pPr>
      <w:r>
        <w:t xml:space="preserve">واقعهٔ حکمیت.</w:t>
      </w:r>
      <w:r>
        <w:t xml:space="preserve"> امام در اصل پذیرش حکمیت مخالف بود و آن را به زیان حق می‌دانست؛ اما هنگامی که بخش عمدهٔ سپاه، بر پذیرش آن اصرار ورزید و نافرمانی و تفرقه در سپاه پدید آمد، امام پذیرفت و عهدنامهٔ حکمیت را امضا کرد. سپس هرچند نتیجهٔ آن به زیان ایشان تمام شد و معاویه به مفاد آن عمل نکرد امام به تعهد خود پایبند ماند و در برابر اصرار یاران بر نقض آن، مقاومت کرد.</w:t>
      </w:r>
      <w:r>
        <w:rPr>
          <w:rStyle w:val="FootnoteReference"/>
        </w:rPr>
        <w:footnoteReference w:id="96"/>
      </w:r>
    </w:p>
    <w:p>
      <w:pPr>
        <w:pStyle w:val="TH-Body"/>
      </w:pPr>
      <w:r>
        <w:t xml:space="preserve">دلالت استدلالی این واقعه، در سه جهت است.</w:t>
      </w:r>
      <w:r>
        <w:t xml:space="preserve"> </w:t>
      </w:r>
      <w:r>
        <w:t xml:space="preserve">جهت نخست:</w:t>
      </w:r>
      <w:r>
        <w:t xml:space="preserve"> وفای به عهد، حتی در برابر دشمن باغی داخلی و حتی هنگامی که نتیجهٔ آن به زیان حاکم باشد، واجب است؛ و این، بالاترین سطح اخلاق حکومتی است. </w:t>
      </w:r>
      <w:r>
        <w:t xml:space="preserve">جهت دوم:</w:t>
      </w:r>
      <w:r>
        <w:t xml:space="preserve"> پذیرش حکمیت، نمونه‌ای از «مصلحت‌سنجی حکومتی» در مقام تزاحم است؛ تزاحم میان «ادامهٔ جنگ تا پیروزی» و «حفظ وحدت سپاه و جلوگیری از تفرقهٔ که به نابودی می‌انجامید». امام، اهم (حفظ بقای جامعهٔ اسلامی) را بر مهم مقدم کرد. </w:t>
      </w:r>
      <w:r>
        <w:t xml:space="preserve">جهت سوم:</w:t>
      </w:r>
      <w:r>
        <w:t xml:space="preserve"> پایبندی امام به تعهد پس از امضا، حتی در شرایطی که طرف مقابل نقض کرده بود، نشان می‌دهد که «نقض طرف مقابل» به‌خودیِ خود مجوز نقض متقابل بی‌ضابطه نیست؛ بلکه باید با اعلام و مستندسازی همراه باشد (مرتبهٔ چهارم و ضوابط آن).</w:t>
      </w:r>
    </w:p>
    <w:p>
      <w:pPr>
        <w:pStyle w:val="TH-Band"/>
      </w:pPr>
      <w:r>
        <w:t xml:space="preserve">بند چهارم: جمع‌بندی سیره: سه الگوی رفتاری</w:t>
      </w:r>
    </w:p>
    <w:p>
      <w:pPr>
        <w:pStyle w:val="TH-Body"/>
      </w:pPr>
      <w:r>
        <w:t xml:space="preserve">از مجموع سیرهٔ پیامبر اکرم (ص) و امیرالمؤمنین (ع)، سه الگوی رفتاری قابل استخراج است که هر سه در فصل چهارم به‌کار می‌رود و با مراتب پنج‌گانهٔ عدول (فصل اول) منطبق است:</w:t>
      </w:r>
    </w:p>
    <w:p>
      <w:pPr>
        <w:pStyle w:val="TH-Body"/>
      </w:pPr>
      <w:r>
        <w:t xml:space="preserve">الگوی نخست: وفای صبورانه.</w:t>
      </w:r>
      <w:r>
        <w:t xml:space="preserve"> (صلح حدیبیه؛ وفای امام در حکمیت؛ عدم بستن آب بر دشمن در صفین) وفای به عهد حتی در شرایط سخت و حتی در برابر دشمن، هنگامی که مصلحت در وفاست و طرف مقابل به عهد پایبند است. این الگو، قاعدهٔ اولی است و مرتبهٔ صفر عدول محسوب می‌شود.</w:t>
      </w:r>
    </w:p>
    <w:p>
      <w:pPr>
        <w:pStyle w:val="TH-Body"/>
      </w:pPr>
      <w:r>
        <w:t xml:space="preserve">الگوی دوم: عدول واکنشیِ اعلام‌شده.</w:t>
      </w:r>
      <w:r>
        <w:t xml:space="preserve"> (پایان عهد با قریش پس از نقض آن‌ها و فتح مکه؛ اعلان برائت با تفکیک سه‌گانه و مهلت چهارماهه) عدول هنگامی که طرف مقابل نقض اساسی کرده باشد؛ همراه با اعلام آشکار، مستندسازی، تفکیک میان ناقض و غیرناقض، و اعطای مهلت. این الگو، مرتبهٔ چهارم از مراتب پنج‌گانه است و ضوابط آن در فصل چهارم تبیین می‌شود.</w:t>
      </w:r>
    </w:p>
    <w:p>
      <w:pPr>
        <w:pStyle w:val="TH-Body"/>
      </w:pPr>
      <w:r>
        <w:t xml:space="preserve">الگوی سوم: مصلحت‌سنجی مقدم.</w:t>
      </w:r>
      <w:r>
        <w:t xml:space="preserve"> (پذیرش اصل صلح حدیبیه با وجود شرایط زیان‌بار؛ پذیرش حکمیت برای حفظ وحدت سپاه) این‌که حاکم پیش از هر تصمیمی، مصلحت را می‌سنجد و تصمیمش تابع مصلحت نوعی و اهم است، نه تابع احساسات، فشارها و جوسازی‌ها. این الگو، مبنای قاعدهٔ تزاحم و تقدیم اهم است که در گفتار اول فصل چهارم تحلیل می‌شود.</w:t>
      </w:r>
    </w:p>
    <w:p>
      <w:pPr>
        <w:pStyle w:val="TH-Body"/>
      </w:pPr>
      <w:r>
        <w:t xml:space="preserve">نتیجهٔ کلی گفتار چهارم.</w:t>
      </w:r>
      <w:r>
        <w:t xml:space="preserve"> سیرهٔ معصومان، هم قاعدهٔ وجوب وفا را تأیید می‌کند و هم جواز عدول ضابطه‌مند را در فرض نقض طرف مقابل یا تزاحم با مصلحت اهم. این دو جنبه، با هم و نه در برابر هم خوانده می‌شوند؛ و همین خوانش مجموعی، چارچوب نظری این رساله را از عمل معصومان پشتیبانی می‌کند. به تعبیر دقیق‌تر: چارچوب نظری این رساله، از ذهن نگارنده برنخاسته، بلکه از نصوص و سیره استخراج شده است؛ و مراتب پنج‌گانهٔ عدول و ضوابط هشت‌گانهٔ آن، صورت‌بندی فنی همان الگوهایی است که در سیرهٔ معصومان مشاهده می‌شود.</w:t>
      </w:r>
    </w:p>
    <w:p>
      <w:pPr>
        <w:pStyle w:val="TH-Goftar"/>
      </w:pPr>
      <w:r>
        <w:t xml:space="preserve">گفتار پنجم: حکم عقل و بنای عقلا</w:t>
      </w:r>
    </w:p>
    <w:p>
      <w:pPr>
        <w:pStyle w:val="TH-Band"/>
      </w:pPr>
      <w:r>
        <w:t xml:space="preserve">بند اول: حکم عقل به قبح نقض عهد</w:t>
      </w:r>
    </w:p>
    <w:p>
      <w:pPr>
        <w:pStyle w:val="TH-Body"/>
      </w:pPr>
      <w:r>
        <w:t xml:space="preserve">تقریر استدلال.</w:t>
      </w:r>
      <w:r>
        <w:t xml:space="preserve"> عقل عملی، مستقل از شرع، نقض عهد را قبیح می‌داند. تقریر استدلال چنین است: (۱) همکاری اجتماعی و ایجاد تعهدات بلندمدت، از ضروریات زندگی جمعی است؛ (۲) این همکاری، مبتنی بر «اعتماد» است؛ (۳) اگر نقض عهد جایز باشد، اعتماد فرو می‌ریزد و زندگی جمعی و همکاری بلندمدت ناممکن می‌شود؛ (۴) پس نقض عهد، قبیح است. این استدلال، صورت‌بندی عقلی همان چیزی است که قرآن با تمثیل «ناقضةٔ غزلها»</w:t>
      </w:r>
      <w:r>
        <w:rPr>
          <w:rStyle w:val="FootnoteReference"/>
        </w:rPr>
        <w:footnoteReference w:id="97"/>
      </w:r>
      <w:r>
        <w:t xml:space="preserve"> بیان کرده است: عهدشکنی، عملی عبث و نابخردانه است؛ زیرا رشته‌ای را که خود تابیده‌ای، باز می‌گشایی.</w:t>
      </w:r>
    </w:p>
    <w:p>
      <w:pPr>
        <w:pStyle w:val="TH-Body"/>
      </w:pPr>
      <w:r>
        <w:t xml:space="preserve">ملازمهٔ عقل و شرع.</w:t>
      </w:r>
      <w:r>
        <w:t xml:space="preserve"> در اصول فقه امامیه، بر اساس قاعدهٔ «کُلَّما حَکَمَ بِهِ العَقلُ حَکَمَ بِهِ الشَّرعُ»، هرچه عقل به قبح آن حکم کند، شرع نیز آن را حرام می‌داند.</w:t>
      </w:r>
      <w:r>
        <w:rPr>
          <w:rStyle w:val="FootnoteReference"/>
        </w:rPr>
        <w:footnoteReference w:id="98"/>
      </w:r>
      <w:r>
        <w:t xml:space="preserve"> ازاین‌رو، قبح عقلی نقض عهد، مؤید حرمت شرعی آن است. البته باید دقت کرد که این ملازمه، در جهت «قبح عقلی = حرمت شرعی» تمام است، اما در جهت «حسن عقلی = وجوب شرعی» محل بحث است؛ و از همین‌رو، استدلال عقلی در این رساله برای اثبات «حرمت نقض» به‌کار می‌رود، نه برای اثبات «وجوب وفا» به نحو مستقل.</w:t>
      </w:r>
    </w:p>
    <w:p>
      <w:pPr>
        <w:pStyle w:val="TH-Body"/>
      </w:pPr>
      <w:r>
        <w:t xml:space="preserve">محدودهٔ این دلیل.</w:t>
      </w:r>
      <w:r>
        <w:t xml:space="preserve"> حکم عقل به قبح نقض عهد، مقید به «شرایط عادی» است؛ یعنی در فرضی که نقض عهد موجب ضرر جدی به مصلحت اهمی چون حفظ نظام شود، عقل حکم به قبح نقض نمی‌کند، بلکه حکم به تقدیم اهم می‌کند. این، همان منطق تزاحم عقلی است که در گفتار اول فصل چهارم تحلیل می‌شود؛ و از همین‌رو، دلیل عقلی نیز همچون آیات و روایات، مقید به شرایط عادی است و شامل فرض تزاحم نمی‌شود.</w:t>
      </w:r>
    </w:p>
    <w:p>
      <w:pPr>
        <w:pStyle w:val="TH-Band"/>
      </w:pPr>
      <w:r>
        <w:t xml:space="preserve">بند دوم: بنای عقلا: از بازار تا سازمان ملل</w:t>
      </w:r>
    </w:p>
    <w:p>
      <w:pPr>
        <w:pStyle w:val="TH-Body"/>
      </w:pPr>
      <w:r>
        <w:t xml:space="preserve">تقریر استدلال.</w:t>
      </w:r>
      <w:r>
        <w:t xml:space="preserve"> «بنای عقلا» به روش عملی خردمندان در همهٔ زمان‌ها و مکان‌ها گفته می‌شود. در اصول فقه امامیه، بنای عقلا در فرضی حجت است که شارع آن را ردع نکرده باشد؛ و سکوت شارع در برابر بنایی که در زمان او رائج بوده، کاشف از امضای آن است.</w:t>
      </w:r>
      <w:r>
        <w:rPr>
          <w:rStyle w:val="FootnoteReference"/>
        </w:rPr>
        <w:footnoteReference w:id="99"/>
      </w:r>
      <w:r>
        <w:t xml:space="preserve"> بنای عقلا بر وفای به عهد، از روشن‌ترین مصادیق این قاعده است: از معاملات بازار و تجارت تا دیپلماسی و معاهدات بین‌المللی، هیچ جامعه‌ای مسلمان یا غیرمسلمان، کهن یا معاصر بدون اصل وفای به عهد دوام نیاورده است.</w:t>
      </w:r>
    </w:p>
    <w:p>
      <w:pPr>
        <w:pStyle w:val="TH-Body"/>
      </w:pPr>
      <w:r>
        <w:t xml:space="preserve">امضای شرع بر این بنا.</w:t>
      </w:r>
      <w:r>
        <w:t xml:space="preserve"> امضای شارع بر این بنا، از سه مجرا اثبات می‌شود: </w:t>
      </w:r>
      <w:r>
        <w:t xml:space="preserve">نخست،</w:t>
      </w:r>
      <w:r>
        <w:t xml:space="preserve"> آیات عام وجوب وفا (گفتار نخست) که صریحاً بر این بنا صحه گذاشته‌اند. </w:t>
      </w:r>
      <w:r>
        <w:t xml:space="preserve">دوم،</w:t>
      </w:r>
      <w:r>
        <w:t xml:space="preserve"> روایات متعدد در نکوهش غدر (گفتار سوم). </w:t>
      </w:r>
      <w:r>
        <w:t xml:space="preserve">سوم و صریح‌ترین آن‌ها</w:t>
      </w:r>
      <w:r>
        <w:t xml:space="preserve"> فرازی از عهدنامهٔ مالک اشتر که خود به این بنا استدلال کرده است: «النَّاسُ أَشَدُّ عَلَیْهِ اجْتِمَاعاً مَعَ تَفَرُّقِ أَهْوَائِهِمْ وَتَشَتُّتِ آرَائِهِمْ مِنْ تَعْظِیمِ الْوَفَاءِ بِالْعُهُودِ وَقَدْ لَزِمَ ذَلِکَ الْمُشْرِکُونَ فِیمَا بَیْنَهُمْ دُونَ الْمُسْلِمِینَ لِمَا اسْتَوْبَلُوا مِنْ عَوَاقِبِ الْغَدْرِ». این فراز، از جهات سه‌گانه حائز اهمیت است: اجماع عملی مردم با وجود اختلاف آرا، جهان‌شمولی این اصل (حتی میان مشرکان)، و علت عقلانی آن (تجربهٔ تلخی عواقب غدر).</w:t>
      </w:r>
    </w:p>
    <w:p>
      <w:pPr>
        <w:pStyle w:val="TH-Body"/>
      </w:pPr>
      <w:r>
        <w:t xml:space="preserve">اهمیت روشی این دلیل.</w:t>
      </w:r>
      <w:r>
        <w:t xml:space="preserve"> اهمیت بنای عقلا در این است که «فراشرعی» است؛ یعنی حتی اگر کسی در دلالت آیات و روایات خدشه کند، نمی‌تواند این بنا را انکار کند؛ زیرا خود در زندگی روزمره بر آن عمل می‌کند. و همین فراشرعی بودن، گفت‌وگوی فقه و حقوق بین‌الملل را ممکن می‌سازد؛ زیرا هر دو نظام بر یک بنای مشترک بشری استوارند. کنوانسیون وین حقوق معاهدات و طرح مواد مسئولیت بین‌المللی دولت‌ها، در حقیقت صورت‌بندی مدون و نوین همین بنای کهن‌اند؛ و ازاین‌رو، فقیه امامیه می‌تواند با این نهادها گفت‌وگو کند، بدون آن‌که مبانی خود را واگذارد.</w:t>
      </w:r>
    </w:p>
    <w:p>
      <w:pPr>
        <w:pStyle w:val="TH-Body"/>
      </w:pPr>
      <w:r>
        <w:t xml:space="preserve">قید مهم.</w:t>
      </w:r>
      <w:r>
        <w:t xml:space="preserve"> بنای عقلا، بر وفای به عهد در «شرایط عادی» استوار است؛ و عقلا نیز در فرض تزاحم با مصلحت اهم، اهم را مقدم می‌دارند. از همین‌رو، سیرهٔ عقلا در ما نحن فیه، دو جهت دارد: تأیید قاعدهٔ وفا در شرایط عادی، و تأیید تقدیم اهم در شرایط تزاحم. این دو جهت، دقیقاً ساختار استدلال این رساله در فصل سوم و چهارم است.</w:t>
      </w:r>
    </w:p>
    <w:p>
      <w:pPr>
        <w:pStyle w:val="TH-Goftar"/>
      </w:pPr>
      <w:r>
        <w:t xml:space="preserve">گفتار ششم: قواعد فقهی مؤید وجوب وفا</w:t>
      </w:r>
    </w:p>
    <w:p>
      <w:pPr>
        <w:pStyle w:val="TH-Band"/>
      </w:pPr>
      <w:r>
        <w:t xml:space="preserve">بند اول: اصالة اللزوم در عقود</w:t>
      </w:r>
    </w:p>
    <w:p>
      <w:pPr>
        <w:pStyle w:val="TH-Body"/>
      </w:pPr>
      <w:r>
        <w:t xml:space="preserve">تقریر قاعده.</w:t>
      </w:r>
      <w:r>
        <w:t xml:space="preserve"> «اصالة اللزوم» یعنی اصل در هر عقدی مگر آن‌که خلافش با دلیل ثابت شود لزوم و استمرار است. این قاعده، از قواعد عام فقهی است که سیدمحمدحسن بجنوردی در القواعد الفقهیه آن را به تفصیل بررسی و اثبات کرده است.</w:t>
      </w:r>
      <w:r>
        <w:rPr>
          <w:rStyle w:val="FootnoteReference"/>
        </w:rPr>
        <w:footnoteReference w:id="100"/>
      </w:r>
      <w:r>
        <w:t xml:space="preserve"> مبنای آن، دو چیز است: </w:t>
      </w:r>
      <w:r>
        <w:t xml:space="preserve">نخست،</w:t>
      </w:r>
      <w:r>
        <w:t xml:space="preserve"> مفهوم «عقد»؛ زیرا عقد در لغت به معنای گره زدن و استوار ساختن است و استواری، با جوازِ بی‌مبنا سازگار نیست. </w:t>
      </w:r>
      <w:r>
        <w:t xml:space="preserve">دوم،</w:t>
      </w:r>
      <w:r>
        <w:t xml:space="preserve"> بنای عقلا و ادلهٔ نقلی که در گفتارهای پیشین گذشت.</w:t>
      </w:r>
    </w:p>
    <w:p>
      <w:pPr>
        <w:pStyle w:val="TH-Body"/>
      </w:pPr>
      <w:r>
        <w:t xml:space="preserve">تطبیق بر مسئلهٔ حاضر و بار اثبات.</w:t>
      </w:r>
      <w:r>
        <w:t xml:space="preserve"> معاهدهٔ بین‌المللی، عقدی است میان دولت‌ها و اصل در آن لزوم است؛ در نتیجه، عدول از آن نیازمند دلیل است. این، همان «بار اثبات» است که در مقدمهٔ این فصل به آن اشاره شد: در دادگاه فقهی، مدعی عدول محکوم به وفاست، مگر آن‌که مجوز خود را ثابت کند. فصل چهارم، سراسر در مقام اثبات همین مجوز است؛ و روش آن فصل، دقیقاً به همان دلیل، روش «استدلال با بار اثبات سنگین» است، نه روش «اثبات آسان».</w:t>
      </w:r>
    </w:p>
    <w:p>
      <w:pPr>
        <w:pStyle w:val="TH-Body"/>
      </w:pPr>
      <w:r>
        <w:t xml:space="preserve">نکتهٔ دقیق.</w:t>
      </w:r>
      <w:r>
        <w:t xml:space="preserve"> قاعدهٔ لزوم، «اصل عملی» نیست، بلکه قاعده‌ای استنباط‌شده از ادلهٔ لفظی و بنای عقلاست؛ ازاین‌رو، در فرض تعارض با ادلهٔ دیگر، به مرجحات باب تعارض رجوع می‌شود و در فرض تزاحم، به قواعد باب تزاحم. این تفکیک، از جهت استدلالی مهم است؛ زیرا برخی نویسندگان، قاعدهٔ لزوم را به‌عنوان اصل عملی به‌کار می‌برند و در نتیجه، قدرت استدلالی آن را در برابر ادلهٔ اجتهادی کاهش می‌دهند.</w:t>
      </w:r>
    </w:p>
    <w:p>
      <w:pPr>
        <w:pStyle w:val="TH-Band"/>
      </w:pPr>
      <w:r>
        <w:t xml:space="preserve">بند دوم: حرمت غدر و خیانت</w:t>
      </w:r>
    </w:p>
    <w:p>
      <w:pPr>
        <w:pStyle w:val="TH-Body"/>
      </w:pPr>
      <w:r>
        <w:t xml:space="preserve">قرآن و روایات، «غدر» (پیمان‌شکنی ناجوانمردانه) و «خیانت» (نقض امانت) را از زشت‌ترین صفات شمرده‌اند. خداوند متعال می‌فرماید: «إِنَّ اللَّهَ لَا یُحِبُّ الْخَائِنِینَ»</w:t>
      </w:r>
      <w:r>
        <w:rPr>
          <w:rStyle w:val="FootnoteReference"/>
        </w:rPr>
        <w:footnoteReference w:id="101"/>
      </w:r>
      <w:r>
        <w:t xml:space="preserve"> و «یَا أَیُّهَا الَّذِینَ آمَنُوا لَا تَخُونُوا اللَّهَ وَالرَّسُولَ وَتَخُونُوا أَمَانَاتِکُمْ وَأَنْتُمْ تَعْلَمُونَ»</w:t>
      </w:r>
      <w:r>
        <w:rPr>
          <w:rStyle w:val="FootnoteReference"/>
        </w:rPr>
        <w:footnoteReference w:id="102"/>
      </w:r>
      <w:r>
        <w:t xml:space="preserve">؛ و پیامبر اکرم (ص) در روایت پیش‌گفته، برای هر غادری در قیامت پرچم رسوایی قرار داده است.</w:t>
      </w:r>
    </w:p>
    <w:p>
      <w:pPr>
        <w:pStyle w:val="TH-Body"/>
      </w:pPr>
      <w:r>
        <w:t xml:space="preserve">کارکرد دوگانهٔ این ادله.</w:t>
      </w:r>
      <w:r>
        <w:t xml:space="preserve"> این ادله، هم مؤید قاعده‌اند (وفای به عهد واجب است) و هم مؤید ضوابط (عدول بی‌ضابطه، غدر است). مرز میان این دو، «ضابطه» است: عدولی که واجد ضوابط هشت‌گانه باشد به‌ویژه انباذ علی سواء و مستندسازی در عنوان غدر و خیانت قرار نمی‌گیرد؛ زیرا آشکار، مستدل و مبتنی بر تزاحم است. اما هر عدولی که فاقد این ضوابط باشد به‌ویژه عدول پنهانی و غافلگیرانه داخل در عنوان غدر و خیانت است و مشمول همین نکوهش‌هاست. این تفکیک، از جهت استدلالی تعیین‌کننده است؛ زیرا نشان می‌دهد که قبح شرعی، بر «شیوهٔ» عدول نیز بار می‌شود، نه تنها بر «ماهیت» آن.</w:t>
      </w:r>
    </w:p>
    <w:p>
      <w:pPr>
        <w:pStyle w:val="TH-Band"/>
      </w:pPr>
      <w:r>
        <w:t xml:space="preserve">بند سوم: قاعدهٔ نفی سبیل: مرز دیگر وفا</w:t>
      </w:r>
    </w:p>
    <w:p>
      <w:pPr>
        <w:pStyle w:val="TH-Ayah"/>
      </w:pPr>
      <w:r>
        <w:t xml:space="preserve">وَلَنْ يَجْعَلَ اللَّهُ لِلْكَافِرِينَ عَلَى الْمُؤْمِنِينَ سَبِيلًا</w:t>
      </w:r>
    </w:p>
    <w:p>
      <w:pPr>
        <w:pStyle w:val="TH-Trans"/>
      </w:pPr>
      <w:r>
        <w:t xml:space="preserve">«و خداوند هرگز برای کافران بر مؤمنان راهی قرار نداده است.» (نساء: ۱۴۱)</w:t>
      </w:r>
      <w:r>
        <w:rPr>
          <w:rStyle w:val="FootnoteReference"/>
        </w:rPr>
        <w:footnoteReference w:id="103"/>
      </w:r>
    </w:p>
    <w:p>
      <w:pPr>
        <w:pStyle w:val="TH-Body"/>
      </w:pPr>
      <w:r>
        <w:t xml:space="preserve">تقریر قاعده.</w:t>
      </w:r>
      <w:r>
        <w:t xml:space="preserve"> «قاعدهٔ نفی سبیل» از قواعد مشهور فقهی است که بر اساس آیهٔ فوق استنباط شده و مفاد آن چنین است: هیچ حکمی در شرع جعل نشده که موجب سلطهٔ کافران بر مسلمانان شود؛ و هر تعهد یا معاملاتی که به چنین سلطه‌ای بینجامد، از دایرهٔ نفوذ خارج است.</w:t>
      </w:r>
      <w:r>
        <w:rPr>
          <w:rStyle w:val="FootnoteReference"/>
        </w:rPr>
        <w:footnoteReference w:id="104"/>
      </w:r>
      <w:r>
        <w:t xml:space="preserve"> در اصول فقه، دربارهٔ دلالت آیه بر نفی «هرگونه» سبیل یا تنها نفی سبیل «تشویعی» بحث شده است؛ و نظر برگزیده در این رساله آن است که آیه، ناظر به نفی سلطهٔ حقوقی و واقعی است، نه هر نوع ارتباط و تعامل.</w:t>
      </w:r>
    </w:p>
    <w:p>
      <w:pPr>
        <w:pStyle w:val="TH-Body"/>
      </w:pPr>
      <w:r>
        <w:t xml:space="preserve">تطبیق بر مسئلهٔ حاضر.</w:t>
      </w:r>
      <w:r>
        <w:t xml:space="preserve"> این قاعده، دو کارکرد متقابل دارد. </w:t>
      </w:r>
      <w:r>
        <w:t xml:space="preserve">کارکرد نخست (مؤید وفا):</w:t>
      </w:r>
      <w:r>
        <w:t xml:space="preserve"> در شرایط عادی، قاعدهٔ نفی سبیل مجوز نقض عهد نیست؛ زیرا عهدِ عادلانه، سلطه‌ای برای کافران ایجاد نمی‌کند و وفای به آن، موجب ذلت مسلمانان نیست. </w:t>
      </w:r>
      <w:r>
        <w:t xml:space="preserve">کارکرد دوم (مجوز و بلکه موجب عدول):</w:t>
      </w:r>
      <w:r>
        <w:t xml:space="preserve"> اگر ادامهٔ اجرای معاهده‌ای به سلطهٔ بیگانه بر منابع طبیعی، اقتصادی، فرهنگی یا نظامی کشور بینجامد، قاعدهٔ نفی سبیل مجوز عدول است؛ و این، دقیقاً همان حکمی است که در اصل ۱۵۳ قانون اساسی به نحو صریح آمده است: «هرگونه قرارداد که موجب سلطهٔ بیگانه بر منابع طبیعی و اقتصادی، فرهنگ، ارتش و دیگر شئون کشور گردد، ممنوع است.»</w:t>
      </w:r>
      <w:r>
        <w:rPr>
          <w:rStyle w:val="FootnoteReference"/>
        </w:rPr>
        <w:footnoteReference w:id="105"/>
      </w:r>
      <w:r>
        <w:t xml:space="preserve"> </w:t>
      </w:r>
      <w:r>
        <w:t xml:space="preserve">نتیجه:</w:t>
      </w:r>
      <w:r>
        <w:t xml:space="preserve"> در فرض سلطه‌آور بودن معاهده، هر سه سطح تحلیل هم‌جهت می‌شوند: شرعاً جایز یا واجب (نفی سبیل)، قانوناً ممنوع و پس واجب العدول (اصل ۱۵۳)، و بین‌المللاً قابل دفاع در فرض گنجاندن در قالب نهادهای موجه.</w:t>
      </w:r>
    </w:p>
    <w:p>
      <w:pPr>
        <w:pStyle w:val="TH-Goftar"/>
      </w:pPr>
      <w:r>
        <w:t xml:space="preserve">گفتار هفتم: ادلهٔ تکمیلی: امانت، سوگند، میثاق مدینه و آرای فقها</w:t>
      </w:r>
    </w:p>
    <w:p>
      <w:pPr>
        <w:pStyle w:val="TH-Band"/>
      </w:pPr>
      <w:r>
        <w:t xml:space="preserve">بند اول: وجوب ادای امانت (نساء: ۵۸)</w:t>
      </w:r>
    </w:p>
    <w:p>
      <w:pPr>
        <w:pStyle w:val="TH-Ayah"/>
      </w:pPr>
      <w:r>
        <w:t xml:space="preserve">إِنَّ اللَّهَ يَأْمُرُكُمْ أَنْ تُؤَدُّوا الْأَمَانَاتِ إِلَىٰ أَهْلِهَا وَإِذَا حَكَمْتُمْ بَيْنَ النَّاسِ أَنْ تَحْكُمُوا بِالْعَدْلِ</w:t>
      </w:r>
    </w:p>
    <w:p>
      <w:pPr>
        <w:pStyle w:val="TH-Trans"/>
      </w:pPr>
      <w:r>
        <w:t xml:space="preserve">«خداوند فرمان می‌دهد که امانت‌ها را به اهل آن بسپارید و چون میان مردم داوری می‌کنید، به عدالت داوری کنید.» (نساء: ۵۸)</w:t>
      </w:r>
      <w:r>
        <w:rPr>
          <w:rStyle w:val="FootnoteReference"/>
        </w:rPr>
        <w:footnoteReference w:id="106"/>
      </w:r>
    </w:p>
    <w:p>
      <w:pPr>
        <w:pStyle w:val="TH-Body"/>
      </w:pPr>
      <w:r>
        <w:t xml:space="preserve">سیاق این آیه، خطاب به حاکمان و داوری‌کنندگان است؛ زیرا بخش دوم آن به داوری میان مردم پرداخته است. ازاین‌رو، «امانات» در این آیه، اعم از امانت‌های مالی شخصی است و شامل امانت‌های حکومتی نیز می‌شود. عهدنامه‌ای که حاکم به نمایندگی از امت منعقد می‌کند، از سنخ همین امانت‌های حکومتی است؛ و ادای آن، وفای به عهد است. علامه طباطبایی در المیزان، امانت در این آیه را به امانت ولایت و امانت‌های عمومی تفسیر کرده است.</w:t>
      </w:r>
      <w:r>
        <w:rPr>
          <w:rStyle w:val="FootnoteReference"/>
        </w:rPr>
        <w:footnoteReference w:id="107"/>
      </w:r>
    </w:p>
    <w:p>
      <w:pPr>
        <w:pStyle w:val="TH-Band"/>
      </w:pPr>
      <w:r>
        <w:t xml:space="preserve">بند دوم: حفظ سوگند (مائده: ۸۹)</w:t>
      </w:r>
    </w:p>
    <w:p>
      <w:pPr>
        <w:pStyle w:val="TH-Ayah"/>
      </w:pPr>
      <w:r>
        <w:t xml:space="preserve">وَلَكِنْ يُؤَاخِذُكُمْ بِمَا عَقَّدْتُمُ الْأَيْمَانَ … وَاحْفَظُوا أَيْمَانَكُمْ</w:t>
      </w:r>
    </w:p>
    <w:p>
      <w:pPr>
        <w:pStyle w:val="TH-Trans"/>
      </w:pPr>
      <w:r>
        <w:t xml:space="preserve">«اما شما را به سوگندهایی که بسته‌اید مؤاخذه می‌کند … و سوگندهای خود را حفظ کنید.» (مائده: ۸۹)</w:t>
      </w:r>
      <w:r>
        <w:rPr>
          <w:rStyle w:val="FootnoteReference"/>
        </w:rPr>
        <w:footnoteReference w:id="108"/>
      </w:r>
    </w:p>
    <w:p>
      <w:pPr>
        <w:pStyle w:val="TH-Body"/>
      </w:pPr>
      <w:r>
        <w:t xml:space="preserve">در معاهدات بین‌المللی کهن، و نیز در بخشی از تعهدات معاصر، عنصر سوگند وجود داشته و دارد. در فقه امامیه، سوگند به خدا، التزام را تأکید می‌کند و شکستن آن، کفاره دارد. آیهٔ فوق، دستور به حفظ ایمان می‌دهد. کاربرد این آیه در مسئلهٔ حاضر محدود است؛ زیرا معاهدات امروزی غالباً فاقد عنصر سوگند شرعی‌اند. با این حال، دلالت آن بر «تأکید التزام» و بر «مسئولیت در برابر شکستن تعهد مؤکد» به‌عنوان مؤیدی بر قاعدهٔ وفا قابل استفاده است. در آیهٔ ۹۱ سورهٔ نحل نیز تعبیر «وَقَدْ جَعَلْتُمُ اللَّهَ عَلَیْکُمْ کَفِیلًا» به همین جهت اشاره دارد.</w:t>
      </w:r>
    </w:p>
    <w:p>
      <w:pPr>
        <w:pStyle w:val="TH-Band"/>
      </w:pPr>
      <w:r>
        <w:t xml:space="preserve">بند سوم: نشانهٔ منافق: وعده‌خلافی</w:t>
      </w:r>
    </w:p>
    <w:p>
      <w:pPr>
        <w:pStyle w:val="TH-Riwayah"/>
      </w:pPr>
      <w:r>
        <w:t xml:space="preserve">آيَةُ الْمُنَافِقِ ثَلَاثٌ: إِذَا حَدَّثَ كَذَبَ، وَإِذَا وَعَدَ أَخْلَفَ، وَإِذَا اؤْتُمِنَ خَانَ</w:t>
      </w:r>
    </w:p>
    <w:p>
      <w:pPr>
        <w:pStyle w:val="TH-Trans"/>
      </w:pPr>
      <w:r>
        <w:t xml:space="preserve">«نشانهٔ منافق سه چیز است: چون سخن گوید، دروغ می‌گوید؛ چون وعده دهد، خلف می‌کند؛ و چون امانت سپرده شود، خیانت می‌کند.»</w:t>
      </w:r>
    </w:p>
    <w:p>
      <w:pPr>
        <w:pStyle w:val="TH-Body"/>
      </w:pPr>
      <w:r>
        <w:t xml:space="preserve">این روایت در جوامع حدیثی امامیه</w:t>
      </w:r>
      <w:r>
        <w:rPr>
          <w:rStyle w:val="FootnoteReference"/>
        </w:rPr>
        <w:footnoteReference w:id="109"/>
      </w:r>
      <w:r>
        <w:t xml:space="preserve"> و نیز در منابع اهل سنت نقل شده است. دلالت آن بر مسئلهٔ حاضر، از جهت «قرار دادن وعده‌خلافی در زمرهٔ نشانه‌های نفاق» است؛ و نفاق، از شدیدترین رذایل اخلاقی و شرعی است. این دلالت، مؤیدی است بر قبح عهدشکنی و بر آن‌که وفای به عهد، از شئون ایمان است. در قرآن نیز در آیات ۱۴۲ و ۱۴۵ سورهٔ نساء، از صفات منافقان به «خداع» و «دوچهرگی» اشاره شده است؛</w:t>
      </w:r>
      <w:r>
        <w:rPr>
          <w:rStyle w:val="FootnoteReference"/>
        </w:rPr>
        <w:footnoteReference w:id="110"/>
      </w:r>
      <w:r>
        <w:t xml:space="preserve"> و در آیهٔ ۲۷ سورهٔ انفال، خیانت در امانت به مؤمنان نسبت داده شده و نهی شده است.</w:t>
      </w:r>
    </w:p>
    <w:p>
      <w:pPr>
        <w:pStyle w:val="TH-Band"/>
      </w:pPr>
      <w:r>
        <w:t xml:space="preserve">بند چهارم: میثاق مدینه و عهدنامهٔ نجران: دو الگوی حکومتی</w:t>
      </w:r>
    </w:p>
    <w:p>
      <w:pPr>
        <w:pStyle w:val="TH-Body"/>
      </w:pPr>
      <w:r>
        <w:t xml:space="preserve">میثاق مدینه.</w:t>
      </w:r>
      <w:r>
        <w:t xml:space="preserve"> پس از هجرت به مدینه (سال اول هجری)، پیامبر اکرم (ص) پیمانی میان مهاجران، انصار و قبایل یهودی مدینه منعقد کرد که به «صحیفهٔ مدینه» یا «میثاق مدینه» معروف است. این سند، که بسیاری از پژوهشگران آن را نخستین قانون اساسی مکتوب جهان می‌دانند، شامل مقرراتی دربارهٔ همزیستی، دفاع مشترک، حل اختلاف، و حقوق و تعهدات متقابل بود؛ و صریحاً تعهدات طرفین را الزام‌آور می‌شمرد.</w:t>
      </w:r>
      <w:r>
        <w:rPr>
          <w:rStyle w:val="FootnoteReference"/>
        </w:rPr>
        <w:footnoteReference w:id="111"/>
      </w:r>
      <w:r>
        <w:t xml:space="preserve"> </w:t>
      </w:r>
      <w:r>
        <w:t xml:space="preserve">دلالت استدلالی:</w:t>
      </w:r>
      <w:r>
        <w:t xml:space="preserve"> پیامبر، حکومت اسلامی را بر پایهٔ «پیمان مکتوب با غیرمسلمانان» استوار ساخت و به آن وفا کرد؛ و این، مؤید آن است که پیمان با دولت‌های غیرمسلمان، در منطق اسلامی مشروع و لازم‌الاتباع است.</w:t>
      </w:r>
    </w:p>
    <w:p>
      <w:pPr>
        <w:pStyle w:val="TH-Body"/>
      </w:pPr>
      <w:r>
        <w:t xml:space="preserve">عهدنامهٔ نجران.</w:t>
      </w:r>
      <w:r>
        <w:t xml:space="preserve"> پیامبر اکرم (ص) با مسیحیان نجران، عهدنامه‌ای منعقد کرد که بر اساس آن، جان، مال، اراضی و عبادتگاه‌های آنان در پناه اسلام تضمین شد و در برابر، جزیه پرداخت می‌کردند. این عهدنامه، نمونهٔ روشن «پیمان بلندمدت با غیرمسلمان» است و خلفای پس از پیامبر نیز به آن عمل کردند.</w:t>
      </w:r>
      <w:r>
        <w:rPr>
          <w:rStyle w:val="FootnoteReference"/>
        </w:rPr>
        <w:footnoteReference w:id="112"/>
      </w:r>
      <w:r>
        <w:t xml:space="preserve"> </w:t>
      </w:r>
      <w:r>
        <w:t xml:space="preserve">دلالت استدلالی:</w:t>
      </w:r>
      <w:r>
        <w:t xml:space="preserve"> وجود چنین عهدنامه‌ای، مؤید آن است که در اسلام، پیمان با غیرمسلمان می‌تواند بلندمدت و مستمر باشد؛ و این، همان یافته‌ای است که در گفتار پنجم فصل اول (تحلیل ذمه و صلح) به دست آمد. در نتیجه، استدلال به «موقتی بودن ذاتی پیمان با غیرمسلمان» فاقد پشتوانهٔ تاریخی و فقهی است.</w:t>
      </w:r>
    </w:p>
    <w:p>
      <w:pPr>
        <w:pStyle w:val="TH-Band"/>
      </w:pPr>
      <w:r>
        <w:t xml:space="preserve">بند پنجم: آرای فقها: از جواهر تا تحریر الوسیله</w:t>
      </w:r>
    </w:p>
    <w:p>
      <w:pPr>
        <w:pStyle w:val="TH-Body"/>
      </w:pPr>
      <w:r>
        <w:t xml:space="preserve">روش این بند.</w:t>
      </w:r>
      <w:r>
        <w:t xml:space="preserve"> در این بند، آرای فقهای امامیه دربارهٔ وفای به عهد و جواز نقض آن در موارد خاص، به نحو اجمال بررسی می‌شود؛ زیرا تفصیل اقوال و ادلهٔ هر یک، در فصل چهارم و در مقام داوری می‌آید. روش، «نقل احسن اقوال» است، نه نقل گزینشی.</w:t>
      </w:r>
    </w:p>
    <w:p>
      <w:pPr>
        <w:pStyle w:val="TH-Body"/>
      </w:pPr>
      <w:r>
        <w:t xml:space="preserve">صاحب جواهر (م ۱۲۶۶ق).</w:t>
      </w:r>
      <w:r>
        <w:t xml:space="preserve"> در کتاب الجهاد از جواهر الکلام، احکام هدنه و امان و ذمه به تفصیل بحث شده است. موضع ایشان را می‌توان در دو گزاره خلاصه کرد: (۱) اصل، لزوم وفای به عهد است و نقض آن بدون دلیل جایز نیست؛ (۲) حاکم می‌تواند هدنه را «عند المصلحة» برهم بزند، مشروط به آن‌که مصلحت مسلمین اقتضا کند و اعلام صورت گیرد.</w:t>
      </w:r>
      <w:r>
        <w:rPr>
          <w:rStyle w:val="FootnoteReference"/>
        </w:rPr>
        <w:footnoteReference w:id="113"/>
      </w:r>
      <w:r>
        <w:t xml:space="preserve"> اهمیت این قول از آن جهت است که از سوی یکی از مبسوط‌ترین آثار فقهی امامیه بیان شده و سابقهٔ فقهی «جواز عدول مصلحتی» را تأمین می‌کند.</w:t>
      </w:r>
    </w:p>
    <w:p>
      <w:pPr>
        <w:pStyle w:val="TH-Body"/>
      </w:pPr>
      <w:r>
        <w:t xml:space="preserve">شیخ انصاری (م ۱۲۸۱ق).</w:t>
      </w:r>
      <w:r>
        <w:t xml:space="preserve"> در کتاب المکاسب و فرائد الاصول، قواعد عام لزوم عقد و خیارات به نحو فنی تحلیل شده است. ایشان در بحث لزوم، بر اصالة اللزوم تأکید کرده و موارد جواز فسخ را محدود به خیارات و موارد منصوص شمرده است.</w:t>
      </w:r>
      <w:r>
        <w:rPr>
          <w:rStyle w:val="FootnoteReference"/>
        </w:rPr>
        <w:footnoteReference w:id="114"/>
      </w:r>
      <w:r>
        <w:t xml:space="preserve"> اگرچه ایشان مستقیماً به معاهدات بین‌المللی نپرداخته‌اند، اما تحلیل فنی ایشان از «لزوم» و از «حکومت ادلهٔ ثانوی بر احکام اولی» در این رساله به‌کار گرفته شده است. انتساب نظر مستقیم در مسئلهٔ معاهدات به ایشان، بدون تسامح ممکن نیست و در این رساله صورت نگرفته است.</w:t>
      </w:r>
    </w:p>
    <w:p>
      <w:pPr>
        <w:pStyle w:val="TH-Body"/>
      </w:pPr>
      <w:r>
        <w:t xml:space="preserve">امام خمینی (م ۱۴۰۹ق).</w:t>
      </w:r>
      <w:r>
        <w:t xml:space="preserve"> در تحریر الوسیله، احکام هدنه و امان و ذمه در کتاب الجهاد آمده و مواضع فقهی ایشان در آنجا منعکس است.</w:t>
      </w:r>
      <w:r>
        <w:rPr>
          <w:rStyle w:val="FootnoteReference"/>
        </w:rPr>
        <w:footnoteReference w:id="115"/>
      </w:r>
      <w:r>
        <w:t xml:space="preserve"> اما مهم‌ترین سهم ایشان در مسئلهٔ حاضر، نه در این اثر، بلکه در «نظریهٔ حکم حکومتی» است که در کتاب البیع و در نامهٔ مورخ ۱۶ دی ۱۳۶۶ صورت‌بندی شده و در گفتار دوم فصل چهارم تحلیل می‌شود.</w:t>
      </w:r>
      <w:r>
        <w:rPr>
          <w:rStyle w:val="FootnoteReference"/>
        </w:rPr>
        <w:footnoteReference w:id="116"/>
      </w:r>
    </w:p>
    <w:p>
      <w:pPr>
        <w:pStyle w:val="TH-Body"/>
      </w:pPr>
      <w:r>
        <w:t xml:space="preserve">سایر فقها.</w:t>
      </w:r>
      <w:r>
        <w:t xml:space="preserve"> سیدمحمدحسن بجنوردی در القواعد الفقهیه (قاعدهٔ لزوم)، میرزای نائینی در منیة الطالب و فوائد الاصول، سیدابوالقاسم خویی در محاضرات فی اصول الفقه و مصباح الفقاهه، و سیدمحسن حکیم در مستمسک العروة الوثقی، تحلیل‌های فنی ارزشمندی دربارهٔ لزوم عقد، تزاحم، و بنای عقلا ارائه کرده‌اند که در فصول بعد از آن‌ها بهره گرفته می‌شود. در فقه سیاسی معاصر نیز، حسینعلی منتظری در دراسات فی ولایة الفقیه، عبدالله جوادی آملی در ولایت فقیه و فقه سیاسی، و عباسعلی عمید زنجانی در فقه سیاسی، به گسترهٔ اختیارات ولی فقیه پرداخته‌اند.</w:t>
      </w:r>
      <w:r>
        <w:rPr>
          <w:rStyle w:val="FootnoteReference"/>
        </w:rPr>
        <w:footnoteReference w:id="117"/>
      </w:r>
    </w:p>
    <w:p>
      <w:pPr>
        <w:pStyle w:val="TH-Goftar"/>
      </w:pPr>
      <w:r>
        <w:t xml:space="preserve">گفتار هشتم: واژه‌شناسی قرآنی: عهد، عقد، میثاق، وعد، امان و ذمه</w:t>
      </w:r>
    </w:p>
    <w:p>
      <w:pPr>
        <w:pStyle w:val="TH-Band"/>
      </w:pPr>
      <w:r>
        <w:t xml:space="preserve">بند اول: ضرورت واژه‌شناسی</w:t>
      </w:r>
    </w:p>
    <w:p>
      <w:pPr>
        <w:pStyle w:val="TH-Body"/>
      </w:pPr>
      <w:r>
        <w:t xml:space="preserve">واژه‌شناسی در این رساله، بحثی تشریفاتی نیست؛ بلکه از جهت استدلالی سه کارکرد دارد: </w:t>
      </w:r>
      <w:r>
        <w:t xml:space="preserve">نخست،</w:t>
      </w:r>
      <w:r>
        <w:t xml:space="preserve"> تعیین قلمرو واژگان، که مستقیماً بر عموم و اطلاق ادله اثر می‌گذارد (چنان‌که در گفتار نخست گذشت). </w:t>
      </w:r>
      <w:r>
        <w:t xml:space="preserve">دوم،</w:t>
      </w:r>
      <w:r>
        <w:t xml:space="preserve"> تفکیک مفاهیم هم‌پوشان، که از خلط در استدلال جلوگیری می‌کند. </w:t>
      </w:r>
      <w:r>
        <w:t xml:space="preserve">سوم،</w:t>
      </w:r>
      <w:r>
        <w:t xml:space="preserve"> کشف نظام معنایی قرآن دربارهٔ تعهد، که ساختار استدلال فقهی را مستحکم می‌سازد. منابع این بند، کتب لغت معتبرند: کتاب العین فراهیدی، لسان العرب ابن‌منظور و مفردات الفاظ القرآن راغب اصفهانی.</w:t>
      </w:r>
      <w:r>
        <w:rPr>
          <w:rStyle w:val="FootnoteReference"/>
        </w:rPr>
        <w:footnoteReference w:id="118"/>
      </w:r>
    </w:p>
    <w:p>
      <w:pPr>
        <w:pStyle w:val="TH-Band"/>
      </w:pPr>
      <w:r>
        <w:t xml:space="preserve">بند دوم: عهد و عقد: التزام و گره</w:t>
      </w:r>
    </w:p>
    <w:p>
      <w:pPr>
        <w:pStyle w:val="TH-Body"/>
      </w:pPr>
      <w:r>
        <w:t xml:space="preserve">عهد.</w:t>
      </w:r>
      <w:r>
        <w:t xml:space="preserve"> راغب اصفهانی می‌گوید: «العَهْدُ: حفظ الشّیء ومراعاته حالاً فحالاً»؛ یعنی عهد به معنای حفظ چیزی و مراقبت از آن، وضعیت به وضعیت است.</w:t>
      </w:r>
      <w:r>
        <w:rPr>
          <w:rStyle w:val="FootnoteReference"/>
        </w:rPr>
        <w:footnoteReference w:id="119"/>
      </w:r>
      <w:r>
        <w:t xml:space="preserve"> این تعریف، دو عنصر دارد: «التزام» و «مراقبت مستمر». عنصر دوم، برای معاهدات بلندمدت که اجرای آن‌ها مستمر است، از جهت تطبیق بسیار مناسب است و با واژهٔ «راعون» در مؤمنون/۸ هم‌خوان است. عهد در قرآن در سه سطح به‌کار رفته است: عهد خدا با بندگان (چون فطرت و رسالت)، عهد بندگان با خدا (چون ایمان و اطاعت)، و عهد بندگان با یکدیگر (چون عقود و معاهدات). سطح سوم، محل بحث این رساله است.</w:t>
      </w:r>
    </w:p>
    <w:p>
      <w:pPr>
        <w:pStyle w:val="TH-Body"/>
      </w:pPr>
      <w:r>
        <w:t xml:space="preserve">عقد.</w:t>
      </w:r>
      <w:r>
        <w:t xml:space="preserve"> راغب اصفهانی می‌گوید: «العَقْدُ: شدّ الشّیء وربطه»؛ یعنی عقد به معنای محکم بستن و گره زدن است.</w:t>
      </w:r>
      <w:r>
        <w:rPr>
          <w:rStyle w:val="FootnoteReference"/>
        </w:rPr>
        <w:footnoteReference w:id="120"/>
      </w:r>
      <w:r>
        <w:t xml:space="preserve"> از این ریشه، «عقد القلب» (تصمیم استوار)، «عقد البیع» (بستن معامله) و «عقد الیمین» (بستن سوگند) اشتقاق یافته است. </w:t>
      </w:r>
      <w:r>
        <w:t xml:space="preserve">نکتهٔ استدلالی مهم:</w:t>
      </w:r>
      <w:r>
        <w:t xml:space="preserve"> معنای لغوی عقد، «استواری و محکمی» است؛ و این، مؤید قاعدهٔ «اصالة اللزوم» است؛ زیرا آنچه ذاتاً «گره محکم» باشد، گشودن آن نیازمند دلیل است. ازاین‌رو، انصراف «العقود» در آیهٔ مائده/۱ به عقود معاوضی خصوصی، فاقد شاهد لغوی است؛ و معنای عام (هر التزام استوار) از جهت لغوی قوی‌تر است.</w:t>
      </w:r>
    </w:p>
    <w:p>
      <w:pPr>
        <w:pStyle w:val="TH-Band"/>
      </w:pPr>
      <w:r>
        <w:t xml:space="preserve">بند سوم: میثاق و وعد: پیمان محکم و تعهد آینده</w:t>
      </w:r>
    </w:p>
    <w:p>
      <w:pPr>
        <w:pStyle w:val="TH-Body"/>
      </w:pPr>
      <w:r>
        <w:t xml:space="preserve">میثاق.</w:t>
      </w:r>
      <w:r>
        <w:t xml:space="preserve"> از ریشهٔ «و ث ق» به معنای استحکام و اطمینان است. راغب اصفهانی می‌گوید: «الوَثاقُ: ما یُشدّ به... والمِیثاقُ: العَهْدُ المحکم»؛ یعنی میثاق، عهد محکم است.</w:t>
      </w:r>
      <w:r>
        <w:rPr>
          <w:rStyle w:val="FootnoteReference"/>
        </w:rPr>
        <w:footnoteReference w:id="121"/>
      </w:r>
      <w:r>
        <w:t xml:space="preserve"> تفاوت میثاق با عهد، در «درجهٔ استحکام» است؛ میثاق، عهد مؤکد و محکم است. در قرآن، میثاق اغلب در سیاق‌های مهم و بنیادین به‌کار رفته است: میثاق انبیا، میثاق بنی‌اسرائیل، و میثاق‌های اجتماعی. ازاین‌رو، هرگاه قرآن تعبیر «لَا یَنقُضُونَ الْمِیثَاقَ»</w:t>
      </w:r>
      <w:r>
        <w:rPr>
          <w:rStyle w:val="FootnoteReference"/>
        </w:rPr>
        <w:footnoteReference w:id="122"/>
      </w:r>
      <w:r>
        <w:t xml:space="preserve"> را به‌کار برده، دلالت بر تأکید مضاعف بر عدم نقض است.</w:t>
      </w:r>
    </w:p>
    <w:p>
      <w:pPr>
        <w:pStyle w:val="TH-Body"/>
      </w:pPr>
      <w:r>
        <w:t xml:space="preserve">وعد.</w:t>
      </w:r>
      <w:r>
        <w:t xml:space="preserve"> به معنای تعهد به امری در آینده است و تفاوت آن با عهد، در «زمان‌مندی» و در «یک‌جانبه بودن» است؛ وعده، اغلب یک‌جانبه است، اما عهد، دو‌جانبه و توافقی است. این تفاوت، برای تفکیک میان «تعهد حقوقی» (معاهده) و «وعدهٔ سیاسی» (بیانیهٔ حسن نیت) که در گفتار اول فصل اول گذشت، پشتوانهٔ لغوی فراهم می‌کند: وعده، الزام حقوقی ایجاد نمی‌کند، اما عهد ایجاد می‌کند.</w:t>
      </w:r>
    </w:p>
    <w:p>
      <w:pPr>
        <w:pStyle w:val="TH-Band"/>
      </w:pPr>
      <w:r>
        <w:t xml:space="preserve">بند چهارم: امان و ذمه: تأمین و عهده</w:t>
      </w:r>
    </w:p>
    <w:p>
      <w:pPr>
        <w:pStyle w:val="TH-Body"/>
      </w:pPr>
      <w:r>
        <w:t xml:space="preserve">امان.</w:t>
      </w:r>
      <w:r>
        <w:t xml:space="preserve"> از ریشهٔ «أ م ن» به معنای امنیت و آرامش است و «إیمان» و «أمان» هر دو از این ریشه‌اند؛ امان، اعطای امنیت است و ایمان، تحصیل امنیت (یا اعطای تصدیق که موجب امنیت می‌شود).</w:t>
      </w:r>
      <w:r>
        <w:rPr>
          <w:rStyle w:val="FootnoteReference"/>
        </w:rPr>
        <w:footnoteReference w:id="123"/>
      </w:r>
      <w:r>
        <w:t xml:space="preserve"> در قرآن، امان به غیرمسلمان نیز اعطا شده است: «وَإِنْ أَحَدٌ مِنَ الْمُشْرِکِینَ اسْتَجَارَکَ فَأَجِرْهُ حَتَّىٰ یَسْمَعَ کَلَامَ اللَّهِ ثُمَّ أَبْلِغْهُ مَأْمَنَهُ»</w:t>
      </w:r>
      <w:r>
        <w:rPr>
          <w:rStyle w:val="FootnoteReference"/>
        </w:rPr>
        <w:footnoteReference w:id="124"/>
      </w:r>
      <w:r>
        <w:t xml:space="preserve">؛ یعنی اگر یکی از مشرکان از تو امان خواست، به او امان بده تا کلام خدا را بشنود، سپس او را به محل امنش برسان. دلالت این آیه بر مسئلهٔ حاضر، از جهت جهان‌شمولی امان و تعهد، بسیار قوی است: حتی مشرک محارب، می‌تواند امان گیرد و این امان محترم است.</w:t>
      </w:r>
    </w:p>
    <w:p>
      <w:pPr>
        <w:pStyle w:val="TH-Body"/>
      </w:pPr>
      <w:r>
        <w:t xml:space="preserve">ذمه.</w:t>
      </w:r>
      <w:r>
        <w:t xml:space="preserve"> راغب اصفهانی می‌گوید: «الذِّمَّةُ: العَهْدُ... وسُمّیَ المُعاهَدُ ذِمِّیاً»؛ یعنی ذمه به معنای عهد است و به کسی که در پیمان قرار گرفته، «ذمی» گفته می‌شود.</w:t>
      </w:r>
      <w:r>
        <w:rPr>
          <w:rStyle w:val="FootnoteReference"/>
        </w:rPr>
        <w:footnoteReference w:id="125"/>
      </w:r>
      <w:r>
        <w:t xml:space="preserve"> ریشهٔ ذمه، «ذمّ» است و وجه تسمیه آن چنین توضیح داده شده که نقض ذمه، موجب ذم و سرزنش است. </w:t>
      </w:r>
      <w:r>
        <w:t xml:space="preserve">نکتهٔ استدلالی:</w:t>
      </w:r>
      <w:r>
        <w:t xml:space="preserve"> واژهٔ ذمه، در ادبیات فقهی ما به دو معنا به‌کار رفته است: معنای خاص (عقد ذمه با اهل کتاب در برابر جزیه) و معنای عام (تعهد و عهده). در روایت «ذِمَّةُ الْمُسْلِمِینَ وَاحِدَةٌ» معنای عام اراده شده است. تفکیک این دو معنا، در تحلیل گفتار پنجم فصل اول حائز اهمیت است و خلط آن‌ها منشأ برخی استنتاج‌های نادرست در ادبیات رایج شده است.</w:t>
      </w:r>
    </w:p>
    <w:p>
      <w:pPr>
        <w:pStyle w:val="TH-Hasel"/>
      </w:pPr>
      <w:r>
        <w:t xml:space="preserve">حاصل فصل سوم</w:t>
      </w:r>
    </w:p>
    <w:p>
      <w:pPr>
        <w:pStyle w:val="TH-Body"/>
      </w:pPr>
      <w:r>
        <w:t xml:space="preserve">قاعدهٔ اولی در تعهدات بین‌المللی دولت اسلامی، «وجوب وفای به عهد» است و این قاعده، با منظومه‌ای از ادله اثبات می‌شود که هر یک به‌تنهایی دارای دلالت‌اند و مجموع آن‌ها، اطمینان کامل ایجاد می‌کند:</w:t>
      </w:r>
    </w:p>
    <w:p>
      <w:pPr>
        <w:pStyle w:val="TH-Body"/>
      </w:pPr>
      <w:r>
        <w:t xml:space="preserve">در سطح کتاب:</w:t>
      </w:r>
      <w:r>
        <w:t xml:space="preserve"> پنج آیهٔ عام (مائده/۱، نحل/۹۱–۹۲، اسراء/۳۴، رعد/۲۰–۲۵، مؤمنون/۸) و چهار آیهٔ خاص (توبه/۴ و ۷، انفال/۵۸ و ۷۲) و دو آیهٔ تکمیلی (نساء/۵۸ و ۱۴۱، مائده/۸۹). دلالت این آیات، از مجرای ظهور صیغهٔ امر در وجوب و عموم یا اطلاق متعلق حاصل می‌شود و شامل معاهدات بین‌المللی دولت اسلامی نیز می‌گردد.</w:t>
      </w:r>
    </w:p>
    <w:p>
      <w:pPr>
        <w:pStyle w:val="TH-Body"/>
      </w:pPr>
      <w:r>
        <w:t xml:space="preserve">در سطح سنت:</w:t>
      </w:r>
      <w:r>
        <w:t xml:space="preserve"> حدیث شروط (با بررسی سندی و اثبات شهرت و استفاضه)، فرازهای متعدد عهدنامهٔ مالک اشتر (به‌ویژه فراز استناد به اجماع عملی مردم و جهان‌شمولی آن حتی میان مشرکان)، روایت «لا دین لمن لا عهد له»، روایت پرچم غادر در قیامت، و روایت «ذمة المسلمین واحدة».</w:t>
      </w:r>
    </w:p>
    <w:p>
      <w:pPr>
        <w:pStyle w:val="TH-Body"/>
      </w:pPr>
      <w:r>
        <w:t xml:space="preserve">در سطح سیره:</w:t>
      </w:r>
      <w:r>
        <w:t xml:space="preserve"> سه الگوی رفتاری قابل استخراج است: وفای صبورانه (حدیبیه و حکمیت)، عدول واکنشیِ اعلام‌شده با تفکیک میان ناقض و غیرناقض و اعطای مهلت (پایان عهد قریش و اعلان برائت)، و مصلحت‌سنجی مقدم. همچنین دو سند حکومتی تاریخی: میثاق مدینه و عهدنامهٔ نجران.</w:t>
      </w:r>
    </w:p>
    <w:p>
      <w:pPr>
        <w:pStyle w:val="TH-Body"/>
      </w:pPr>
      <w:r>
        <w:t xml:space="preserve">در سطح عقل و بنا:</w:t>
      </w:r>
      <w:r>
        <w:t xml:space="preserve"> حکم عقل به قبح نقض عهد (با قید ملازمهٔ عقل و شرع) و بنای عقلا بر وفای به عهد که با سه مجرا امضای شرع یافته است؛ و مهم‌ترین آن‌ها، استناد صریح امیرالمؤمنین (ع) به همین بنا در عهدنامهٔ مالک اشتر.</w:t>
      </w:r>
    </w:p>
    <w:p>
      <w:pPr>
        <w:pStyle w:val="TH-Body"/>
      </w:pPr>
      <w:r>
        <w:t xml:space="preserve">در سطح قواعد فقهی:</w:t>
      </w:r>
      <w:r>
        <w:t xml:space="preserve"> اصالة اللزوم (با تعیین بار اثبات بر عهدهٔ مدعی عدول)، حرمت غدر و خیانت (با کارکرد دوگانه: تأیید قاعده و تأیید ضوابط)، و قاعدهٔ نفی سبیل (با کارکرد دوسویه: تأیید وفا در شرایط عادی و مجوز عدول در فرض سلطه‌آور بودن معاهده).</w:t>
      </w:r>
    </w:p>
    <w:p>
      <w:pPr>
        <w:pStyle w:val="TH-Body"/>
      </w:pPr>
      <w:r>
        <w:t xml:space="preserve">سه قید مهم بر این ادله.</w:t>
      </w:r>
      <w:r>
        <w:t xml:space="preserve"> نخست، دلالت همهٔ این ادله، مقید به «شرایط عادی» است؛ و انصراف آن‌ها از فرض تزاحم با مصلحت اهم، در فصل چهارم از مجرای تحلیل تزاحمی استدلال می‌شود، نه از مجرای تخصیص. دوم، این ادله، هم قاعده را اثبات می‌کنند و هم «شیوهٔ» عدول را مقید می‌سازند (انباذ علی سواء، تفکیک میان ناقض و غیرناقض، اعطای مهلت). سوم، قاعدهٔ نفی سبیل و اصل ۱۵۳ قانون اساسی، در فرض سلطه‌آور بودن معاهده، عدول را از جواز به وجوب ارتقا می‌دهند. با این قاعدهٔ مستحکم، اکنون می‌توان به بحث از استثنای آن پرداخت: فصل چهارم.</w:t>
      </w:r>
    </w:p>
    <w:p>
      <w:pPr>
        <w:pStyle w:val="TH-Fasl"/>
      </w:pPr>
      <w:r>
        <w:t xml:space="preserve">فصل چهارم: مبانی جواز عدول و ضوابط هشت‌گانهٔ آن</w:t>
      </w:r>
    </w:p>
    <w:p>
      <w:pPr>
        <w:pStyle w:val="TH-Body"/>
      </w:pPr>
      <w:r>
        <w:t xml:space="preserve">در فصل سوم، قاعدهٔ اولی (وجوب وفای به عهد) با منظومه‌ای از ادله اثبات شد. اکنون پرسش اصلی رساله مطرح می‌شود: آیا و در چه شرایطی، ولی فقیه می‌تواند از این قاعده عدول کند؟ پاسخ این رساله در دو مرحله ارائه می‌شود: </w:t>
      </w:r>
      <w:r>
        <w:t xml:space="preserve">مرحلهٔ نخست (گفتارهای اول تا سوم)،</w:t>
      </w:r>
      <w:r>
        <w:t xml:space="preserve"> تحلیل سه مبنای فقهی جواز عدول؛ و </w:t>
      </w:r>
      <w:r>
        <w:t xml:space="preserve">مرحلهٔ دوم (گفتار چهارم)،</w:t>
      </w:r>
      <w:r>
        <w:t xml:space="preserve"> تبیین هشت ضابطه‌ای که عدول را از «جواز بی‌حد» به «جواز ضابطه‌مند» تبدیل می‌کند. این دو مرحله، در حقیقت دو بازوی یک استدلال‌اند: مبانی، «امکان» عدول را اثبات می‌کنند و ضوابط، «حدود» آن را تعیین می‌سازند. بدون مبانی، ضوابط بی‌موضوع‌اند و بدون ضوابط، مبانی به اباحهٔ بی‌حد می‌انجامند.</w:t>
      </w:r>
    </w:p>
    <w:p>
      <w:pPr>
        <w:pStyle w:val="TH-Body"/>
      </w:pPr>
      <w:r>
        <w:t xml:space="preserve">یک تذکر روشی.</w:t>
      </w:r>
      <w:r>
        <w:t xml:space="preserve"> سه مبنایی که در این فصل تحلیل می‌شود، «مبانی جایگزین» نیستند که انتخاب یکی، دیگری را منتفی سازد؛ بلکه «مبانی مکمل»‌اند که در یک تصمیم واقعی، هم‌زمان به‌کار می‌روند. تزاحم، چارچوب تحلیل را فراهم می‌کند؛ حکم حکومتی، صلاحیت نهادی تصمیم را تأمین می‌کند؛ و لاضرر و لاحرج، در فرض وجود ضرر یا حرج، مؤیدِ دیگری است. یکدست‌سازی این سه در یک مبنای واحد، هم خلاف واقعیت متنی منابع است و هم از غنای استدلالی آن می‌کاهد. ازاین‌رو، روش این فصل، تحلیل جداگانهٔ هر مبنا و سپس تبیین نسبت میان آن‌هاست.</w:t>
      </w:r>
    </w:p>
    <w:p>
      <w:pPr>
        <w:pStyle w:val="TH-Goftar"/>
      </w:pPr>
      <w:r>
        <w:t xml:space="preserve">گفتار اول: مبنای نخست: تزاحم و قاعدهٔ تقدیم اهمّ</w:t>
      </w:r>
    </w:p>
    <w:p>
      <w:pPr>
        <w:pStyle w:val="TH-Band"/>
      </w:pPr>
      <w:r>
        <w:t xml:space="preserve">بند اول: تفکیک تعارض از تزاحم</w:t>
      </w:r>
    </w:p>
    <w:p>
      <w:pPr>
        <w:pStyle w:val="TH-Body"/>
      </w:pPr>
      <w:r>
        <w:t xml:space="preserve">نخستین گام در تحلیل، تشخیص ماهیت درگیری میان دو حکم است؛ زیرا درمان، تابع تشخیص است و در اصول فقه، قواعد باب تعارض با قواعد باب تزاحم کاملاً متفاوت‌اند.</w:t>
      </w:r>
    </w:p>
    <w:p>
      <w:pPr>
        <w:pStyle w:val="TH-Body"/>
      </w:pPr>
      <w:r>
        <w:t xml:space="preserve">تعارض</w:t>
      </w:r>
      <w:r>
        <w:t xml:space="preserve"> آن است که دو دلیل، از جهت جعل و انشاء با یکدیگر ناسازگار باشند؛ یعنی شارع نمی‌تواند هر دو را جعل کرده باشد. در این فرض، قواعد باب تعارض (ترجیح و تخییر) جاری می‌شود و دلیل مرجوح، از حجیت ساقط می‌گردد. </w:t>
      </w:r>
      <w:r>
        <w:t xml:space="preserve">تزاحم</w:t>
      </w:r>
      <w:r>
        <w:t xml:space="preserve"> آن است که دو دلیل، هر دو مجعول و حجت‌اند و از جهت جعل، هیچ ناسازگاری میان آن‌ها نیست؛ اما مکلف در مقام «امتثال»، قدرت بر جمع ندارد. در این فرض، هر دو حکم بر قوت خود باقی می‌مانند و قواعد باب تزاحم (تقدیم اهم، تخییر، و ترتب) جاری می‌شود.</w:t>
      </w:r>
      <w:r>
        <w:rPr>
          <w:rStyle w:val="FootnoteReference"/>
        </w:rPr>
        <w:footnoteReference w:id="126"/>
      </w:r>
    </w:p>
    <w:p>
      <w:pPr>
        <w:pStyle w:val="TH-Body"/>
      </w:pPr>
      <w:r>
        <w:t xml:space="preserve">تطبیق بر مسئلهٔ حاضر.</w:t>
      </w:r>
      <w:r>
        <w:t xml:space="preserve"> درگیری میان «وجوب وفای به عهد» و «وجوب حفظ نظام اسلامی»، از سنخ تزاحم است، نه تعارض. دلیل این تشخیص در سه گزاره است: </w:t>
      </w:r>
      <w:r>
        <w:t xml:space="preserve">نخست،</w:t>
      </w:r>
      <w:r>
        <w:t xml:space="preserve"> هیچ‌یک از دو دلیل، دلیل دیگر را نفی نمی‌کند؛ وجوب وفا، نفی‌کنندهٔ وجوب حفظ نظام نیست و وجوب حفظ نظام نیز نفی‌کنندهٔ وجوب وفا نیست. </w:t>
      </w:r>
      <w:r>
        <w:t xml:space="preserve">دوم،</w:t>
      </w:r>
      <w:r>
        <w:t xml:space="preserve"> هر دو حکم، در شرایط عادی، با یکدیگر قابل جمع‌اند و در عمل نیز جمع می‌شوند؛ یعنی دولت اسلامی هم به عهد وفا می‌کند و هم نظام را حفظ می‌کند. ناسازگاری، تنها در فرض استثنائی و نادر پدید می‌آید. </w:t>
      </w:r>
      <w:r>
        <w:t xml:space="preserve">سوم،</w:t>
      </w:r>
      <w:r>
        <w:t xml:space="preserve"> منشأ ناسازگاری، نه «جعل»، بلکه «قد مکلف بر امتثال» است؛ و این، دقیقاً معیار تزاحم است.</w:t>
      </w:r>
    </w:p>
    <w:p>
      <w:pPr>
        <w:pStyle w:val="TH-Body"/>
      </w:pPr>
      <w:r>
        <w:t xml:space="preserve">اهمیت استدلالی این تشخیص، در سه نتیجه است.</w:t>
      </w:r>
      <w:r>
        <w:t xml:space="preserve"> </w:t>
      </w:r>
      <w:r>
        <w:t xml:space="preserve">نتیجهٔ نخست:</w:t>
      </w:r>
      <w:r>
        <w:t xml:space="preserve"> چون درگیری از سنخ تزاحم است، ادلهٔ وجوب وفا «تخصیص» نمی‌خورند؛ یعنی قاعدهٔ وفا بر عموم و اطلاق خود باقی می‌ماند و تنها در فرض خاص استثنائی، در مقام امتثال، حکم اهم مقدم می‌شود. این، تفاوت بنیادین با دیدگاه «تخصیص» است؛ زیرا در تخصیص، قاعده از درون تضعیف می‌شود و دامنهٔ آن به‌طور دائم محدود می‌گردد، اما در تزاحم، قاعده دست‌نخورده می‌ماند. </w:t>
      </w:r>
      <w:r>
        <w:t xml:space="preserve">نتیجهٔ دوم:</w:t>
      </w:r>
      <w:r>
        <w:t xml:space="preserve"> بار اثبات بر عهدهٔ مدعی عدول است و این بار، سنگین است؛ زیرا باید «عدم قدرت بر امتثال هر دو» را احراز کند، نه صرفاً «مرجوح بودن وفا». </w:t>
      </w:r>
      <w:r>
        <w:t xml:space="preserve">نتیجهٔ سوم:</w:t>
      </w:r>
      <w:r>
        <w:t xml:space="preserve"> عدول، «حکم دائمی» نیست؛ بلکه تابع تداوم تزاحم است و با زوال تزاحم، وجوب وفا بازمی‌گردد. این، مبنای ضابطهٔ پنجم (تدریجی بودن) و مبنای لزوم بازبینی مستمر است.</w:t>
      </w:r>
    </w:p>
    <w:p>
      <w:pPr>
        <w:pStyle w:val="TH-Band"/>
      </w:pPr>
      <w:r>
        <w:t xml:space="preserve">بند دوم: قواعد باب تزاحم: اهمّ، تخییر و ترتب</w:t>
      </w:r>
    </w:p>
    <w:p>
      <w:pPr>
        <w:pStyle w:val="TH-Body"/>
      </w:pPr>
      <w:r>
        <w:t xml:space="preserve">در باب تزاحم، سه قاعده به ترتیب اولویت جاری می‌شود:</w:t>
      </w:r>
    </w:p>
    <w:p>
      <w:pPr>
        <w:pStyle w:val="TH-Body"/>
      </w:pPr>
      <w:r>
        <w:t xml:space="preserve">قاعدهٔ نخست: تقدیم اهمّ.</w:t>
      </w:r>
      <w:r>
        <w:t xml:space="preserve"> اگر میان دو واجب، از جهت اهمیت تفاوت باشد، اهم مقدم است و مکلف موظف به امتثال آن است. معیار اهمیت، یا نصّ است (چون روایات و آیاتی که بر اهمیت یک حکم تصریح کرده‌اند)، یا ملاک‌های عقلی و شرعی (چون گستردگی آثار، شدت مفسدهٔ ترک، و اجماع فقها).</w:t>
      </w:r>
      <w:r>
        <w:rPr>
          <w:rStyle w:val="FootnoteReference"/>
        </w:rPr>
        <w:footnoteReference w:id="127"/>
      </w:r>
      <w:r>
        <w:t xml:space="preserve"> در ما نحن فیه، «حفظ نظام اسلامی» از مهم‌ترین واجبات و بلکه از «اوجب واجبات» شمرده شده است؛ و فقهای امامیه در لزوم حفظ بیضهٔ اسلام و نظام اسلامی، اجماع عملی دارند. ازاین‌رو، در فرض تزاحم واقعی میان وفای به عهد و حفظ نظام، حفظ نظام مقدم است.</w:t>
      </w:r>
    </w:p>
    <w:p>
      <w:pPr>
        <w:pStyle w:val="TH-Body"/>
      </w:pPr>
      <w:r>
        <w:t xml:space="preserve">قاعدهٔ دوم: تخییر در فرض تساوی.</w:t>
      </w:r>
      <w:r>
        <w:t xml:space="preserve"> اگر دو واجب هم‌سنگ باشند و هیچ‌یک اهمّ نباشد، مکلف مخیّر است. این فرض در ما نحن فیه نادر است؛ زیرا حفظ نظام، معمولاً بر سایر واجبات اهمیت دارد. با این حال، ذکر آن برای تمامیت بحث ضروری است؛ و در فروض جزئی‌تر (چون تزاحم میان دو مصلحت هم‌سنگ در عرصهٔ سیاست خارجی) کاربرد دارد.</w:t>
      </w:r>
    </w:p>
    <w:p>
      <w:pPr>
        <w:pStyle w:val="TH-Body"/>
      </w:pPr>
      <w:r>
        <w:t xml:space="preserve">قاعدهٔ سوم: ترتب.</w:t>
      </w:r>
      <w:r>
        <w:t xml:space="preserve"> اگر بتوان با «ترتب» هر دو حکم را حفظ کرد یعنی حکم دوم را مقید به فرض عصیان حکم نخست نمود تزاحم مرتفع می‌شود و نیازی به تقدیم و تأخیر نیست.</w:t>
      </w:r>
      <w:r>
        <w:rPr>
          <w:rStyle w:val="FootnoteReference"/>
        </w:rPr>
        <w:footnoteReference w:id="128"/>
      </w:r>
      <w:r>
        <w:t xml:space="preserve"> در ما نحن فیه، ترتب به‌صورت عملی چنین تقریر می‌شود: «وفای به عهد واجب است؛ و اگر حاکم به‌دلیل تزاحم با حفظ نظام، وفا نکرد، همان مقدار که ترک کرده، ضمان یا جبران آن بر عهدهٔ اوست.» این تقریر، دو اثر عملی دارد: نخست، عدول را از «اباحهٔ محض» خارج می‌سازد و به آن «بار جبرانی» می‌دهد؛ و دوم، مبنای فقهی «جبران خسارت» در فصل پنجم است.</w:t>
      </w:r>
    </w:p>
    <w:p>
      <w:pPr>
        <w:pStyle w:val="TH-Body"/>
      </w:pPr>
      <w:r>
        <w:t xml:space="preserve">نکتهٔ روشی مهم: قاعدهٔ حکومت.</w:t>
      </w:r>
      <w:r>
        <w:t xml:space="preserve"> در اصول نائینی، «حکومت» یک دلیل بر دلیل دیگر، از مجاری رفع تزاحم است؛ یعنی دلیل حاکم، موضوع دلیل محکوم را رفع یا توسعه می‌دهد و در نتیجه، تزاحم از ریشه مرتفع می‌شود.</w:t>
      </w:r>
      <w:r>
        <w:rPr>
          <w:rStyle w:val="FootnoteReference"/>
        </w:rPr>
        <w:footnoteReference w:id="129"/>
      </w:r>
      <w:r>
        <w:t xml:space="preserve"> این نکته، پل میان گفتار نخست (تزاحم) و گفتار دوم (حکم حکومتی) است؛ زیرا حکم حکومتی در نظریهٔ امام خمینی، دقیقاً از مجرای «حکومت» بر احکام اولیه عمل می‌کند و نه از مجرای تخصیص. تحلیل فنی آن در گفتار دوم می‌آید.</w:t>
      </w:r>
    </w:p>
    <w:p>
      <w:pPr>
        <w:pStyle w:val="TH-Band"/>
      </w:pPr>
      <w:r>
        <w:t xml:space="preserve">بند سوم: تزاحم با چه چیزی؟ تعیین مصداق اهمّ</w:t>
      </w:r>
    </w:p>
    <w:p>
      <w:pPr>
        <w:pStyle w:val="TH-Body"/>
      </w:pPr>
      <w:r>
        <w:t xml:space="preserve">پرسش حساس آن است که «اهمّ» در ما نحن فیه، چیست؟ زیرا هرچه دایرهٔ اهمّ گسترده‌تر گرفته شود، مجوز عدول فراوان‌تر و ضابطه‌ها سست‌تر می‌شود. در ادبیات رایج، واژگانی چون «مصلحت نظام»، «منافع ملی» و «مصلحت اسلام» به نحو موسع و گاه بدون تعیین مصداق به‌کار می‌روند؛ و همین اجمال، بزرگ‌ترین خطر این بحث است. ازاین‌رو، تعیین مصداق، از اصل قاعده مهم‌تر است.</w:t>
      </w:r>
    </w:p>
    <w:p>
      <w:pPr>
        <w:pStyle w:val="TH-Body"/>
      </w:pPr>
      <w:r>
        <w:t xml:space="preserve">مصداق نخست: حفظ بیضهٔ اسلام و کیان نظام اسلامی.</w:t>
      </w:r>
      <w:r>
        <w:t xml:space="preserve"> این، مصداق اجماعی و قطعی است و فقهای امامیه در لزوم حفظ آن اتفاق نظر دارند. اگر ادامهٔ اجرای معاهده‌ای به فروپاشی نظام یا به تعرض نظامی بیرونی بینجامد، عدول جایز و بلکه واجب است.</w:t>
      </w:r>
      <w:r>
        <w:rPr>
          <w:rStyle w:val="FootnoteReference"/>
        </w:rPr>
        <w:footnoteReference w:id="130"/>
      </w:r>
    </w:p>
    <w:p>
      <w:pPr>
        <w:pStyle w:val="TH-Body"/>
      </w:pPr>
      <w:r>
        <w:t xml:space="preserve">مصداق دوم: نفی سلطهٔ بیگانه.</w:t>
      </w:r>
      <w:r>
        <w:t xml:space="preserve"> این مصداق، از جهت ادله، مستحکم است؛ زیرا هم قاعدهٔ نفی سبیل</w:t>
      </w:r>
      <w:r>
        <w:rPr>
          <w:rStyle w:val="FootnoteReference"/>
        </w:rPr>
        <w:footnoteReference w:id="131"/>
      </w:r>
      <w:r>
        <w:t xml:space="preserve"> و هم اصل ۱۵۳ قانون اساسی</w:t>
      </w:r>
      <w:r>
        <w:rPr>
          <w:rStyle w:val="FootnoteReference"/>
        </w:rPr>
        <w:footnoteReference w:id="132"/>
      </w:r>
      <w:r>
        <w:t xml:space="preserve"> بر آن دلالت دارند. در این فرض، عدول نه‌تنها جایز، بلکه به حکم «ممنوع است» در اصل ۱۵۳، لازم است. این، قوی‌ترین مصداق مجوز عدول در نظام حقوقی ایران است؛ زیرا پشتوانهٔ آن، هم شرعی است و هم قانون اساسی.</w:t>
      </w:r>
    </w:p>
    <w:p>
      <w:pPr>
        <w:pStyle w:val="TH-Body"/>
      </w:pPr>
      <w:r>
        <w:t xml:space="preserve">مصداق سوم: ضرر جدی و غیرقابل تحمل بر منافع حیاتی ملت.</w:t>
      </w:r>
      <w:r>
        <w:t xml:space="preserve"> این مصداق، محل احتیاط بیشتر است؛ زیرا «منافع حیاتی» می‌تواند به نحو موسع تفسیر شود و هر زیان اقتصادی جزئی را در بر گیرد. قید ضروری آن است که ضرر، (۱) جدی باشد، (۲) به منافع حیاتی ملت (نه به منافع گروهی، جناحی یا شخصی) مربوط باشد، (۳) با مستند کارشناسی احراز شود، و (۴) از مجاری دیگر قابل دفع نباشد. این چهار قید، در ضابطهٔ نخست و دوم (گفتار چهارم) صورت‌بندی شده است.</w:t>
      </w:r>
    </w:p>
    <w:p>
      <w:pPr>
        <w:pStyle w:val="TH-Body"/>
      </w:pPr>
      <w:r>
        <w:t xml:space="preserve">مصداق چهارم: مصالح راهبردی بلندمدت.</w:t>
      </w:r>
      <w:r>
        <w:t xml:space="preserve"> این مصداق، ضعیف‌ترین مصادیق است و باید با احتیاط فراوان به‌کار رود؛ زیرا هر تصمیمی را می‌توان با استناد به «مصلحت راهبردی» توجیه کرد. دیدگاه این رساله آن است که این مصداق، به‌تنهایی مجوز عدول نیست؛ مگر آن‌که به یکی از سه مصداق پیشین بازگردد و در ضمن آن‌ها احراز شود. به تعبیر دقیق‌تر: «مصلحت راهبردی» دلیل مستقل نیست، بلکه «وصف تشدیدکنندهٔ» دلیل است.</w:t>
      </w:r>
    </w:p>
    <w:p>
      <w:pPr>
        <w:pStyle w:val="TH-Body"/>
      </w:pPr>
      <w:r>
        <w:t xml:space="preserve">نتیجهٔ این بند.</w:t>
      </w:r>
      <w:r>
        <w:t xml:space="preserve"> مصداق اهمّ، باید به نحو «محدود، معین و مستند» احراز شود؛ و احراز آن، بر عهدهٔ نهاد کارشناسی و سپس تصمیم‌گیر نهایی است. هرگاه این احراز، به نحو کلی و بدون تعیین مصداق صورت گیرد، ضابطه‌های هشت‌گانه (گفتار چهارم) کارایی خود را از دست می‌دهند و بحث از «عدول ضابطه‌مند» به «عدول سلیقه‌ای» تبدیل می‌شود. این، همان خطری است که این رساله در پی مهار آن است.</w:t>
      </w:r>
    </w:p>
    <w:p>
      <w:pPr>
        <w:pStyle w:val="TH-Goftar"/>
      </w:pPr>
      <w:r>
        <w:t xml:space="preserve">گفتار دوم: مبنای دوم: حکم حکومتی و ولایت مطلقه</w:t>
      </w:r>
    </w:p>
    <w:p>
      <w:pPr>
        <w:pStyle w:val="TH-Band"/>
      </w:pPr>
      <w:r>
        <w:t xml:space="preserve">بند اول: تبارشناسی حکم حکومتی: از نراقی تا امام</w:t>
      </w:r>
    </w:p>
    <w:p>
      <w:pPr>
        <w:pStyle w:val="TH-Body"/>
      </w:pPr>
      <w:r>
        <w:t xml:space="preserve">«حکم حکومتی» به‌صورت اصطلاح فنی، محصول تطور تاریخی بحث ولایت فقیه در فقه امامیه است. تبیین این تطور، از جهت استدلالی ضروری است؛ زیرا نشان می‌دهد که نظریهٔ امام خمینی، ابداعی بی‌سابقه نیست، بلکه نقطهٔ اوج یک سیر تدریجی است که ریشه در مبانی کهن فقه امامیه دارد.</w:t>
      </w:r>
    </w:p>
    <w:p>
      <w:pPr>
        <w:pStyle w:val="TH-Body"/>
      </w:pPr>
      <w:r>
        <w:t xml:space="preserve">مرحلهٔ نخست: بسط دایرهٔ ولایت (ملا احمد نراقی، م ۱۲۴۴ق).</w:t>
      </w:r>
      <w:r>
        <w:t xml:space="preserve"> نراقی در عوائد الایام، دایرهٔ ولایت فقیه را از «امور حسبیه» فراتر برد و آن را شامل «جمیع ما للنبی و الامام مما یرتبط بتدبیر السیاسة» دانست.</w:t>
      </w:r>
      <w:r>
        <w:rPr>
          <w:rStyle w:val="FootnoteReference"/>
        </w:rPr>
        <w:footnoteReference w:id="133"/>
      </w:r>
      <w:r>
        <w:t xml:space="preserve"> اهمیت گام نراقی در آن است که «سیاست» را صریحاً در قلمرو ولایت فقیه قرار داد؛ و این، مقدمهٔ لازم برای هر بحثی دربارهٔ تصمیم‌های کلان سیاسی چون معاهدات بود.</w:t>
      </w:r>
    </w:p>
    <w:p>
      <w:pPr>
        <w:pStyle w:val="TH-Body"/>
      </w:pPr>
      <w:r>
        <w:t xml:space="preserve">مرحلهٔ دوم: تحلیل محتاطانه (شیخ مرتضی انصاری، م ۱۲۸۱ق).</w:t>
      </w:r>
      <w:r>
        <w:t xml:space="preserve"> انصاری در کتاب المکاسب، ضمن پذیرش اصل ولایت فقیه در امور حسبیه، در بسط آن به «امور عامهٔ سیاسی» احتیاط کرد و روایات استدلال‌شده را به نحو تفصیلی بررسی نمود.</w:t>
      </w:r>
      <w:r>
        <w:rPr>
          <w:rStyle w:val="FootnoteReference"/>
        </w:rPr>
        <w:footnoteReference w:id="134"/>
      </w:r>
      <w:r>
        <w:t xml:space="preserve"> سهم انصاری، «دقت سندی» است؛ و از همین‌رو، هر نظریهٔ توسعه‌گرایانه‌ای در این حوزه، باید از آزمونهٔ نقد سندی او بگذرد.</w:t>
      </w:r>
    </w:p>
    <w:p>
      <w:pPr>
        <w:pStyle w:val="TH-Body"/>
      </w:pPr>
      <w:r>
        <w:t xml:space="preserve">مرحلهٔ سوم: محدودسازی به امور حسبیه (آخوند خراسانی، م ۱۳۲۹ق).</w:t>
      </w:r>
      <w:r>
        <w:t xml:space="preserve"> خراسانی ولایت فقیه را در عصر غیبت محدود به امور حسبیه دانست و برای توسعهٔ آن، دلیل کافی نیافت.</w:t>
      </w:r>
      <w:r>
        <w:rPr>
          <w:rStyle w:val="FootnoteReference"/>
        </w:rPr>
        <w:footnoteReference w:id="135"/>
      </w:r>
      <w:r>
        <w:t xml:space="preserve"> این دیدگاه، در تاریخ فقه سیاسی امامیه، موضع «حداقلی» شمرده می‌شود.</w:t>
      </w:r>
    </w:p>
    <w:p>
      <w:pPr>
        <w:pStyle w:val="TH-Body"/>
      </w:pPr>
      <w:r>
        <w:t xml:space="preserve">مرحلهٔ چهارم: ابزار فنی «حکومت» (میرزای نائینی، م ۱۳۵۵ق).</w:t>
      </w:r>
      <w:r>
        <w:t xml:space="preserve"> نائینی در فوائد الاصول، نظریهٔ «حکومت ادله» را به نحو فنی صورت‌بندی کرد و نشان داد که چگونه یک دلیل می‌تواند بر دلیل دیگر حکومت کند و موضوع آن را رفع یا توسعه دهد، بدون آن‌که موجب تخصیص شود.</w:t>
      </w:r>
      <w:r>
        <w:rPr>
          <w:rStyle w:val="FootnoteReference"/>
        </w:rPr>
        <w:footnoteReference w:id="136"/>
      </w:r>
      <w:r>
        <w:t xml:space="preserve"> سهم نائینی، «ابزار فنی» است؛ و نظریهٔ امام خمینی، بدون این ابزار، صورت‌بندی دقیقی نمی‌یافت.</w:t>
      </w:r>
    </w:p>
    <w:p>
      <w:pPr>
        <w:pStyle w:val="TH-Body"/>
      </w:pPr>
      <w:r>
        <w:t xml:space="preserve">مرحلهٔ پنجم: ولایت مطلقه و حکم حکومتی (امام خمینی، م ۱۴۰۹ق).</w:t>
      </w:r>
      <w:r>
        <w:t xml:space="preserve"> امام خمینی در دروس ولایت فقیه (نجف، ۱۳۴۸ش) و سپس در کتاب البیع، نظریهٔ «ولایت مطلقه» را صورت‌بندی کرد و آن را از احکام اولیهٔ اسلام و مقدم بر احکام فرعیه دانست.</w:t>
      </w:r>
      <w:r>
        <w:rPr>
          <w:rStyle w:val="FootnoteReference"/>
        </w:rPr>
        <w:footnoteReference w:id="137"/>
      </w:r>
      <w:r>
        <w:t xml:space="preserve"> اوج صورت‌بندی این نظریه، در نامهٔ مورخ ۱۶ دی ۱۳۶۶ به آیت‌الله خامنه‌ای (رئیس‌جمهور وقت) است که در آن، «حکم حکومتی» به نحو صریح و با مثال‌های عملی تبیین شده است. این نامه، در صحیفهٔ امام، جلد ۲۰، صفحات ۴۵۱ تا ۴۵۲ درج شده است.</w:t>
      </w:r>
      <w:r>
        <w:rPr>
          <w:rStyle w:val="FootnoteReference"/>
        </w:rPr>
        <w:footnoteReference w:id="138"/>
      </w:r>
    </w:p>
    <w:p>
      <w:pPr>
        <w:pStyle w:val="TH-Body"/>
      </w:pPr>
      <w:r>
        <w:t xml:space="preserve">نتیجهٔ تبارشناسی.</w:t>
      </w:r>
      <w:r>
        <w:t xml:space="preserve"> این سیر پنج‌مرحله‌ای نشان می‌دهد که نظریهٔ حکم حکومتی، محصول یک تطور درون‌فقهی است و هر مرحله، عنصری به آن افزوده: نراقی «قلمرو سیاست»، انصاری «دقت سندی»، خراسانی «احتیاط حداکثری»، نائینی «ابزار حکومت»، و امام خمینی «ولایت مطلقه و حکم حکومتی». استناد به این نظریه در این رساله، به معنای پذیرش تمام مراحل آن است، نه گزینش مرحلهٔ آخر و فراموشی مراحل پیشین؛ و ازاین‌رو، احتیاط انصاری و خراسانی نیز باید در ضوابط (گفتار چهارم) بازتاب یابد.</w:t>
      </w:r>
    </w:p>
    <w:p>
      <w:pPr>
        <w:pStyle w:val="TH-Band"/>
      </w:pPr>
      <w:r>
        <w:t xml:space="preserve">بند دوم: تحلیل نامهٔ ۱۶ دی ۱۳۶۶: نصّ تعیین‌کننده</w:t>
      </w:r>
    </w:p>
    <w:p>
      <w:pPr>
        <w:pStyle w:val="TH-Body"/>
      </w:pPr>
      <w:r>
        <w:t xml:space="preserve">نامهٔ امام خمینی به آیت‌الله خامنه‌ای، از جهت دلالت بر مسئلهٔ حاضر، صریح‌ترین نص معاصر فقه سیاسی امامیه است. سه فراز آن مورد نیاز این بحث است:</w:t>
      </w:r>
    </w:p>
    <w:p>
      <w:pPr>
        <w:pStyle w:val="TH-Riwayah"/>
      </w:pPr>
      <w:r>
        <w:t xml:space="preserve">حکومت که شعبه‌ای از ولایت مطلقهٔ رسول الله است، یکی از احکام اولیهٔ اسلام و مقدم بر تمام احکام فرعیه حتی نماز و روزه و حج است. حاکم می‌تواند مسجد یا منزل را که در مسیر خیابان است خراب کند… و حاکم می‌تواند قراردادهای شرعی را که خود با مردم بسته است، در مواقعی که آن قرارداد مخالف منافع کشور و اسلام باشد، یک‌جانبه لغو کند، و می‌تواند از امور، عبادی یا غیر عبادی، که جریان آن خلاف مصالح اسلام است، از آن، مادامی که چنین است، جلوگیری کند.</w:t>
      </w:r>
    </w:p>
    <w:p>
      <w:pPr>
        <w:pStyle w:val="TH-Trans"/>
      </w:pPr>
      <w:r>
        <w:t xml:space="preserve">صحیفهٔ امام، ج ۲۰، ص ۴۵۱–۴۵۲</w:t>
      </w:r>
      <w:r>
        <w:rPr>
          <w:rStyle w:val="FootnoteReference"/>
        </w:rPr>
        <w:footnoteReference w:id="139"/>
      </w:r>
    </w:p>
    <w:p>
      <w:pPr>
        <w:pStyle w:val="TH-Body"/>
      </w:pPr>
      <w:r>
        <w:t xml:space="preserve">تحلیل فراز نخست: «احکام اولیه» و «مقدم بر احکام فرعیه».</w:t>
      </w:r>
      <w:r>
        <w:t xml:space="preserve"> امام، حکم حکومتی را «یکی از احکام اولیهٔ اسلام» شمرده است. اهمیت این تعبیر، از جهت اصولی، تعیین‌کننده است؛ زیرا در تقسیم رایج احکام به «اولیه» و «ثانویه»، احکام ثانویه (چون لاحرج و لاضرر) در مرتبهٔ پس از احکام اولیه قرار دارند و بر آن‌ها حکومت می‌کنند. اما امام، حکم حکومتی را در مرتبهٔ احکام اولیه و بلکه «مقدم بر تمام احکام فرعیه» قرار داده است؛ یعنی در سلسلهٔ مراتب، بالاتر از احکام ثانویه. نتیجهٔ اصولی: حکومت حکم حکومتی بر ادلهٔ وجوب وفا، از مجرای «حکومت» (به معنای فنی نائینی) است، نه از مجرای تخصیص یا از مجرای احکام ثانویه. این، مبنای آن است که قاعدهٔ وفا دست‌نخورده می‌ماند.</w:t>
      </w:r>
    </w:p>
    <w:p>
      <w:pPr>
        <w:pStyle w:val="TH-Body"/>
      </w:pPr>
      <w:r>
        <w:t xml:space="preserve">تحلیل فراز دوم: «قراردادهای شرعی که خود با مردم بسته است».</w:t>
      </w:r>
      <w:r>
        <w:t xml:space="preserve"> دو قید در این عبارت حائز اهمیت است. </w:t>
      </w:r>
      <w:r>
        <w:t xml:space="preserve">قید نخست: «خود با مردم بسته است».</w:t>
      </w:r>
      <w:r>
        <w:t xml:space="preserve"> یعنی قراردادی که حاکم اسلامی منعقد کرده باشد. معاهدات بین‌المللی دولت اسلامی، از این جهت، در قلمرو این عبارت قرار می‌گیرند؛ زیرا به نمایندگی از ملت و با تأیید مقام رهبری منعقد می‌شوند. </w:t>
      </w:r>
      <w:r>
        <w:t xml:space="preserve">قید دوم: «مخالف منافع کشور و اسلام باشد».</w:t>
      </w:r>
      <w:r>
        <w:t xml:space="preserve"> یعنی شرط جواز لغو، احراز مخالفت با منافع کشور یا اسلام است؛ و این، همان قید «تزاحم با مصلحت اهمّ» است که در گفتار نخست تحلیل شد. باید توجه داشت که این قید، «واقعی» است، نه «ادعایی»؛ یعنی احراز آن باید با مستند صورت گیرد، نه با ادعای صرف. همین قید، مبنای ضابطهٔ نخست است.</w:t>
      </w:r>
    </w:p>
    <w:p>
      <w:pPr>
        <w:pStyle w:val="TH-Body"/>
      </w:pPr>
      <w:r>
        <w:t xml:space="preserve">تحلیل فراز سوم: «مادامی که چنین است».</w:t>
      </w:r>
      <w:r>
        <w:t xml:space="preserve"> این عبارت، از جهت استدلالی، اهمیت ویژه‌ای دارد و متأسفانه در ادبیات رایج کم‌تر مورد توجه قرار گرفته است. عبارت دلالت بر «موقتی بودن» حکم حکومتی و بر «وابستگی آن به تداوم موضوع» دارد؛ یعنی حکم حکومتی، مادامی معتبر است که موضوع آن (خلاف مصالح بودن) باقی باشد و با زوال موضوع، حکم نیز مرتفع می‌شود. </w:t>
      </w:r>
      <w:r>
        <w:t xml:space="preserve">نتیجهٔ عملی:</w:t>
      </w:r>
      <w:r>
        <w:t xml:space="preserve"> عدول از معاهده، «تصمیم دائمی و یک‌باره» نیست؛ بلکه تصمیمی است مقید به تداوم تزاحم و نیازمند بازبینی مستمر. این، مبنای فقهی ضابطهٔ پنجم (تدریجی بودن) و مبنای لزوم پیش‌بینی «سازوکار بازگشت» در هر تصمیم عدول است.</w:t>
      </w:r>
    </w:p>
    <w:p>
      <w:pPr>
        <w:pStyle w:val="TH-Body"/>
      </w:pPr>
      <w:r>
        <w:t xml:space="preserve">جمع‌بندی دلالت نامه.</w:t>
      </w:r>
      <w:r>
        <w:t xml:space="preserve"> نامهٔ امام، چهار دلالت دارد: (۱) اثبات صلاحیت ولی فقیه برای لغو یک‌جانبهٔ قراردادها؛ (۲) مقید ساختن این صلاحیت به شرط «مخالفت با منافع کشور و اسلام»؛ (۳) موقتی بودن حکم و وابستگی آن به تداوم موضوع؛ و (۴) قرار گرفتن حکم حکومتی در مرتبهٔ احکام اولیه و مقدم بر احکام فرعیه. این چهار دلالت، دقیقاً چارچوب استدلالی این رساله را تشکیل می‌دهند و ضوابط هشت‌گانه، صورت‌بندی فنی همان دلالت‌هاست.</w:t>
      </w:r>
    </w:p>
    <w:p>
      <w:pPr>
        <w:pStyle w:val="TH-Band"/>
      </w:pPr>
      <w:r>
        <w:t xml:space="preserve">بند سوم: تحلیل فنی نسبت حکم حکومتی با ادلهٔ وجوب وفا</w:t>
      </w:r>
    </w:p>
    <w:p>
      <w:pPr>
        <w:pStyle w:val="TH-Body"/>
      </w:pPr>
      <w:r>
        <w:t xml:space="preserve">در اصول فقه، سه تصویر برای نسبت میان حکم حکومتی و ادلهٔ وجوب وفا قابل تصور است:</w:t>
      </w:r>
    </w:p>
    <w:p>
      <w:pPr>
        <w:pStyle w:val="TH-Body"/>
      </w:pPr>
      <w:r>
        <w:t xml:space="preserve">تصویر نخست: تخصیص.</w:t>
      </w:r>
      <w:r>
        <w:t xml:space="preserve"> حکم حکومتی، ادلهٔ عام وجوب وفا را تخصیص بزند و مورد خود را از عموم آن‌ها خارج سازد. </w:t>
      </w:r>
      <w:r>
        <w:t xml:space="preserve">نقد:</w:t>
      </w:r>
      <w:r>
        <w:t xml:space="preserve"> این تصویر، با تعبیر «حکومت» در کلام نائینی و با تعبیر «احکام اولیه» در کلام امام سازگار نیست؛ زیرا تخصیص، دایرهٔ دلیل عام را به‌طور دائم محدود می‌سازد، در حالی که در ما نحن فیه، ادلهٔ وفا باید بر عموم خود باقی بمانند.</w:t>
      </w:r>
    </w:p>
    <w:p>
      <w:pPr>
        <w:pStyle w:val="TH-Body"/>
      </w:pPr>
      <w:r>
        <w:t xml:space="preserve">تصویر دوم: ورود.</w:t>
      </w:r>
      <w:r>
        <w:t xml:space="preserve"> حکم حکومتی، موضوع ادلهٔ وجوب وفا را به‌طور واقعی مرتفع سازد؛ یعنی با صدور حکم حکومتی، اصلاً «عهدی» باقی نماند تا وفای به آن واجب باشد. </w:t>
      </w:r>
      <w:r>
        <w:t xml:space="preserve">نقد:</w:t>
      </w:r>
      <w:r>
        <w:t xml:space="preserve"> این تصویر نیز با واقعیت ناسازگار است؛ زیرا عهد در نظام حقوقی بین‌المللی باقی است و آثار نقض آن (مسئولیت بین‌المللی) نیز مترتب می‌شود. اگر حکم حکومتی واقعاً موضوع را مرتفع ساخته بود، بحث مسئولیت بین‌المللی (فصل پنجم) بی‌موضوع می‌شد.</w:t>
      </w:r>
    </w:p>
    <w:p>
      <w:pPr>
        <w:pStyle w:val="TH-Body"/>
      </w:pPr>
      <w:r>
        <w:t xml:space="preserve">تصویر سوم: حکومت (مختار).</w:t>
      </w:r>
      <w:r>
        <w:t xml:space="preserve"> حکم حکومتی، «دامنهٔ موضوع» ادلهٔ وجوب وفا را توسعه یا تضییق می‌دهد؛ یعنی شارع، به‌وسیلهٔ حاکم، تعیین می‌کند که در این فرض خاص، وفای به عهد مصداق «واجب» نیست، بلکه مصداق «حرام» یا «مرجوح» است. در این تصویر، ادلهٔ وفا بر عموم و اطلاق خود باقی می‌مانند، اما تشخیص مصداق، به حاکم واگذار شده است.</w:t>
      </w:r>
      <w:r>
        <w:rPr>
          <w:rStyle w:val="FootnoteReference"/>
        </w:rPr>
        <w:footnoteReference w:id="140"/>
      </w:r>
      <w:r>
        <w:t xml:space="preserve"> </w:t>
      </w:r>
      <w:r>
        <w:t xml:space="preserve">این تصویر، مختار این رساله است</w:t>
      </w:r>
      <w:r>
        <w:t xml:space="preserve">؛ زیرا هم با تعبیر «حکومت» در ادبیات اصولی سازگار است، هم با تعبیر «احکام اولیه و مقدم بر احکام فرعیه» در کلام امام، و هم با واقعیت حقوق بین‌الملل که تعهد را باقی می‌داند و آثار نقض را مترتب می‌سازد.</w:t>
      </w:r>
    </w:p>
    <w:p>
      <w:pPr>
        <w:pStyle w:val="TH-Body"/>
      </w:pPr>
      <w:r>
        <w:t xml:space="preserve">نتیجهٔ مهم این تحلیل.</w:t>
      </w:r>
      <w:r>
        <w:t xml:space="preserve"> بر اساس تصویر مختار، حکم حکومتی، «تکلیف شرعی داخلی» ایجاد می‌کند، اما «تعهد بین‌المللی» را از میان نمی‌برد. این، مبنای نظری «تفکیک سه‌گانهٔ سطوح تحلیل» است که در گفتار سوم فصل پنجم به نحو کامل تبیین می‌شود و ستون فقرات فصل پنجم است. هر تحلیل یکدستی که این دو را یکی بداند، یا به انکار مسئولیت بین‌المللی می‌انجامد (که خلاف واقعیت است) یا به انکار صلاحیت ولی فقیه (که خلاف مبنای فقهی و قانون اساسی است).</w:t>
      </w:r>
    </w:p>
    <w:p>
      <w:pPr>
        <w:pStyle w:val="TH-Band"/>
      </w:pPr>
      <w:r>
        <w:t xml:space="preserve">بند چهارم: اشکالات بر مبنای حکم حکومتی و پاسخ‌ها</w:t>
      </w:r>
    </w:p>
    <w:p>
      <w:pPr>
        <w:pStyle w:val="TH-Body"/>
      </w:pPr>
      <w:r>
        <w:t xml:space="preserve">اشکال نخست: اطلاق بی‌حد و خطر استبداد.</w:t>
      </w:r>
      <w:r>
        <w:t xml:space="preserve"> حکم حکومتی، اگر مطلق و بی‌ضابطه باشد، به استبداد دینی می‌انجامد و هر تصمیمی را می‌توان با آن توجیه کرد. </w:t>
      </w:r>
      <w:r>
        <w:t xml:space="preserve">پاسخ:</w:t>
      </w:r>
      <w:r>
        <w:t xml:space="preserve"> این اشکال، در مقام «ثبوت» وارد نیست، زیرا خود نظریهٔ امام، مقید به «مخالفت با منافع کشور و اسلام» و به «مادامی که چنین است» است. اما در مقام «اثبات» و عمل، اشکال وارد است و پاسخ آن، «ضابطه‌مندسازی» است؛ و از همین‌رو، این رساله ضوابط هشت‌گانه را در گفتار چهارم ارائه می‌کند. به تعبیر دیگر: اشکال، نه بر اصل نظریه، بلکه بر فقدان ضوابط است و درمان آن، نفی نظریه نیست، بلکه تکمیل آن است.</w:t>
      </w:r>
    </w:p>
    <w:p>
      <w:pPr>
        <w:pStyle w:val="TH-Body"/>
      </w:pPr>
      <w:r>
        <w:t xml:space="preserve">اشکال دوم: تضاد با قانون اساسی.</w:t>
      </w:r>
      <w:r>
        <w:t xml:space="preserve"> اصل ۵۷ قانون اساسی، ولایت را «بر طبق اصول آیندهٔ این قانون» مقید کرده و اصل ۱۱۰ نیز اختیارات رهبری را در یازده بند برشمرده است؛ و در هیچ‌یک از این بندها، اختیاری دربارهٔ معاهدات نیامده است. </w:t>
      </w:r>
      <w:r>
        <w:t xml:space="preserve">پاسخ:</w:t>
      </w:r>
      <w:r>
        <w:t xml:space="preserve"> این اشکال، مبتنی بر یک مقدمهٔ نادروست است: آن‌که اصل ۱۱۰، «حصری» است. اما خود اصل ۱۱۰ با تعبیر «وظایف و اختیارات رهبر» و با وجود بندهای عام (چون بند ۱: تعیین سیاست‌های کلی نظام؛ بند ۷: حل اختلاف و تنظیم روابط قوای سه‌گانه؛ و بند ۸: حل معضلات نظام که از طرق عادی قابل حل نیست) نشان می‌دهد که حصری نیست. افزون بر این، اصل ۵ با ارجاع به اصل ۱۰۷ و اصل ۱۱۰ با تعبیر «ولایت امر و امامت امت»، و اصل ۵۷ با تعبیر «ولایت مطلقهٔ امر»، مبنای قانون‌اساسیِ اختیار ولایی را تأمین می‌کنند. تحلیل کامل و منصفانهٔ این اشکال، به گفتار پنجم فصل پنجم واگذار می‌شود؛ زیرا در آن‌جا، دو دیدگاه توسعه‌گرا و حصرگرا به نحو متوازن بررسی و داوری می‌شوند.</w:t>
      </w:r>
    </w:p>
    <w:p>
      <w:pPr>
        <w:pStyle w:val="TH-Body"/>
      </w:pPr>
      <w:r>
        <w:t xml:space="preserve">اشکال سوم: فقدان سابقهٔ فقهی.</w:t>
      </w:r>
      <w:r>
        <w:t xml:space="preserve"> حکم حکومتی، اصطلاحی متأخر است و در آثار فقهی پیشین، به این صورت یافت نمی‌شود؛ ازاین‌رو، بدعت شمرده می‌شود. </w:t>
      </w:r>
      <w:r>
        <w:t xml:space="preserve">پاسخ:</w:t>
      </w:r>
      <w:r>
        <w:t xml:space="preserve"> تبارشناسی ارائه‌شده در بند اول، این اشکال را پاسخ می‌گوید: «اصطلاح» متأخر است، اما «مضمون» دارای سابقهٔ کهن است؛ و فقهای پیشین، همین مضمون را با عباراتی چون «ولایت فقیه در امور حسبیه»، «سیاست شرعیه» و «تصرف حاکم عند المصلحة» بیان کرده‌اند. بدعت، آن است که مضمونی بی‌سابقه وارد شود، نه آن‌که مضمونی کهن، صورت‌بندی فنی تازه‌ای یابد.</w:t>
      </w:r>
    </w:p>
    <w:p>
      <w:pPr>
        <w:pStyle w:val="TH-Body"/>
      </w:pPr>
      <w:r>
        <w:t xml:space="preserve">اشکال چهارم: تعارض با ادلهٔ قطعی وجوب وفا.</w:t>
      </w:r>
      <w:r>
        <w:t xml:space="preserve"> ادلهٔ وجوب وفا (گفتارهای نخست تا پنجم فصل سوم)، قطعی‌الدلاله و بلکه قطعی‌السند‌اند؛ و حکم حکومتی، مبتنی بر ادله‌ای است که بخشی از آن‌ها از جهت سند مورد بحث است. چگونه دلیل ضعیف‌تر، بر دلیل قوی‌تر حکومت می‌کند؟ </w:t>
      </w:r>
      <w:r>
        <w:t xml:space="preserve">پاسخ:</w:t>
      </w:r>
      <w:r>
        <w:t xml:space="preserve"> این اشکال، مبتنی بر خلط میان «حکومت» و «تعارض» است. در حکومت، دو دلیل با یکدیگر تعارض ندارند؛ بلکه دلیل حاکم، «مفهوم و دامنهٔ» دلیل محکوم را تبیین می‌کند. ازاین‌رو، قوت سندی دلیل محکوم، مانع حکومت نیست؛ چنان‌که دلیل «لاحرج» با وجود ضعف نسبی برخی مصادیق، بر ادلهٔ قطعی احکام اولی حکومت می‌کند. افزون بر این، خود نامهٔ امام، به «حکومت که شعبه‌ای از ولایت مطلقهٔ رسول الله است» تصریح کرده و مبنای آن را سیرهٔ نبوی دانسته است، نه صرف ادلهٔ لفظی.</w:t>
      </w:r>
    </w:p>
    <w:p>
      <w:pPr>
        <w:pStyle w:val="TH-Goftar"/>
      </w:pPr>
      <w:r>
        <w:t xml:space="preserve">گفتار سوم: مبنای سوم: قاعدهٔ لاضرر و لاحرج</w:t>
      </w:r>
    </w:p>
    <w:p>
      <w:pPr>
        <w:pStyle w:val="TH-Band"/>
      </w:pPr>
      <w:r>
        <w:t xml:space="preserve">بند اول: تقریر دو قاعده</w:t>
      </w:r>
    </w:p>
    <w:p>
      <w:pPr>
        <w:pStyle w:val="TH-Riwayah"/>
      </w:pPr>
      <w:r>
        <w:t xml:space="preserve">لَا ضَرَرَ وَ لَا ضِرَارَ فِی الْإِسْلَامِ</w:t>
      </w:r>
    </w:p>
    <w:p>
      <w:pPr>
        <w:pStyle w:val="TH-Trans"/>
      </w:pPr>
      <w:r>
        <w:t xml:space="preserve">«در اسلام هیچ ضرر و زیانی روا نداشته‌اند.»</w:t>
      </w:r>
    </w:p>
    <w:p>
      <w:pPr>
        <w:pStyle w:val="TH-Body"/>
      </w:pPr>
      <w:r>
        <w:t xml:space="preserve">قاعدهٔ لاضرر</w:t>
      </w:r>
      <w:r>
        <w:t xml:space="preserve"> از مشهورترین قواعد فقهی است و در منابع امامیه با طرق متعدد نقل شده است؛ از جمله در روایت سمرة بن جندب دربارهٔ نخلستان.</w:t>
      </w:r>
      <w:r>
        <w:rPr>
          <w:rStyle w:val="FootnoteReference"/>
        </w:rPr>
        <w:footnoteReference w:id="141"/>
      </w:r>
      <w:r>
        <w:t xml:space="preserve"> دربارهٔ مفاد «لاضرر» اقوال متعددی مطرح شده است: نفی حکم ضرری، نفی موضوع ضرری، نفی رضایت شارع به ضرر، و نفی جبران‌ناشده بودن ضرر. تحلیل فنی این اقوال، در آثار اصولی به تفصیل آمده است.</w:t>
      </w:r>
      <w:r>
        <w:rPr>
          <w:rStyle w:val="FootnoteReference"/>
        </w:rPr>
        <w:footnoteReference w:id="142"/>
      </w:r>
      <w:r>
        <w:t xml:space="preserve"> دیدگاه برگزیده در این رساله، «نفی حکم ضرری» است؛ یعنی هر حکم شرعی که اجرای آن موجب ضرر بر مکلف شود، در آن فرض از اعتبار ساقط است.</w:t>
      </w:r>
    </w:p>
    <w:p>
      <w:pPr>
        <w:pStyle w:val="TH-Body"/>
      </w:pPr>
      <w:r>
        <w:t xml:space="preserve">قاعدهٔ لاحرج</w:t>
      </w:r>
      <w:r>
        <w:t xml:space="preserve"> بر اساس آیات قرآنی استوار است: «وَمَا جَعَلَ عَلَیْکُمْ فِی الدِّینِ مِنْ حَرَجٍ»</w:t>
      </w:r>
      <w:r>
        <w:rPr>
          <w:rStyle w:val="FootnoteReference"/>
        </w:rPr>
        <w:footnoteReference w:id="143"/>
      </w:r>
      <w:r>
        <w:t xml:space="preserve">، «یُرِیدُ اللَّهُ بِکُمُ الْیُسْرَ وَلَا یُرِیدُ بِکُمُ الْعُسْرَ»</w:t>
      </w:r>
      <w:r>
        <w:rPr>
          <w:rStyle w:val="FootnoteReference"/>
        </w:rPr>
        <w:footnoteReference w:id="144"/>
      </w:r>
      <w:r>
        <w:t xml:space="preserve">، و «وَمَا جَعَلَ عَلَیْکُمْ فِی الدِّینِ مِنْ حَرَجٍ»</w:t>
      </w:r>
      <w:r>
        <w:rPr>
          <w:rStyle w:val="FootnoteReference"/>
        </w:rPr>
        <w:footnoteReference w:id="145"/>
      </w:r>
      <w:r>
        <w:t xml:space="preserve">. مفاد آن، نفی حکمی است که اجرای آن موجب حرج و مشقت غیرمتعارف باشد.</w:t>
      </w:r>
    </w:p>
    <w:p>
      <w:pPr>
        <w:pStyle w:val="TH-Band"/>
      </w:pPr>
      <w:r>
        <w:t xml:space="preserve">بند دوم: تطبیق دو قاعده بر مسئلهٔ حاضر</w:t>
      </w:r>
    </w:p>
    <w:p>
      <w:pPr>
        <w:pStyle w:val="TH-Body"/>
      </w:pPr>
      <w:r>
        <w:t xml:space="preserve">تطبیق لاضرر.</w:t>
      </w:r>
      <w:r>
        <w:t xml:space="preserve"> اگر اجرای معاهده‌ای موجب ضرر جدی و غیرقابل تحمل بر دولت اسلامی یا بر ملت شود، قاعدهٔ لاضرر مجوز عدول است؛ زیرا حکم شرعی وجوب وفا، در فرض ضرری بودن، از اعتبار ساقط است. این، همان تحلیل تزاحم است که از مجرای دیگری بیان شده؛ زیرا «ضرر جدی بر ملت» از مصادیق روشن «تزاحم با حفظ نظام» است.</w:t>
      </w:r>
    </w:p>
    <w:p>
      <w:pPr>
        <w:pStyle w:val="TH-Body"/>
      </w:pPr>
      <w:r>
        <w:t xml:space="preserve">تطبیق لاحرج.</w:t>
      </w:r>
      <w:r>
        <w:t xml:space="preserve"> اگر اجرای معاهده‌ای موجب حرج و مشقت غیرمتعارف شود، قاعدهٔ لاحرج مجوز عدول است. تفاوت این قاعده با لاضرر، در «کیفیت» است، نه در «کمیت»؛ حرج، مشقتی است که متعارف نیست و تحمل آن دشوار است، حتی اگر به «ضرر» مالی یا جانی نینجامد.</w:t>
      </w:r>
    </w:p>
    <w:p>
      <w:pPr>
        <w:pStyle w:val="TH-Body"/>
      </w:pPr>
      <w:r>
        <w:t xml:space="preserve">سه قید ضروری بر این تطبیق.</w:t>
      </w:r>
      <w:r>
        <w:t xml:space="preserve"> این دو قاعده، از جهت استدلالی، «مبانی مؤید»‌اند، نه «مبانی مستقل»؛ زیرا سه قید بر آن‌ها حاکم است که کاربردشان را در ما نحن فیه محدود می‌کند:</w:t>
      </w:r>
    </w:p>
    <w:p>
      <w:pPr>
        <w:pStyle w:val="TH-Body"/>
      </w:pPr>
      <w:r>
        <w:t xml:space="preserve">قید نخست: ضرر و حرج باید «جدی» و «غیرمتعارف» باشد.</w:t>
      </w:r>
      <w:r>
        <w:t xml:space="preserve"> هر ضرر جزئی یا هر مشقت معمول، مجوز عدول نیست؛ زیرا اصل در عقود، تحمل ضرر جزئی در برابر مصلحت کلی است. عهدنامهٔ مالک اشتر، در فراز «وَاجْعَلْ نَفْسَکَ جُنَّةً دُونَمَا أَعْطَیْتَ»</w:t>
      </w:r>
      <w:r>
        <w:rPr>
          <w:rStyle w:val="FootnoteReference"/>
        </w:rPr>
        <w:footnoteReference w:id="146"/>
      </w:r>
      <w:r>
        <w:t xml:space="preserve"> صریحاً حاکم را مکلف می‌سازد که حتی ضرر شخصی را در راه وفای به عهد تحمل کند. ازاین‌رو، استناد به لاضرر برای فرار از هر زیان جزئی، خلاف نص است.</w:t>
      </w:r>
    </w:p>
    <w:p>
      <w:pPr>
        <w:pStyle w:val="TH-Body"/>
      </w:pPr>
      <w:r>
        <w:t xml:space="preserve">قید دوم: ضرر باید به «نظام و امت» باشد، نه به شخص حاکم یا به یک گروه.</w:t>
      </w:r>
      <w:r>
        <w:t xml:space="preserve"> این قید، از جهت استدلالی تعیین‌کننده است و مرز میان «عدول مشروع» و «عدول سلیقه‌ای» را تعیین می‌کند. ضرری که به منافع جناحی، گروهی، نهادی یا شخصی وارد می‌شود، مجوز عدول نیست.</w:t>
      </w:r>
    </w:p>
    <w:p>
      <w:pPr>
        <w:pStyle w:val="TH-Body"/>
      </w:pPr>
      <w:r>
        <w:t xml:space="preserve">قید سوم: ضرر نباید «ناشی از نقض خودِ دولت» باشد.</w:t>
      </w:r>
      <w:r>
        <w:t xml:space="preserve"> اگر دولت با رفتار خود، زمینهٔ ضرر را فراهم ساخته باشد، نمی‌تواند به همان ضرر استناد کند. این قید، در حقوق بین‌الملل نیز موجود است: بند ۲ (ب) مادهٔ ۶۱ و بند ۲ (ب) مادهٔ ۶۲ کنوانسیون وین، استناد به عدم امکان اجرا یا تغییر بنیادین اوضاع را در فرضی که نتیجهٔ نقض خودِ طرف باشد، ممنوع کرده است؛</w:t>
      </w:r>
      <w:r>
        <w:rPr>
          <w:rStyle w:val="FootnoteReference"/>
        </w:rPr>
        <w:footnoteReference w:id="147"/>
      </w:r>
      <w:r>
        <w:t xml:space="preserve"> و در طرح مواد مسئولیت نیز مادهٔ ۲۵ (ضرورت) با قید «مشارکت نداشتن دولت در ایجاد وضعیت» مقید شده است.</w:t>
      </w:r>
      <w:r>
        <w:rPr>
          <w:rStyle w:val="FootnoteReference"/>
        </w:rPr>
        <w:footnoteReference w:id="148"/>
      </w:r>
      <w:r>
        <w:t xml:space="preserve"> </w:t>
      </w:r>
      <w:r>
        <w:t xml:space="preserve">نتیجه:</w:t>
      </w:r>
      <w:r>
        <w:t xml:space="preserve"> این هم‌خوانی سه‌گانه (فقه، حقوق معاهدات، حقوق مسئولیت)، یکی از یافته‌های مهم این رساله است و نشان می‌دهد که قیود عقلانی، در نظام‌های هنجاری گوناگون، به نحو مستقل کشف شده‌اند.</w:t>
      </w:r>
    </w:p>
    <w:p>
      <w:pPr>
        <w:pStyle w:val="TH-Band"/>
      </w:pPr>
      <w:r>
        <w:t xml:space="preserve">بند سوم: جایگاه قاعدهٔ اوجبیت حفظ نظام</w:t>
      </w:r>
    </w:p>
    <w:p>
      <w:pPr>
        <w:pStyle w:val="TH-Body"/>
      </w:pPr>
      <w:r>
        <w:t xml:space="preserve">در ادبیات فقه سیاسی معاصر، قاعده‌ای با عنوان «اوجبیت حفظ نظام اسلامی» به نحو مستقل مطرح شده و گاه به‌عنوان مبنای چهارم جواز عدول شمرده می‌شود. تحلیل دقیق این قاعده، ضروری است؛ زیرا جایگاه آن در ساختار استدلال، تعیین‌کننده است.</w:t>
      </w:r>
    </w:p>
    <w:p>
      <w:pPr>
        <w:pStyle w:val="TH-Body"/>
      </w:pPr>
      <w:r>
        <w:t xml:space="preserve">تحلیل ماهیت قاعده.</w:t>
      </w:r>
      <w:r>
        <w:t xml:space="preserve"> «حفظ نظام اسلامی» در فقه امامیه، از «اوجب واجبات» شمرده شده است؛</w:t>
      </w:r>
      <w:r>
        <w:rPr>
          <w:rStyle w:val="FootnoteReference"/>
        </w:rPr>
        <w:footnoteReference w:id="149"/>
      </w:r>
      <w:r>
        <w:t xml:space="preserve"> و فقهای امامیه در لزوم حفظ بیضهٔ اسلام و کیان نظام اسلامی، اجماع عملی دارند. اما باید توجه داشت که «اوجبیت حفظ نظام»، در ساختار استدلال، یک «مبنای مستقل» نیست؛ بلکه «معیار تشخیص اهمّ» در باب تزاحم است. به تعبیر دقیق‌تر: این قاعده، پاسخ به پرسش «چه چیزی اهمّ است؟» است، نه پاسخ به پرسش «چگونه عدول جایز می‌شود؟». پرسش دوم، در باب تزاحم (گفتار نخست) پاسخ می‌یابد.</w:t>
      </w:r>
    </w:p>
    <w:p>
      <w:pPr>
        <w:pStyle w:val="TH-Body"/>
      </w:pPr>
      <w:r>
        <w:t xml:space="preserve">نتیجهٔ روشی.</w:t>
      </w:r>
      <w:r>
        <w:t xml:space="preserve"> ازاین‌رو، این رساله، «اوجبیت حفظ نظام» را به‌عنوان مبنای چهارم و مستقل جواز عدول نمی‌شمارد؛ بلکه آن را در ضمن گفتار نخست (تزاحم و تقدیم اهمّ) و در ضمن بند سوم آن (تعیین مصداق اهمّ) تحلیل می‌کند. این، یکدست‌سازی نیست، بلکه دقت در جایگاه استدلالی است؛ زیرا شمارش آن به‌عنوان مبنای مستقل، موجب تکرار و موجب توهم آن می‌شود که چهار دلیل مستقل در دست است، در حالی که در واقعیت، سه مبنای فنی (تزاحم، حکم حکومتی، لاضرر و لاحرج) و یک معیار تشخیص اهمّ موجود است. این تفکیک، از یافته‌های روشی این رساله است.</w:t>
      </w:r>
    </w:p>
    <w:p>
      <w:pPr>
        <w:pStyle w:val="TH-Goftar"/>
      </w:pPr>
      <w:r>
        <w:t xml:space="preserve">گفتار چهارم: ضوابط هشت‌گانهٔ جواز عدول</w:t>
      </w:r>
    </w:p>
    <w:p>
      <w:pPr>
        <w:pStyle w:val="TH-Band"/>
      </w:pPr>
      <w:r>
        <w:t xml:space="preserve">بند اول: ضرورت ضابطه‌مندی و منطق دسته‌بندی</w:t>
      </w:r>
    </w:p>
    <w:p>
      <w:pPr>
        <w:pStyle w:val="TH-Body"/>
      </w:pPr>
      <w:r>
        <w:t xml:space="preserve">مبانی سه‌گانهٔ پیشین، «امکان» عدول را اثبات می‌کنند، اما «حدود» آن را تعیین نمی‌سازند. بدون ضابطه، هر عدولی قابل توجیه است و این، همان خطر استبداد است که در اشکال نخست گفتار دوم مطرح شد. ازاین‌رو، تبیین ضوابط، از اصل مبانی مهم‌تر است؛ زیرا در عمل، آنچه تصمیم‌گیر را مهار می‌کند، ضوابط‌اند، نه مبانی نظری.</w:t>
      </w:r>
    </w:p>
    <w:p>
      <w:pPr>
        <w:pStyle w:val="TH-Body"/>
      </w:pPr>
      <w:r>
        <w:t xml:space="preserve">منطق دسته‌بندی.</w:t>
      </w:r>
      <w:r>
        <w:t xml:space="preserve"> هشت ضابطهٔ این رساله، در سه دستهٔ منطقی سامان یافته‌اند و این سامان، تصادفی نیست: </w:t>
      </w:r>
      <w:r>
        <w:t xml:space="preserve">دستهٔ نخست (ضوابط ماهوی: ۱ تا ۳)</w:t>
      </w:r>
      <w:r>
        <w:t xml:space="preserve"> ناظر به «آیا عدول جایز است؟» یعنی شرایط تحقق مجوز. </w:t>
      </w:r>
      <w:r>
        <w:t xml:space="preserve">دستهٔ دوم (ضوابط شکلی: ۴ تا ۶)</w:t>
      </w:r>
      <w:r>
        <w:t xml:space="preserve"> ناظر به «چگونه باید عدول کرد؟» یعنی شیوهٔ اعمال مجوز. </w:t>
      </w:r>
      <w:r>
        <w:t xml:space="preserve">دستهٔ سوم (ضوابط سقفی و پیامدی: ۷ و ۸)</w:t>
      </w:r>
      <w:r>
        <w:t xml:space="preserve"> ناظر به «تا کجا و با چه هزینه‌ای؟» یعنی حدود و آثار. این ترتیب، ترتیب طبیعی تصمیم‌گیری است: نخست باید مجوز احراز شود، سپس شیوهٔ اعمال تعیین گردد، و در پایان، حدود و آثار سنجیده شود.</w:t>
      </w:r>
    </w:p>
    <w:p>
      <w:pPr>
        <w:pStyle w:val="TH-TblCaption"/>
        <w:keepNext/>
      </w:pPr>
      <w:bookmarkStart w:id="4001" w:name="_Toc_tbl001"/>
      <w:bookmarkEnd w:id="4001"/>
      <w:r>
        <w:rPr>
          <w:rFonts w:ascii="Times New Roman" w:hAnsi="Times New Roman" w:cs="B Nazanin" w:eastAsia="B Nazanin"/>
          <w:b/>
          <w:bCs/>
          <w:color w:val="1A1A1A"/>
          <w:sz w:val="22"/>
          <w:szCs w:val="22"/>
          <w:lang w:val="en-US" w:eastAsia="en-US" w:bidi="fa-IR"/>
        </w:rPr>
        <w:t xml:space="preserve">جدول ۱: ضوابط هشت‌گانهٔ جواز عدول از معاهده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شماره</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ضابطه</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دسته</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مبنای استدلالی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احراز تزاحم واقعی با مستند معتبر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ماهوی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آیهٔ انفال/۵۸ (تَخافَنَّ خِیانَةً)؛ قاعدهٔ تزاحم؛ بار اثبات</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تقدم راه‌های حقوقی مندرج در معاهده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ماهوی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۵۴ تا ۶۴ کنوانسیون وین؛ قاعدهٔ کم‌هزینه‌تر بودن</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کارشناسی تخصصی و مشورت نهادی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ماهوی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سیرهٔ معصومان؛ اصل ۱۱۲ و ۱۷۶ قانون اساسی؛ نامهٔ ۱۶ دی ۱۳۶۶</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۴</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تناسب: عدول به اندازهٔ ضرورت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شکلی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آیهٔ توبه/۴ (تفکیک ناقض از غیرناقض)؛ قاعدهٔ تقیید به قدر متیقن</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تدریجی بودن و تقدم تعلیق بر خاتمه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شکلی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فراز «مادامی که چنین است»؛ مواد ۵۷ و ۶۲ کنوانسیون وین</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۶</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 اعلام آشکار و مستدل</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شکلی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آیهٔ انفال/۵۸؛ اعلان برائت در موسم حج؛ مواد ۶۵ تا ۶۸ کنوانسیون وین</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۷</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سقف‌گذاری: عدم تعرض به قواعد آمره و حقوق بشر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آیهٔ نساء/۱۴۱ و اصل ۱۵۳؛ بند ۵ مادهٔ ۶۰ و مادهٔ ۵۳ کنوانسیون وین؛ مواد ۲۶ و ۵۰ طرح مسئولیت</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۸</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لحاظ آثار: محاسبهٔ مسئولیت و اعتبار در مصلحت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پیامدی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روایت پرچم غادر؛ قواعد باب تزاحم؛ طرح مواد مسئولیت</w:t>
            </w:r>
          </w:p>
        </w:tc>
      </w:tr>
    </w:tbl>
    <w:p>
      <w:pPr>
        <w:pStyle w:val="TH-TblSrc"/>
      </w:pPr>
      <w:r>
        <w:rPr>
          <w:rFonts w:ascii="Times New Roman" w:hAnsi="Times New Roman" w:cs="B Nazanin" w:eastAsia="B Nazanin"/>
          <w:color w:val="595959"/>
          <w:sz w:val="20"/>
          <w:szCs w:val="20"/>
          <w:lang w:val="en-US" w:eastAsia="en-US" w:bidi="fa-IR"/>
        </w:rPr>
        <w:t xml:space="preserve">منبع: برگرفته از تحلیل نگارنده بر پایهٔ ادلهٔ فصل سوم و چهارم؛ کنوانسیون وین حقوق معاهدات، مواد ۵۴ تا ۶۴؛ و طرح مواد مسئولیت بین‌المللی دولت‌ها، مواد ۲۵ تا ۲۷ و ۴۹ تا ۵۴.</w:t>
      </w:r>
    </w:p>
    <w:p>
      <w:pPr>
        <w:pStyle w:val="TH-TblAfter"/>
      </w:pPr>
      <w:r>
        <w:t xml:space="preserve"/>
      </w:r>
    </w:p>
    <w:p>
      <w:pPr>
        <w:pStyle w:val="TH-Band"/>
      </w:pPr>
      <w:r>
        <w:t xml:space="preserve">بند دوم: ضابطهٔ نخست: احراز تزاحم واقعی با مستند معتبر</w:t>
      </w:r>
    </w:p>
    <w:p>
      <w:pPr>
        <w:pStyle w:val="TH-Body"/>
      </w:pPr>
      <w:r>
        <w:t xml:space="preserve">تقریر.</w:t>
      </w:r>
      <w:r>
        <w:t xml:space="preserve"> عدول تنها در فرضی جایز است که تزاحم واقعی میان وجوب وفا و حفظ مصلحت اهمّ احراز شود؛ و این احراز، باید مبتنی بر مستند معتبر کارشناسی باشد، نه بر توهم، گمان ضعیف، جوّ سیاسی یا فشار جناحی.</w:t>
      </w:r>
    </w:p>
    <w:p>
      <w:pPr>
        <w:pStyle w:val="TH-Body"/>
      </w:pPr>
      <w:r>
        <w:t xml:space="preserve">مبنای استدلالی.</w:t>
      </w:r>
      <w:r>
        <w:t xml:space="preserve"> آیهٔ شریفهٔ «وَإِمَّا تَخَافَنَّ مِنْ قَوْمٍ خِیَانَةً فَانْبِذْ إِلَیْهِمْ عَلَىٰ سَوَاءٍ»</w:t>
      </w:r>
      <w:r>
        <w:rPr>
          <w:rStyle w:val="FootnoteReference"/>
        </w:rPr>
        <w:footnoteReference w:id="150"/>
      </w:r>
      <w:r>
        <w:t xml:space="preserve"> با قید «تَخافَنَّ» و «مِنْ قَوْمٍ خِیَانَةً»، دلالت دارد که بیم باید مبتنی بر نشانه‌های واقعی خیانت باشد؛ و همین قید، مبنای ضرورت مستند است. افزون بر این، در باب تزاحم، بار اثبات بر عهدهٔ مدعی تقدیم اهمّ است؛ و بار اثبات، با ادعای صرف ادا نمی‌شود.</w:t>
      </w:r>
      <w:r>
        <w:rPr>
          <w:rStyle w:val="FootnoteReference"/>
        </w:rPr>
        <w:footnoteReference w:id="151"/>
      </w:r>
    </w:p>
    <w:p>
      <w:pPr>
        <w:pStyle w:val="TH-Body"/>
      </w:pPr>
      <w:r>
        <w:t xml:space="preserve">عناصر عملی احراز.</w:t>
      </w:r>
      <w:r>
        <w:t xml:space="preserve"> برای احراز تزاحم واقعی، چهار عنصر ضروری است: (۱) تعیین «مصداق اهمّ» از میان چهار مصداق تحلیل‌شده در بند سوم گفتار نخست؛ (۲) ارائهٔ مستندات کارشناسی (گزارش‌های فنی، اقتصادی، امنیتی و حقوقی)؛ (۳) اثبات «عدم امکان جمع» میان دو حکم؛ و (۴) اثبات «نبود مجرای دیگر» برای دفع مصلحت اهمّ (که به ضابطهٔ دوم پیوند دارد). فقدان هر یک از این چهار عنصر، احراز را ناقص می‌سازد.</w:t>
      </w:r>
    </w:p>
    <w:p>
      <w:pPr>
        <w:pStyle w:val="TH-Body"/>
      </w:pPr>
      <w:r>
        <w:t xml:space="preserve">پیامد نقض این ضابطه.</w:t>
      </w:r>
      <w:r>
        <w:t xml:space="preserve"> اگر عدول بدون احراز واقعی صورت گیرد، در نظام داخلی، مصداق «تصمیم بدون مستند» است و در نظام بین‌المللی، مصداق «نقض بی‌مبنا»؛ و در هر دو نظام، آثار نامطلوب دارد. مهم‌تر آن‌که، در نظام شرعی، چنین عدولی داخل در عنوان «غدر» و «خیانت» است؛ زیرا مستند ندارد و ازاین‌رو، از انباذ علی سواء نیز بی‌بهره می‌ماند.</w:t>
      </w:r>
    </w:p>
    <w:p>
      <w:pPr>
        <w:pStyle w:val="TH-Band"/>
      </w:pPr>
      <w:r>
        <w:t xml:space="preserve">بند سوم: ضابطهٔ دوم: تقدم راه‌های حقوقی مندرج در معاهده</w:t>
      </w:r>
    </w:p>
    <w:p>
      <w:pPr>
        <w:pStyle w:val="TH-Body"/>
      </w:pPr>
      <w:r>
        <w:t xml:space="preserve">تقریر.</w:t>
      </w:r>
      <w:r>
        <w:t xml:space="preserve"> پیش از توسل به عدول یک‌جانبه، باید همهٔ راه‌های حقوقی مندرج در متن معاهده و در حقوق بین‌الملل عمومی آزموده شود؛ و عدول، «آخرین چاره» (ultima ratio) است، نه «نخستین گزینه».</w:t>
      </w:r>
    </w:p>
    <w:p>
      <w:pPr>
        <w:pStyle w:val="TH-Body"/>
      </w:pPr>
      <w:r>
        <w:t xml:space="preserve">مبنای استدلالی.</w:t>
      </w:r>
      <w:r>
        <w:t xml:space="preserve"> این ضابطه، بر سه پایه استوار است. </w:t>
      </w:r>
      <w:r>
        <w:t xml:space="preserve">پایهٔ نخست (فقهی):</w:t>
      </w:r>
      <w:r>
        <w:t xml:space="preserve"> قاعدهٔ «التقیید بقدر المتیقن»؛ زیرا مجوز عدول، به قدر ضرورت ثابت شده و ضرورت، تا وقتی مجرای دیگری باز است، تحقق نمی‌یابد. </w:t>
      </w:r>
      <w:r>
        <w:t xml:space="preserve">پایهٔ دوم (حقوق بین‌الملل):</w:t>
      </w:r>
      <w:r>
        <w:t xml:space="preserve"> مواد ۵۴ تا ۶۴ کنوانسیون وین که مجاری موجه را برشمرده‌اند و هر رفتاری خارج از آن‌ها را ناموجه می‌سازند. </w:t>
      </w:r>
      <w:r>
        <w:t xml:space="preserve">پایهٔ سوم (عقلایی):</w:t>
      </w:r>
      <w:r>
        <w:t xml:space="preserve"> قاعدهٔ «ترتیب گزینه‌ها بر اساس هزینه»؛ زیرا گزینه‌های مندرج در معاهده، کم‌هزینه‌تر از عدول یک‌جانبه‌اند.</w:t>
      </w:r>
    </w:p>
    <w:p>
      <w:pPr>
        <w:pStyle w:val="TH-Body"/>
      </w:pPr>
      <w:r>
        <w:t xml:space="preserve">مراتب راه‌های حقوقی به ترتیب هزینه.</w:t>
      </w:r>
      <w:r>
        <w:t xml:space="preserve"> (۱) </w:t>
      </w:r>
      <w:r>
        <w:t xml:space="preserve">تفسیر:</w:t>
      </w:r>
      <w:r>
        <w:t xml:space="preserve"> تعیین معنای تعهد بر اساس مواد ۳۱ و ۳۲ کنوانسیون وین؛ چه‌بسا رفتاری که در نگاه نخست نقض است، با تفسیر صحیح، نقض نباشد. (۲) </w:t>
      </w:r>
      <w:r>
        <w:t xml:space="preserve">مذاکره برای اصلاح یا بازنگری:</w:t>
      </w:r>
      <w:r>
        <w:t xml:space="preserve"> راه حاکمانه و کم‌هزینه. (۳) </w:t>
      </w:r>
      <w:r>
        <w:t xml:space="preserve">اعمال حق شرط یا حق مندرج در متن:</w:t>
      </w:r>
      <w:r>
        <w:t xml:space="preserve"> اگر معاهده، حق خروج، تعلیق یا بازنگری پیش‌بینی کرده باشد. (۴) </w:t>
      </w:r>
      <w:r>
        <w:t xml:space="preserve">استناد به نقض اساسی طرف مقابل (مادهٔ ۶۰):</w:t>
      </w:r>
      <w:r>
        <w:t xml:space="preserve"> در فرض نقض طرف دیگر. (۵) </w:t>
      </w:r>
      <w:r>
        <w:t xml:space="preserve">استناد به تغییر بنیادین اوضاع (مادهٔ ۶۲) یا عدم امکان اجرا (مادهٔ ۶۱).</w:t>
      </w:r>
      <w:r>
        <w:t xml:space="preserve"> (۶) </w:t>
      </w:r>
      <w:r>
        <w:t xml:space="preserve">اعلام بی‌اعتباری:</w:t>
      </w:r>
      <w:r>
        <w:t xml:space="preserve"> در فرض وجود عیب اراده (مواد ۴۶ تا ۵۳). (۷) </w:t>
      </w:r>
      <w:r>
        <w:t xml:space="preserve">عدول یک‌جانبهٔ مبتنی بر مصلحت:</w:t>
      </w:r>
      <w:r>
        <w:t xml:space="preserve"> آخرین گزینه.</w:t>
      </w:r>
    </w:p>
    <w:p>
      <w:pPr>
        <w:pStyle w:val="TH-Body"/>
      </w:pPr>
      <w:r>
        <w:t xml:space="preserve">پیامد عملی برای مرحلهٔ انعقاد.</w:t>
      </w:r>
      <w:r>
        <w:t xml:space="preserve"> این ضابطه، یک پیامد «پیشگیرانه» نیز دارد: هرچه هنگام انعقاد معاهده، شرط‌های خروج، بازنگری، تعلیق و حل اختلاف دقیق‌تر گنجانده شود، در آینده کمتر نیاز به توسل به گزینهٔ آخر خواهد بود. ازاین‌رو، ضابطهٔ دوم، در حقیقت تکلیفی است بر «مذاکره‌کننده»، نه تنها بر «تصمیم‌گیر».</w:t>
      </w:r>
    </w:p>
    <w:p>
      <w:pPr>
        <w:pStyle w:val="TH-Band"/>
      </w:pPr>
      <w:r>
        <w:t xml:space="preserve">بند چهارم: ضابطهٔ سوم: کارشناسی تخصصی و مشورت نهادی</w:t>
      </w:r>
    </w:p>
    <w:p>
      <w:pPr>
        <w:pStyle w:val="TH-Body"/>
      </w:pPr>
      <w:r>
        <w:t xml:space="preserve">تقریر.</w:t>
      </w:r>
      <w:r>
        <w:t xml:space="preserve"> تشخیص تزاحم و تعیین مصلحت اهمّ، امری تخصصی است و باید از مجرای نهاد‌های کارشناسی و مشورتی صورت گیرد؛ تصمیم‌گیر نهایی، بر اساس گزارش این نهادها تصمیم می‌گیرد، نه بر اساس تشخیص شخصیِ بدون کارشناسی.</w:t>
      </w:r>
    </w:p>
    <w:p>
      <w:pPr>
        <w:pStyle w:val="TH-Body"/>
      </w:pPr>
      <w:r>
        <w:t xml:space="preserve">مبنای استدلالی.</w:t>
      </w:r>
      <w:r>
        <w:t xml:space="preserve"> </w:t>
      </w:r>
      <w:r>
        <w:t xml:space="preserve">مبنای نخست (سیرهٔ معصومان):</w:t>
      </w:r>
      <w:r>
        <w:t xml:space="preserve"> پیامبر اکرم (ص) و امیرالمؤمنین (ع) در تصمیم‌های کلان، با اصحاب و کارشناسان مشورت می‌کردند؛ و در صلح حدیبیه نیز، فرایند مذاکره و بررسی شرایط صورت گرفت. </w:t>
      </w:r>
      <w:r>
        <w:t xml:space="preserve">مبنای دوم (قانون اساسی):</w:t>
      </w:r>
      <w:r>
        <w:t xml:space="preserve"> اصل ۱۱۲، «مجمع تشخیص مصلحت نظام» را به‌عنوان نهاد تخصصی مصلحت‌سنجی پیش‌بینی کرده و اصل ۱۷۶، «شورای عالی امنیت ملی» را مأمور تعیین سیاست‌های دفاعی‌امنیتی در چارچوب سیاست‌های کلی رهبری کرده است.</w:t>
      </w:r>
      <w:r>
        <w:rPr>
          <w:rStyle w:val="FootnoteReference"/>
        </w:rPr>
        <w:footnoteReference w:id="152"/>
      </w:r>
      <w:r>
        <w:t xml:space="preserve"> </w:t>
      </w:r>
      <w:r>
        <w:t xml:space="preserve">مبنای سوم (متن نامهٔ امام):</w:t>
      </w:r>
      <w:r>
        <w:t xml:space="preserve"> عبارت «در مواقعی که آن قرارداد مخالف منافع کشور و اسلام باشد» دلالت بر آن دارد که تشخیص این مخالفت، نیازمند بررسی و احراز است؛ و احراز، بدون کارشناسی ممکن نیست.</w:t>
      </w:r>
    </w:p>
    <w:p>
      <w:pPr>
        <w:pStyle w:val="TH-Body"/>
      </w:pPr>
      <w:r>
        <w:t xml:space="preserve">تقسیم کار نهادی.</w:t>
      </w:r>
      <w:r>
        <w:t xml:space="preserve"> نسبت میان نهاد کارشناسی و تصمیم‌گیر نهایی، نسبت «کارشناسی» به «تصمیم» است، نه نسبت «تصمیم» به «تصمیم». یعنی مجمع تشخیص مصلحت یا شورای عالی امنیت ملی، «مصلحت» را کارشناسی و صورت‌بندی می‌کنند، اما «تصمیم نهایی» با ولی فقیه است. این تقسیم کار، از حکمت‌های نظام حقوقی ایران است؛ زیرا هم از خودسری جلوگیری می‌کند و هم از فلج تصمیم‌گیری. ازاین‌رو، هر تفسیری که این دو را در یکدیگر ادغام کند، خلاف نص و خلاف حکمت نظام است.</w:t>
      </w:r>
    </w:p>
    <w:p>
      <w:pPr>
        <w:pStyle w:val="TH-Body"/>
      </w:pPr>
      <w:r>
        <w:t xml:space="preserve">عناصر ضروری کارشناسی.</w:t>
      </w:r>
      <w:r>
        <w:t xml:space="preserve"> گزارش کارشناسی باید حداقل پنج عنصر داشته باشد: (۱) تحلیل متن معاهده و تعهدات دقیق؛ (۲) تحلیل آثار اجرای معاهده با مستندات کمی و کیفی؛ (۳) بررسی گزینه‌های جایگزین (ضابطهٔ دوم)؛ (۴) پیش‌بینی آثار عدول، از جمله مسئولیت بین‌المللی (ضابطهٔ هشتم)؛ و (۵) پیشنهاد صریح دربارهٔ «مرحلهٔ» عدول (تعلیق جزئی، تعلیق کامل، خروج). فقدان هر یک از این عناصر، گزارش را ناقص می‌سازد و تصمیم مبتنی بر آن، مخدوش است.</w:t>
      </w:r>
    </w:p>
    <w:p>
      <w:pPr>
        <w:pStyle w:val="TH-Band"/>
      </w:pPr>
      <w:r>
        <w:t xml:space="preserve">بند پنجم: ضابطهٔ چهارم: تناسب (عدول به اندازهٔ ضرورت)</w:t>
      </w:r>
    </w:p>
    <w:p>
      <w:pPr>
        <w:pStyle w:val="TH-Body"/>
      </w:pPr>
      <w:r>
        <w:t xml:space="preserve">تقریر.</w:t>
      </w:r>
      <w:r>
        <w:t xml:space="preserve"> عدول باید به اندازهٔ ضرورت باشد؛ یعنی تنها همان بخشی از تعهد که اجرای آن با مصلحت اهمّ در تزاحم است، معلق یا منتفی شود، نه کل معاهده. تجاوز از قدر ضرورت، خود مصداق نقض است.</w:t>
      </w:r>
    </w:p>
    <w:p>
      <w:pPr>
        <w:pStyle w:val="TH-Body"/>
      </w:pPr>
      <w:r>
        <w:t xml:space="preserve">مبنای استدلالی.</w:t>
      </w:r>
      <w:r>
        <w:t xml:space="preserve"> </w:t>
      </w:r>
      <w:r>
        <w:t xml:space="preserve">مبنای نخست (قرآنی):</w:t>
      </w:r>
      <w:r>
        <w:t xml:space="preserve"> آیهٔ شریفهٔ توبه/۴، میان مشرکان ناقض و غیرناقض تفکیک می‌کند و وفای به عهد گروه دوم را حتی در شرایط اعلان عمومی برائت واجب می‌شمارد: «فَأَتِمُّوا إِلَیْهِمْ عَهْدَهُمْ إِلَىٰ مُدَّتِهِمْ».</w:t>
      </w:r>
      <w:r>
        <w:rPr>
          <w:rStyle w:val="FootnoteReference"/>
        </w:rPr>
        <w:footnoteReference w:id="153"/>
      </w:r>
      <w:r>
        <w:t xml:space="preserve"> این، صریح‌ترین نص بر اصل «تناسب» و «تفکیک» است؛ و نشان می‌دهد که در منطق قرآنی، عدول یک تصمیم «یکپارچه و بی‌تفکیک» نیست. </w:t>
      </w:r>
      <w:r>
        <w:t xml:space="preserve">مبنای دوم (اصولی):</w:t>
      </w:r>
      <w:r>
        <w:t xml:space="preserve"> قاعدهٔ «التقیید بقدر المتیقن»؛ زیرا مجوز، به قدر ضرورت ثابت شده و زائد بر آن، نیازمند دلیل جداگانه است. </w:t>
      </w:r>
      <w:r>
        <w:t xml:space="preserve">مبنای سوم (حقوق بین‌الملل):</w:t>
      </w:r>
      <w:r>
        <w:t xml:space="preserve"> بند ۵ مادهٔ ۶۰ کنوانسیون وین (استثنای مقررات مربوط به حمایت از شخص انسان) و مواد ۴۹ تا ۵۱ طرح مواد مسئولیت (محدودیت‌های اقدام متقابل).</w:t>
      </w:r>
    </w:p>
    <w:p>
      <w:pPr>
        <w:pStyle w:val="TH-Body"/>
      </w:pPr>
      <w:r>
        <w:t xml:space="preserve">مراتب تناسب.</w:t>
      </w:r>
      <w:r>
        <w:t xml:space="preserve"> در عمل، تناسب در سه مرتبه اعمال می‌شود: (۱) </w:t>
      </w:r>
      <w:r>
        <w:t xml:space="preserve">تناسب موضوعی:</w:t>
      </w:r>
      <w:r>
        <w:t xml:space="preserve"> تنها تعهدات متزاحم معلق شوند، نه همهٔ تعهدات؛ (۲) </w:t>
      </w:r>
      <w:r>
        <w:t xml:space="preserve">تناسب زمانی:</w:t>
      </w:r>
      <w:r>
        <w:t xml:space="preserve"> عدول، مقید به مدت تداوم تزاحم باشد و با زوال آن، وجوب وفا بازمی‌گردد (فراز «مادامی که چنین است» در نامهٔ امام)؛ و (۳) </w:t>
      </w:r>
      <w:r>
        <w:t xml:space="preserve">تناسب شدتی:</w:t>
      </w:r>
      <w:r>
        <w:t xml:space="preserve"> شدت اقدام، متناسب با شدت تزاحم باشد؛ یعنی در تزاحم جزئی، تعلیق جزئی؛ و در تزاحم بنیادین، خاتمه.</w:t>
      </w:r>
    </w:p>
    <w:p>
      <w:pPr>
        <w:pStyle w:val="TH-Body"/>
      </w:pPr>
      <w:r>
        <w:t xml:space="preserve">مثال تطبیقی.</w:t>
      </w:r>
      <w:r>
        <w:t xml:space="preserve"> اگر معاهده‌ای چندبُعدی باشد و تنها بُعد اقتصادی آن با مصلحت اهمّ در تزاحم باشد، عدول باید محدود به همان بُعد باشد و ابعاد فنی، فرهنگی یا زیست‌محیطی آن بر قوت خود باقی بمانند. توسل به خاتمهٔ کل معاهده در این فرض، تجاوز از قدر ضرورت و مصداق نقض است.</w:t>
      </w:r>
    </w:p>
    <w:p>
      <w:pPr>
        <w:pStyle w:val="TH-Band"/>
      </w:pPr>
      <w:r>
        <w:t xml:space="preserve">بند ششم: ضابطهٔ پنجم: تدریجی بودن و تقدم تعلیق بر خاتمه</w:t>
      </w:r>
    </w:p>
    <w:p>
      <w:pPr>
        <w:pStyle w:val="TH-Body"/>
      </w:pPr>
      <w:r>
        <w:t xml:space="preserve">تقریر.</w:t>
      </w:r>
      <w:r>
        <w:t xml:space="preserve"> در میان صور ممکن عدول، باید «کم‌شدت‌ترین» صورتی که مصلحت اهمّ را تأمین می‌کند، برگزیده شود؛ و به تعبیر دقیق‌تر، تعلیق مقدم بر خاتمه، تعلیق جزئی مقدم بر تعلیق کامل، و بازنگری مقدم بر تعلیق است.</w:t>
      </w:r>
    </w:p>
    <w:p>
      <w:pPr>
        <w:pStyle w:val="TH-Body"/>
      </w:pPr>
      <w:r>
        <w:t xml:space="preserve">مبنای استدلالی.</w:t>
      </w:r>
      <w:r>
        <w:t xml:space="preserve"> </w:t>
      </w:r>
      <w:r>
        <w:t xml:space="preserve">مبنای نخست (نص):</w:t>
      </w:r>
      <w:r>
        <w:t xml:space="preserve"> فراز «مادامی که چنین است» در نامهٔ امام، دلالت بر موقتی بودن حکم حکومتی دارد؛ و حکم موقتی، با اقدام دائمی (خاتمه) سازگار نیست، مگر آن‌که تزاحم دائمی بودن آن احراز شود. </w:t>
      </w:r>
      <w:r>
        <w:t xml:space="preserve">مبنای دوم (حقوق بین‌الملل):</w:t>
      </w:r>
      <w:r>
        <w:t xml:space="preserve"> مواد ۵۷ و ۶۲ کنوانسیون وین، در فروض متعدد، «تعلیق» را بر «خاتمه» مقدم شمرده‌اند؛ به‌ویژه بند ۱ مادهٔ ۶۲ که در فرض تغییر بنیادین اوضاع، حق تعلیق را نیز پیش‌بینی کرده و مادهٔ ۶۱ که در فرض عدم امکان اجرای موقت، تنها تعلیق را مجاز دانسته است. </w:t>
      </w:r>
      <w:r>
        <w:t xml:space="preserve">مبنای سوم (عقلایی):</w:t>
      </w:r>
      <w:r>
        <w:t xml:space="preserve"> تعلیق، «بازگشت‌پذیر» است و خاتمه، «بازگشت‌ناپذیر»؛ و عقلانیت حکومتی، گزینهٔ بازگشت‌پذیر را در شرایط عدم قطعیت مقدم می‌دارد.</w:t>
      </w:r>
    </w:p>
    <w:p>
      <w:pPr>
        <w:pStyle w:val="TH-Body"/>
      </w:pPr>
      <w:r>
        <w:t xml:space="preserve">نکتهٔ عملی مهم.</w:t>
      </w:r>
      <w:r>
        <w:t xml:space="preserve"> تدریجی بودن، دو اثر عملی دارد: </w:t>
      </w:r>
      <w:r>
        <w:t xml:space="preserve">اثر نخست:</w:t>
      </w:r>
      <w:r>
        <w:t xml:space="preserve"> فرصت «آزمون» فراهم می‌کند؛ یعنی دولت می‌تواند آثار اقدام سبک‌تر را بسنجد و در صورت کفایت، از اقدام شدیدتر بپرهیزد. </w:t>
      </w:r>
      <w:r>
        <w:t xml:space="preserve">اثر دوم:</w:t>
      </w:r>
      <w:r>
        <w:t xml:space="preserve"> فرصت «مذاکره» فراهم می‌کند؛ زیرا تعلیق، برخلاف خاتمه، درب را برای بازگشت باز می‌گذارد و طرف مقابل را به مذاکره تشویق می‌کند. این دو اثر، خود بخشی از «مصلحت»‌اند و باید در محاسبهٔ مصلحت لحاظ شوند (ضابطهٔ هشتم).</w:t>
      </w:r>
    </w:p>
    <w:p>
      <w:pPr>
        <w:pStyle w:val="TH-Band"/>
      </w:pPr>
      <w:r>
        <w:t xml:space="preserve">بند هفتم: ضابطهٔ ششم: انباذ علی سواء (اعلام آشکار و مستدل)</w:t>
      </w:r>
    </w:p>
    <w:p>
      <w:pPr>
        <w:pStyle w:val="TH-Body"/>
      </w:pPr>
      <w:r>
        <w:t xml:space="preserve">تقریر.</w:t>
      </w:r>
      <w:r>
        <w:t xml:space="preserve"> عدول باید به نحو آشکار، مستدل و رسمی به طرف مقابل اعلام شود؛ و پرهیز از اعلام، یا اعلام مبهم و بی‌دلیل، عدول را از مشروعیت می‌اندازد و آن را داخل در عنوان «غدر» و «خیانت» می‌سازد.</w:t>
      </w:r>
    </w:p>
    <w:p>
      <w:pPr>
        <w:pStyle w:val="TH-Body"/>
      </w:pPr>
      <w:r>
        <w:t xml:space="preserve">مبنای استدلالی.</w:t>
      </w:r>
      <w:r>
        <w:t xml:space="preserve"> </w:t>
      </w:r>
      <w:r>
        <w:t xml:space="preserve">مبنای نخست (قرآنی):</w:t>
      </w:r>
      <w:r>
        <w:t xml:space="preserve"> «فَانْبِذْ إِلَیْهِمْ عَلَىٰ سَوَاءٍ»</w:t>
      </w:r>
      <w:r>
        <w:rPr>
          <w:rStyle w:val="FootnoteReference"/>
        </w:rPr>
        <w:footnoteReference w:id="154"/>
      </w:r>
      <w:r>
        <w:t xml:space="preserve"> که به تفسیر مشهور، به معنای «برابری دو طرف در علم به برهم‌خوردن عهد» است. </w:t>
      </w:r>
      <w:r>
        <w:t xml:space="preserve">مبنای دوم (سیره):</w:t>
      </w:r>
      <w:r>
        <w:t xml:space="preserve"> اعلان عمومی آیات برائت در موسم حج توسط امیرالمؤمنین (ع)، که روشن‌ترین مصداق «اعلام آشکار» است؛ و نیز اعطای مهلت چهارماهه که فرصت واکنش فراهم می‌کرد. </w:t>
      </w:r>
      <w:r>
        <w:t xml:space="preserve">مبنای سوم (حقوق بین‌الملل):</w:t>
      </w:r>
      <w:r>
        <w:t xml:space="preserve"> مواد ۶۵ تا ۶۸ کنوانسیون وین که اعلام کتبی، ذکر دلایل، و اعطای مهلت «نه کمتر از سه ماه» را الزامی کرده‌اند.</w:t>
      </w:r>
    </w:p>
    <w:p>
      <w:pPr>
        <w:pStyle w:val="TH-Body"/>
      </w:pPr>
      <w:r>
        <w:t xml:space="preserve">عناصر اعلام موجه.</w:t>
      </w:r>
      <w:r>
        <w:t xml:space="preserve"> چهار عنصر ضروری است: (۱) </w:t>
      </w:r>
      <w:r>
        <w:t xml:space="preserve">کتبی و رسمی بودن</w:t>
      </w:r>
      <w:r>
        <w:t xml:space="preserve"> (نه صرف اظهارنظر رسانه‌ای)؛ (۲) </w:t>
      </w:r>
      <w:r>
        <w:t xml:space="preserve">ذکر اقدام پیشنهادی</w:t>
      </w:r>
      <w:r>
        <w:t xml:space="preserve"> (تعلیق، خروج، بازنگری و مانند آن)؛ (۳) </w:t>
      </w:r>
      <w:r>
        <w:t xml:space="preserve">ذکر دلایل</w:t>
      </w:r>
      <w:r>
        <w:t xml:space="preserve"> به نحو مستدل و قابل بررسی؛ و (۴) </w:t>
      </w:r>
      <w:r>
        <w:t xml:space="preserve">اعطای مهلت مناسب</w:t>
      </w:r>
      <w:r>
        <w:t xml:space="preserve"> برای واکنش طرف مقابل. اعلامی که فاقد هر یک از این عناصر باشد، ناقص است.</w:t>
      </w:r>
    </w:p>
    <w:p>
      <w:pPr>
        <w:pStyle w:val="TH-Body"/>
      </w:pPr>
      <w:r>
        <w:t xml:space="preserve">نکتهٔ دقیق و مهم.</w:t>
      </w:r>
      <w:r>
        <w:t xml:space="preserve"> اعلام، تنها یک «تشریفات» نیست؛ بلکه از جهت استدلالی، سه کارکرد دارد: </w:t>
      </w:r>
      <w:r>
        <w:t xml:space="preserve">کارکرد نخست (تأثیر در مشروعیت):</w:t>
      </w:r>
      <w:r>
        <w:t xml:space="preserve"> عدول بدون اعلام، غدر است و غدر، حرام. ازاین‌رو، اعلام، از شرایط مشروعیت است، نه از آداب آن. </w:t>
      </w:r>
      <w:r>
        <w:t xml:space="preserve">کارکرد دوم (تأثیر در مسئولیت بین‌المللی):</w:t>
      </w:r>
      <w:r>
        <w:t xml:space="preserve"> اعلام موجه، در مراجع بین‌المللی، پشتوانهٔ دفاعی دولت است و شانس پذیرش توجیه را افزایش می‌دهد. </w:t>
      </w:r>
      <w:r>
        <w:t xml:space="preserve">کارکرد سوم (تأثیر در اعتبار):</w:t>
      </w:r>
      <w:r>
        <w:t xml:space="preserve"> دولتی که آشکار و مستدل اعلام می‌کند، اعتبار خود را کمتر می‌کاهد تا دولتی که پنهانی عمل می‌کند؛ و اعتبار، خود بخشی از مصلحت ملی است.</w:t>
      </w:r>
    </w:p>
    <w:p>
      <w:pPr>
        <w:pStyle w:val="TH-Band"/>
      </w:pPr>
      <w:r>
        <w:t xml:space="preserve">بند هشتم: ضابطهٔ هفتم: سقف‌گذاری (عدم تعرض به قواعد آمره و حقوق بشر)</w:t>
      </w:r>
    </w:p>
    <w:p>
      <w:pPr>
        <w:pStyle w:val="TH-Body"/>
      </w:pPr>
      <w:r>
        <w:t xml:space="preserve">تقریر.</w:t>
      </w:r>
      <w:r>
        <w:t xml:space="preserve"> حتی در فرض تحقق همهٔ شرایط جواز عدول، برخی تعهدات از دایرهٔ عدول خارج‌اند و هیچ مصلحتی مجوز نقض آن‌ها نیست؛ یعنی «سقف» اختیار، پایین‌تر از «مصلحت» قرار دارد. این تعهدات عبارت‌اند از: (۱) تعهدات ناشی از قواعد آمرهٔ حقوق بین‌الملل؛ (۲) تعهدات مربوط به حمایت از شخص انسان (حقوق بشر و حقوق بشردوستانه)؛ و (۳) تعهداتی که نقض آن‌ها موجب سلطهٔ بیگانه یا ذلت مسلمانان شود.</w:t>
      </w:r>
    </w:p>
    <w:p>
      <w:pPr>
        <w:pStyle w:val="TH-Body"/>
      </w:pPr>
      <w:r>
        <w:t xml:space="preserve">مبنای استدلالی.</w:t>
      </w:r>
      <w:r>
        <w:t xml:space="preserve"> </w:t>
      </w:r>
      <w:r>
        <w:t xml:space="preserve">مبنای نخست (فقهی):</w:t>
      </w:r>
      <w:r>
        <w:t xml:space="preserve"> قید «إِلَّا کُلَّ شَرْطٍ خَالَفَ کِتَابَ اللَّهِ» در حدیث شروط؛</w:t>
      </w:r>
      <w:r>
        <w:rPr>
          <w:rStyle w:val="FootnoteReference"/>
        </w:rPr>
        <w:footnoteReference w:id="155"/>
      </w:r>
      <w:r>
        <w:t xml:space="preserve"> و قاعدهٔ نفی سبیل</w:t>
      </w:r>
      <w:r>
        <w:rPr>
          <w:rStyle w:val="FootnoteReference"/>
        </w:rPr>
        <w:footnoteReference w:id="156"/>
      </w:r>
      <w:r>
        <w:t xml:space="preserve"> و اصل ۱۵۳ قانون اساسی.</w:t>
      </w:r>
      <w:r>
        <w:rPr>
          <w:rStyle w:val="FootnoteReference"/>
        </w:rPr>
        <w:footnoteReference w:id="157"/>
      </w:r>
      <w:r>
        <w:t xml:space="preserve"> </w:t>
      </w:r>
      <w:r>
        <w:t xml:space="preserve">مبنای دوم (حقوق بین‌الملل):</w:t>
      </w:r>
      <w:r>
        <w:t xml:space="preserve"> بند ۵ مادهٔ ۶۰ کنوانسیون وین (استثنای مقررات مربوط به حمایت از شخص انسان از حق خاتمه و تعلیق)؛ مواد ۵۳ و ۶۴ همان کنوانسیون (بطلان معاهدات متعارض با قاعدهٔ آمره)؛ و مواد ۲۶ و ۵۰ طرح مواد مسئولیت (عدم پذیرش ضرورت در برابر تعهدات ناشی از قواعد آمره، و ممنوعیت اقدام متقابل مؤثر بر تعهدات حقوق بشری و بشردوستانه).</w:t>
      </w:r>
    </w:p>
    <w:p>
      <w:pPr>
        <w:pStyle w:val="TH-Body"/>
      </w:pPr>
      <w:r>
        <w:t xml:space="preserve">اهمیت استدلالی این ضابطه.</w:t>
      </w:r>
      <w:r>
        <w:t xml:space="preserve"> این ضابطه، از جهت ساختار استدلال، نقش «ترمز نهایی» را ایفا می‌کند؛ زیرا حتی اگر همهٔ ضوابط دیگر رعایت شود، تعرض به این سه دسته از تعهدات، جایز نیست. اهمیت آن در آن است که «مصلحت» را مطلق نمی‌کند؛ یعنی مصلحت، هرچقدر هم بزرگ باشد، نمی‌تواند مجوز نقض قواعد آمره یا نقض تعهدات حقوق بشری باشد. این، همان نقطه‌ای است که فقه امامیه و حقوق بین‌الملل معاصر، به نحو مستقل و با ادبیات متفاوت، به یک نتیجه رسیده‌اند؛ و این هم‌رسایی، از یافته‌های مهم این رساله است.</w:t>
      </w:r>
    </w:p>
    <w:p>
      <w:pPr>
        <w:pStyle w:val="TH-Body"/>
      </w:pPr>
      <w:r>
        <w:t xml:space="preserve">توضیح یک شبهه.</w:t>
      </w:r>
      <w:r>
        <w:t xml:space="preserve"> ممکن است شبهه شود که این ضابطه، «مصلحت نظام» را مقید می‌کند و ازاین‌رو، با مبنای تزاحم ناسازگار است. پاسخ آن است که ناسازگاری نیست؛ زیرا «حفظ نظام اسلامی» با «نقض قواعد آمره و حقوق بشر» در تزاحم نیست، بلکه نقض این قواعد، خود موجب سلب مشروعیت و در نهایت، موجب تضعیف نظام است. به تعبیر دیگر: سقف‌گذاری، محدودسازی مصلحت نیست، بلکه تصویب فهم صحیح از مصلحت است؛ زیرا مصلحت واقعی نظام، در نقض قواعد بنیادین بشری نیست.</w:t>
      </w:r>
    </w:p>
    <w:p>
      <w:pPr>
        <w:pStyle w:val="TH-Band"/>
      </w:pPr>
      <w:r>
        <w:t xml:space="preserve">بند نهم: ضابطهٔ هشتم: لحاظ آثار در محاسبهٔ مصلحت</w:t>
      </w:r>
    </w:p>
    <w:p>
      <w:pPr>
        <w:pStyle w:val="TH-Body"/>
      </w:pPr>
      <w:r>
        <w:t xml:space="preserve">تقریر.</w:t>
      </w:r>
      <w:r>
        <w:t xml:space="preserve"> در محاسبهٔ مصلحت اهمّ، باید آثار عدول نیز لحاظ شود؛ یعنی «هزینه‌های» عدول (مسئولیت بین‌المللی، جبران خسارت، اقدام متقابل، انزوا، فرسایش اعتبار و آثار اقتصادی و سیاسی آن) باید در همان ترازویی گذاشته شود که «فواید» وفا یا عدول سنجیده می‌شود. مصلحتی که بدون محاسبهٔ هزینه‌ها احراز شود، مصلحت واقعی نیست.</w:t>
      </w:r>
    </w:p>
    <w:p>
      <w:pPr>
        <w:pStyle w:val="TH-Body"/>
      </w:pPr>
      <w:r>
        <w:t xml:space="preserve">مبنای استدلالی.</w:t>
      </w:r>
      <w:r>
        <w:t xml:space="preserve"> </w:t>
      </w:r>
      <w:r>
        <w:t xml:space="preserve">مبنای نخست (قرآنی):</w:t>
      </w:r>
      <w:r>
        <w:t xml:space="preserve"> آیهٔ «وَلَا تَکُونُوا کَالَّتِی نَقَضَتْ غَزْلَهَا مِنْ بَعْدِ قُوَّةٍ أَنْکَاثًا»</w:t>
      </w:r>
      <w:r>
        <w:rPr>
          <w:rStyle w:val="FootnoteReference"/>
        </w:rPr>
        <w:footnoteReference w:id="158"/>
      </w:r>
      <w:r>
        <w:t xml:space="preserve"> که نقض عهد را عملی عبث و نابخردانه می‌شمارد؛ و عبث بودن، بدون محاسبهٔ آثار، احراز نمی‌شود. </w:t>
      </w:r>
      <w:r>
        <w:t xml:space="preserve">مبنای دوم (روایی):</w:t>
      </w:r>
      <w:r>
        <w:t xml:space="preserve"> فراز «لِمَا اسْتَوْبَلُوا مِنْ عَوَاقِبِ الْغَدْرِ» در عهدنامهٔ مالک اشتر؛</w:t>
      </w:r>
      <w:r>
        <w:rPr>
          <w:rStyle w:val="FootnoteReference"/>
        </w:rPr>
        <w:footnoteReference w:id="159"/>
      </w:r>
      <w:r>
        <w:t xml:space="preserve"> که صریحاً به «عواقب غدر» و به تجربهٔ تلخ آن اشاره دارد؛ و این، همان محاسبهٔ آثار است. </w:t>
      </w:r>
      <w:r>
        <w:t xml:space="preserve">مبنای سوم (عقلی):</w:t>
      </w:r>
      <w:r>
        <w:t xml:space="preserve"> قاعدهٔ عقلایی «لزوم محاسبهٔ هزینه و فایده» در هر تصمیم کلان. </w:t>
      </w:r>
      <w:r>
        <w:t xml:space="preserve">مبنای چهارم (حقوق بین‌الملل):</w:t>
      </w:r>
      <w:r>
        <w:t xml:space="preserve"> طرح مواد مسئولیت که آثار نقض را به نحو دقیق برشمرده است (فصل پنجم، گفتار نخست).</w:t>
      </w:r>
    </w:p>
    <w:p>
      <w:pPr>
        <w:pStyle w:val="TH-Body"/>
      </w:pPr>
      <w:r>
        <w:t xml:space="preserve">عناصر ضروری محاسبهٔ آثار.</w:t>
      </w:r>
      <w:r>
        <w:t xml:space="preserve"> شش عنصر باید در ترازو گذاشته شود: (۱) </w:t>
      </w:r>
      <w:r>
        <w:t xml:space="preserve">مسئولیت بین‌المللی</w:t>
      </w:r>
      <w:r>
        <w:t xml:space="preserve"> و احتمال مطالبهٔ جبران خسارت؛ (۲) </w:t>
      </w:r>
      <w:r>
        <w:t xml:space="preserve">اقدام متقابل</w:t>
      </w:r>
      <w:r>
        <w:t xml:space="preserve"> طرف‌های زیان‌دیده و دامنهٔ آن؛ (۳) </w:t>
      </w:r>
      <w:r>
        <w:t xml:space="preserve">ارجاع به مراجع بین‌المللی</w:t>
      </w:r>
      <w:r>
        <w:t xml:space="preserve"> و احتمال صدور رأی علیه دولت؛ (۴) </w:t>
      </w:r>
      <w:r>
        <w:t xml:space="preserve">آثار اقتصادی</w:t>
      </w:r>
      <w:r>
        <w:t xml:space="preserve"> (تحریم، خروج سرمایه، افزایش هزینهٔ مبادله)؛ (۵) </w:t>
      </w:r>
      <w:r>
        <w:t xml:space="preserve">آثار سیاسی و دیپلماتیک</w:t>
      </w:r>
      <w:r>
        <w:t xml:space="preserve"> (انزوا، از دست رفتن متحدان، دشواری در مذاکرات آینده)؛ و (۶) </w:t>
      </w:r>
      <w:r>
        <w:t xml:space="preserve">فرسایش اعتبار</w:t>
      </w:r>
      <w:r>
        <w:t xml:space="preserve"> که دیربازسازی‌ترین این آثار است. تفصیل این عناصر، در فصل پنجم می‌آید.</w:t>
      </w:r>
    </w:p>
    <w:p>
      <w:pPr>
        <w:pStyle w:val="TH-Body"/>
      </w:pPr>
      <w:r>
        <w:t xml:space="preserve">نکتهٔ تعیین‌کننده.</w:t>
      </w:r>
      <w:r>
        <w:t xml:space="preserve"> این ضابطه، در حقیقت «حلقهٔ بازگشت» میان فصل چهارم و فصل پنجم است؛ زیرا فصل پنجم، آثار عدول را تحلیل می‌کند و این تحلیل، ورودی ضابطهٔ هشتم است. ازاین‌رو، خواندن فصل چهارم بدون فصل پنجم، ناقص است؛ و تصمیم‌گیری بر اساس مصلحتِ بدون محاسبهٔ آثار، خلاف همین ضابطه است. بسیاری از خطاهای عملی در این حوزه، نه از فقدان مجوز، بلکه از فقدان محاسبهٔ آثار ناشی می‌شود.</w:t>
      </w:r>
    </w:p>
    <w:p>
      <w:pPr>
        <w:pStyle w:val="TH-Goftar"/>
      </w:pPr>
      <w:r>
        <w:t xml:space="preserve">گفتار پنجم: دفع اشکالات</w:t>
      </w:r>
    </w:p>
    <w:p>
      <w:pPr>
        <w:pStyle w:val="TH-Band"/>
      </w:pPr>
      <w:r>
        <w:t xml:space="preserve">بند اول: اشکالات بر ادلهٔ وجوب وفا (از سوی قائلان به جواز مطلق)</w:t>
      </w:r>
    </w:p>
    <w:p>
      <w:pPr>
        <w:pStyle w:val="TH-Body"/>
      </w:pPr>
      <w:r>
        <w:t xml:space="preserve">اشکال نخست: آیات وفا، ناظر به عقود خصوصی‌اند.</w:t>
      </w:r>
      <w:r>
        <w:t xml:space="preserve"> پاسخ در سه لایه است: </w:t>
      </w:r>
      <w:r>
        <w:t xml:space="preserve">لایهٔ نخست،</w:t>
      </w:r>
      <w:r>
        <w:t xml:space="preserve"> واژهٔ «العقود» در مائده/۱، جمع محلّی به لام است و از جهت لغوی، به معنای «گره استوار» است؛ و انصراف آن به عقود معاوضی خصوصی، فاقد شاهد است (گفتار نخست فصل سوم و گفتار هشتم همان فصل). </w:t>
      </w:r>
      <w:r>
        <w:t xml:space="preserve">لایهٔ دوم،</w:t>
      </w:r>
      <w:r>
        <w:t xml:space="preserve"> آیهٔ نحل/۹۱ با تعبیر «إِذَا عَاهَدْتُمْ» بر وزن مفاعله، صریحاً ناظر به پیمان دوجانبه است. </w:t>
      </w:r>
      <w:r>
        <w:t xml:space="preserve">لایهٔ سوم،</w:t>
      </w:r>
      <w:r>
        <w:t xml:space="preserve"> سیرهٔ پیامبر و امیرالمؤمنین (ع) نشان می‌دهد که عهدنامه‌های حکومتی نیز مشمول وجوب وفا دانسته می‌شدند؛ و سیره، مفسر عملی نصوص است.</w:t>
      </w:r>
    </w:p>
    <w:p>
      <w:pPr>
        <w:pStyle w:val="TH-Body"/>
      </w:pPr>
      <w:r>
        <w:t xml:space="preserve">اشکال دوم: معاهدات با دولت‌های غیرمسلمان، اساساً معتبر نیستند.</w:t>
      </w:r>
      <w:r>
        <w:t xml:space="preserve"> پاسخ: این اشکال، با نصوص و سیره ناسازگار است. میثاق مدینه، عهدنامهٔ نجران، صلح حدیبیه، آیات توبه/۴ و ۷ (که صریحاً وفای به عهد با مشرکان غیرناقض را واجب می‌شمارند)، و آیهٔ توبه/۶ (امان به مشرک محارب)، همگی نشان می‌دهند که پیمان با غیرمسلمان، در منطق اسلامی مشروع و لازم‌الاتباع است. همچنین، اصل ۱۵۲ قانون اساسی، «روابط صلح‌آمیز متقابل با دول غیرمحارب» را از مبانی سیاست خارجی شمرده است.</w:t>
      </w:r>
      <w:r>
        <w:rPr>
          <w:rStyle w:val="FootnoteReference"/>
        </w:rPr>
        <w:footnoteReference w:id="160"/>
      </w:r>
    </w:p>
    <w:p>
      <w:pPr>
        <w:pStyle w:val="TH-Body"/>
      </w:pPr>
      <w:r>
        <w:t xml:space="preserve">اشکال سوم: قاعدهٔ نفی سبیل، مجوز نقض هر معاهده‌ای با غیرمسلمانان است.</w:t>
      </w:r>
      <w:r>
        <w:t xml:space="preserve"> پاسخ: این اشکال، مبتنی بر توسعهٔ نارواست؛ زیرا قاعدهٔ نفی سبیل، ناظر به نفی «سلطه» است، نه به نفی «هر نوع تعامل». معاهدهٔ عادلانه که سلطه‌ای ایجاد نکند، مشمول قاعدهٔ نفی سبیل نیست؛ و اگر چنین بود، میثاق مدینه و عهدنامهٔ نجران و صلح حدیبیه نیز باطل بودند، که هیچ فقیهی نگفته است. قلمرو صحیح این قاعده، همان است که در اصل ۱۵۳ قانون اساسی آمده: قراردادهایی که «موجب سلطهٔ بیگانه بر منابع طبیعی و اقتصادی، فرهنگ، ارتش و دیگر شئون کشور گردد».</w:t>
      </w:r>
    </w:p>
    <w:p>
      <w:pPr>
        <w:pStyle w:val="TH-Band"/>
      </w:pPr>
      <w:r>
        <w:t xml:space="preserve">بند دوم: اشکالات بر ادلهٔ جواز عدول (از سوی قائلان به منع مطلق)</w:t>
      </w:r>
    </w:p>
    <w:p>
      <w:pPr>
        <w:pStyle w:val="TH-Body"/>
      </w:pPr>
      <w:r>
        <w:t xml:space="preserve">اشکال نخست: ادلهٔ وجوب وفا، قطعی‌اند و مجوز عدول، ظنی است؛ و ظن، در برابر قطع مقاومت نمی‌کند.</w:t>
      </w:r>
      <w:r>
        <w:t xml:space="preserve"> پاسخ: این اشکال، مبتنی بر خلط «تعارض» با «تزاحم» است؛ زیرا در تزاحم، دو دلیل با یکدیگر تعارض ندارند و هر دو حجت‌اند، و پرسش، از «سلسله‌مراتب اهمّ» است، نه از «اعتبار دلیل». افزون بر این، مجوز عدول نیز مبتنی بر ادلهٔ قطعی است: آیهٔ انفال/۵۸، نامهٔ امام، و قاعدهٔ نفی سبیل و اصل ۱۵۳ قانون اساسی. تحلیل فنی این اشکال، در بند سوم گفتار دوم آمد.</w:t>
      </w:r>
    </w:p>
    <w:p>
      <w:pPr>
        <w:pStyle w:val="TH-Body"/>
      </w:pPr>
      <w:r>
        <w:t xml:space="preserve">اشکال دوم: پذیرش حکم حکومتی، به اباحهٔ بی‌حد می‌انجامد.</w:t>
      </w:r>
      <w:r>
        <w:t xml:space="preserve"> پاسخ: این اشکال، در مقام «ثبوت» وارد نیست؛ زیرا خود نظریهٔ امام، مقید به «مخالفت با منافع کشور و اسلام» و به «مادامی که چنین است» است. اما در مقام «اثبات» و عمل، اشکال وارد است؛ و پاسخ آن، نفی نظریه نیست، بلکه «ضابطه‌مندسازی» آن است. ضوابط هشت‌گانهٔ این رساله، دقیقاً برای پاسخ به همین اشکال ارائه شده است؛ و از همین‌رو، این رساله نه در زمرهٔ آثار «توسعه‌گرا» قرار می‌گیرد و نه در زمرهٔ آثار «انکارگرا»، بلکه در زمرهٔ آثار «ضابطه‌گرا» است.</w:t>
      </w:r>
    </w:p>
    <w:p>
      <w:pPr>
        <w:pStyle w:val="TH-Body"/>
      </w:pPr>
      <w:r>
        <w:t xml:space="preserve">اشکال سوم: قاعدهٔ لاضرر، ناظر به احکام شخصی است و به امور حکومتی تسری نمی‌یابد.</w:t>
      </w:r>
      <w:r>
        <w:t xml:space="preserve"> پاسخ: این اشکال، وجهی دارد و از همین‌رو، این رساله، لاضرر و لاحرج را «مبنای مؤید» می‌شمارد، نه «مبنای مستقل»؛ و مبنای اصلی را «تزاحم» و «حکم حکومتی» می‌داند. با این حال، تسری قاعده به امور حکومتی، با دو شاهد پشتیبانی می‌شود: </w:t>
      </w:r>
      <w:r>
        <w:t xml:space="preserve">شاهد نخست،</w:t>
      </w:r>
      <w:r>
        <w:t xml:space="preserve"> قید «فِی الْإِسْلَامِ» در روایت لاضرر، که دایرهٔ آن را به کل نظام اسلامی گسترش می‌دهد، نه به روابط خصوصی. </w:t>
      </w:r>
      <w:r>
        <w:t xml:space="preserve">شاهد دوم،</w:t>
      </w:r>
      <w:r>
        <w:t xml:space="preserve"> سیرهٔ امیرالمؤمنین (ع) در تصمیم‌های حکومتی که مصلحت و دفع ضرر عمومی را لحاظ می‌کرد.</w:t>
      </w:r>
    </w:p>
    <w:p>
      <w:pPr>
        <w:pStyle w:val="TH-Band"/>
      </w:pPr>
      <w:r>
        <w:t xml:space="preserve">بند سوم: داوری میان دو رویکرد</w:t>
      </w:r>
    </w:p>
    <w:p>
      <w:pPr>
        <w:pStyle w:val="TH-Body"/>
      </w:pPr>
      <w:r>
        <w:t xml:space="preserve">پس از بررسی اشکالات دو سویه، داوری منصفانه چنین است: </w:t>
      </w:r>
      <w:r>
        <w:t xml:space="preserve">رویکرد «منع مطلق»</w:t>
      </w:r>
      <w:r>
        <w:t xml:space="preserve"> (که عدول را به هیچ روی جایز نمی‌داند)، با نصوص صریح قرآن (انفال/۵۸، توبه/۴ و ۷)، با سیرهٔ معصومان (پایان عهد قریش پس از نقض آنان)، و با نامهٔ امام ناسازگار است؛ و در عمل، دولت اسلامی را در برابر معاهدات زیان‌بار، بی‌دفاع می‌گذارد.</w:t>
      </w:r>
    </w:p>
    <w:p>
      <w:pPr>
        <w:pStyle w:val="TH-Body"/>
      </w:pPr>
      <w:r>
        <w:t xml:space="preserve">رویکرد «جواز مطلق»</w:t>
      </w:r>
      <w:r>
        <w:t xml:space="preserve"> (که عدول را تابع مصلحتِ بی‌ضابطه می‌داند) نیز با نصوص قرآنی (انباذ علی سواء، تفکیک ناقض از غیرناقض، وفای صبورانه در حدیبیه)، با فرازهای عهدنامهٔ مالک اشتر («فَحُطْ عَهْدَکَ بِالْوَفَاءِ»، «وَاجْعَلْ نَفْسَکَ جُنَّةً دُونَمَا أَعْطَیْتَ»، «فَلَا تَغْدِرَنَّ بِذِمَّتِکَ»)، و با قبح عقلی و بنای عقلا ناسازگار است؛ و در عمل، به فرسایش اعتبار دولت و به بی‌اعتمادی در صحنهٔ بین‌المللی می‌انجامد.</w:t>
      </w:r>
    </w:p>
    <w:p>
      <w:pPr>
        <w:pStyle w:val="TH-Body"/>
      </w:pPr>
      <w:r>
        <w:t xml:space="preserve">رویکرد برگزیدهٔ این رساله، «جواز ضابطه‌مند» است:</w:t>
      </w:r>
      <w:r>
        <w:t xml:space="preserve"> قاعده، وجوب وفای به عهد است و عدول، استثنایی است مقید به احراز تزاحم واقعی با مصلحت اهمّ و به هشت ضابطهٔ ماهوی، شکلی و سقفی. این رویکرد، هم با تمام نصوص سازگار است (نه گزینشی)، هم با واقعیت حقوق بین‌الملل هم‌خوان است، و هم در عمل، قابل اجراست؛ زیرا ضوابط، معیارهای روشن و قابل سنجش فراهم می‌کند. ازاین‌رو، این رساله، نه در جهت توسعهٔ اختیارات گام برمی‌دارد و نه در جهت محدودسازی آن‌ها، بلکه در جهت «ضابطه‌مندی» آن‌ها.</w:t>
      </w:r>
    </w:p>
    <w:p>
      <w:pPr>
        <w:pStyle w:val="TH-Goftar"/>
      </w:pPr>
      <w:r>
        <w:t xml:space="preserve">گفتار ششم: جمع‌بندی: چارچوب تصمیم‌گیری</w:t>
      </w:r>
    </w:p>
    <w:p>
      <w:pPr>
        <w:pStyle w:val="TH-Band"/>
      </w:pPr>
      <w:r>
        <w:t xml:space="preserve">بند اول: خلاصهٔ سه مبنا و نسبت آن‌ها</w:t>
      </w:r>
    </w:p>
    <w:p>
      <w:pPr>
        <w:pStyle w:val="TH-TblCaption"/>
        <w:keepNext/>
      </w:pPr>
      <w:bookmarkStart w:id="4002" w:name="_Toc_tbl002"/>
      <w:bookmarkEnd w:id="4002"/>
      <w:r>
        <w:rPr>
          <w:rFonts w:ascii="Times New Roman" w:hAnsi="Times New Roman" w:cs="B Nazanin" w:eastAsia="B Nazanin"/>
          <w:b/>
          <w:bCs/>
          <w:color w:val="1A1A1A"/>
          <w:sz w:val="22"/>
          <w:szCs w:val="22"/>
          <w:lang w:val="en-US" w:eastAsia="en-US" w:bidi="fa-IR"/>
        </w:rPr>
        <w:t xml:space="preserve">جدول ۲: سه مبنای جواز عدول و نسبت آن‌ها</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کارکرد استدلالی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نص محوری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محدودهٔ کاربرد</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و تقدیم اهمّ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چارچوب تحلیل درگیری دو حکم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آیات عام وفا + اوجبیت حفظ نظام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همهٔ فروض تزاحم واقعی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حکم حکومتی و ولایت مطلقه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تأمین صلاحیت نهادی تصمیم‌گیر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نامهٔ ۱۶ دی ۱۳۶۶؛ صحیفهٔ امام ج۲۰ ص۴۵۱–۴۵۲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تصمیم‌های کلان حکومتی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لاضرر و لاحرج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مبنای مؤید در فرض ضرر یا حرج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روایت لاضرر؛ حج/۷۸ و بقره/۱۸۵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فروض ضرر جدی یا حرج غیرمتعارف</w:t>
            </w:r>
          </w:p>
        </w:tc>
      </w:tr>
    </w:tbl>
    <w:p>
      <w:pPr>
        <w:pStyle w:val="TH-TblSrc"/>
      </w:pPr>
      <w:r>
        <w:rPr>
          <w:rFonts w:ascii="Times New Roman" w:hAnsi="Times New Roman" w:cs="B Nazanin" w:eastAsia="B Nazanin"/>
          <w:color w:val="595959"/>
          <w:sz w:val="20"/>
          <w:szCs w:val="20"/>
          <w:lang w:val="en-US" w:eastAsia="en-US" w:bidi="fa-IR"/>
        </w:rPr>
        <w:t xml:space="preserve">منبع: برگرفته از تحلیل نگارنده بر پایهٔ ادلهٔ فصل چهارم (گفتار دوم و سوم).</w:t>
      </w:r>
    </w:p>
    <w:p>
      <w:pPr>
        <w:pStyle w:val="TH-TblAfter"/>
      </w:pPr>
      <w:r>
        <w:t xml:space="preserve"/>
      </w:r>
    </w:p>
    <w:p>
      <w:pPr>
        <w:pStyle w:val="TH-Body"/>
      </w:pPr>
      <w:r>
        <w:t xml:space="preserve">نسبت این سه مبنا.</w:t>
      </w:r>
      <w:r>
        <w:t xml:space="preserve"> این سه، «جایگزین» یکدیگر نیستند، بلکه «مکمل»‌اند و در یک تصمیم واقعی، هم‌زمان به‌کار می‌روند: تزاحم، چارچوب تحلیل را فراهم می‌کند و نشان می‌دهد که چرا قاعدهٔ وفا تخصیص نمی‌خورد؛ حکم حکومتی، صلاحیت نهادی تصمیم‌گیر را تأمین می‌کند و نشان می‌دهد که چه کسی می‌تواند تصمیم بگیرد؛ و لاضرر و لاحرج، در فرض وجود ضرر یا حرج، مؤیدِ دیگری است. «اوجبیت حفظ نظام» نیز، مبنای مستقل چهارم نیست، بلکه معیار تشخیص اهمّ در باب تزاحم است (بند سوم گفتار سوم).</w:t>
      </w:r>
    </w:p>
    <w:p>
      <w:pPr>
        <w:pStyle w:val="TH-Band"/>
      </w:pPr>
      <w:r>
        <w:t xml:space="preserve">بند دوم: گام‌های عملی تصمیم‌گیری (چک‌لیست هشت‌گانه)</w:t>
      </w:r>
    </w:p>
    <w:p>
      <w:pPr>
        <w:pStyle w:val="TH-Body"/>
      </w:pPr>
      <w:r>
        <w:t xml:space="preserve">برای آن‌که ضوابط هشت‌گانه از سطح نظری به سطح عملی منتقل شود، چک‌لیست زیر ارائه می‌شود. این چک‌لیست، «ترتیب زمانی» تصمیم‌گیری را نیز منعکس می‌سازد و در پیوست چهارم به نحو مستقل نیز آمده است تا قابل استفادهٔ عملی باشد.</w:t>
      </w:r>
    </w:p>
    <w:p>
      <w:pPr>
        <w:pStyle w:val="TH-TblCaption"/>
        <w:keepNext/>
      </w:pPr>
      <w:bookmarkStart w:id="4003" w:name="_Toc_tbl003"/>
      <w:bookmarkEnd w:id="4003"/>
      <w:r>
        <w:rPr>
          <w:rFonts w:ascii="Times New Roman" w:hAnsi="Times New Roman" w:cs="B Nazanin" w:eastAsia="B Nazanin"/>
          <w:b/>
          <w:bCs/>
          <w:color w:val="1A1A1A"/>
          <w:sz w:val="22"/>
          <w:szCs w:val="22"/>
          <w:lang w:val="en-US" w:eastAsia="en-US" w:bidi="fa-IR"/>
        </w:rPr>
        <w:t xml:space="preserve">جدول ۳: چک‌لیست هشت‌گانهٔ تصمیم‌گیری دربارهٔ عدول از معاهده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گام</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اقدام</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معیار احراز</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خروجی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تفسیر دقیق تعهدات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۳۱ و ۳۲ کنوانسیون وین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تفسیری از دامنهٔ تعهد</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آزمون راه‌های حقوقی مندرج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۵۴ تا ۶۴ کنوانسیون وین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فهرست گزینه‌های ممکن به ترتیب هزینه</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احراز تزاحم واقعی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 عنصر ضابطهٔ نخست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کارشناسی مستند دربارهٔ مصداق اهمّ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۴</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مشورت نهادی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مجمع تشخیص مصلحت؛ شورای عالی امنیت ملی؛ متخصصان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مصوبهٔ کارشناسی با پنج عنصر ضابطهٔ سوم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تعیین مرتبهٔ اقدام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تناسب و اصل تدریج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 دربارهٔ تعلیق جزئی / تعلیق کامل / خروج</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۶</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آزمون سقف‌گذاری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آمره؛ حقوق بشر؛ نفی سبیل و اصل ۱۵۳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گواهی عدم تعرض به تعهدات سقفی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۷</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محاسبهٔ آثار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شش عنصر ضابطهٔ هشتم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هزینه‌فایدهٔ کامل</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۸</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رسمی و مستدل</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 مواد ۶۵ تا ۶۸ کنوانسیون وین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کتبی با ذکر اقدام و دلایل و مهلت</w:t>
            </w:r>
          </w:p>
        </w:tc>
      </w:tr>
    </w:tbl>
    <w:p>
      <w:pPr>
        <w:pStyle w:val="TH-TblSrc"/>
      </w:pPr>
      <w:r>
        <w:rPr>
          <w:rFonts w:ascii="Times New Roman" w:hAnsi="Times New Roman" w:cs="B Nazanin" w:eastAsia="B Nazanin"/>
          <w:color w:val="595959"/>
          <w:sz w:val="20"/>
          <w:szCs w:val="20"/>
          <w:lang w:val="en-US" w:eastAsia="en-US" w:bidi="fa-IR"/>
        </w:rPr>
        <w:t xml:space="preserve">منبع: صورت‌بندی نگارنده از ضوابط هشت‌گانهٔ فصل چهارم، با تطبیق بر مواد ۵۴ تا ۶۴ کنوانسیون وین حقوق معاهدات و مواد ۲۵ تا ۲۷ طرح مواد مسئولیت بین‌المللی دولت‌ها.</w:t>
      </w:r>
    </w:p>
    <w:p>
      <w:pPr>
        <w:pStyle w:val="TH-TblAfter"/>
      </w:pPr>
      <w:r>
        <w:t xml:space="preserve"/>
      </w:r>
    </w:p>
    <w:p>
      <w:pPr>
        <w:pStyle w:val="TH-Body"/>
      </w:pPr>
      <w:r>
        <w:t xml:space="preserve">دو نکته دربارهٔ این چک‌لیست.</w:t>
      </w:r>
      <w:r>
        <w:t xml:space="preserve"> </w:t>
      </w:r>
      <w:r>
        <w:t xml:space="preserve">نکتهٔ نخست:</w:t>
      </w:r>
      <w:r>
        <w:t xml:space="preserve"> گام‌های ۱ و ۲، «پیش‌نیاز» هستند؛ یعنی تا تفسیر دقیق صورت نگیرد و راه‌های حقوقی مندرج آزموده نشود، ورود به گام ۳ مجاز نیست. </w:t>
      </w:r>
      <w:r>
        <w:t xml:space="preserve">نکتهٔ دوم:</w:t>
      </w:r>
      <w:r>
        <w:t xml:space="preserve"> گام ۷ (محاسبهٔ آثار) می‌تواند نتیجهٔ گام‌های پیشین را معکوس کند؛ یعنی اگر محاسبهٔ آثار نشان دهد که هزینه‌های عدول بیش از فواید آن است، تصمیم باید به «تداوم وفا» یا به «مذاکره برای بازنگری» تغییر یابد. ازاین‌رو، چک‌لیست، خطی نیست، بلکه دارای «حلقهٔ بازگشت» است؛ و این، همان چیزی است که عقلانیت حکومتی اقتضا می‌کند.</w:t>
      </w:r>
    </w:p>
    <w:p>
      <w:pPr>
        <w:pStyle w:val="TH-Hasel"/>
      </w:pPr>
      <w:r>
        <w:t xml:space="preserve">حاصل فصل چهارم</w:t>
      </w:r>
    </w:p>
    <w:p>
      <w:pPr>
        <w:pStyle w:val="TH-Body"/>
      </w:pPr>
      <w:r>
        <w:t xml:space="preserve">عدول از معاهده، در فقه امامیه، «جایز» است، اما جایز بودن آن، مقید به سه مبنا و هشت ضابطه است.</w:t>
      </w:r>
    </w:p>
    <w:p>
      <w:pPr>
        <w:pStyle w:val="TH-Body"/>
      </w:pPr>
      <w:r>
        <w:t xml:space="preserve">سه مبنا:</w:t>
      </w:r>
      <w:r>
        <w:t xml:space="preserve"> (۱) تزاحم و قاعدهٔ تقدیم اهمّ، که چارچوب تحلیل را فراهم می‌کند و نشان می‌دهد که ادلهٔ وجوب وفا تخصیص نمی‌خورند، بلکه در فرض خاص استثنائی، در مقام امتثال، حکم اهم مقدم می‌شود؛ (۲) حکم حکومتی و ولایت مطلقه، که صلاحیت نهادی تصمیم‌گیر را تأمین می‌کند و نصّ محوری آن، نامهٔ ۱۶ دی ۱۳۶۶ امام خمینی است (صحیفهٔ امام، ج ۲۰، ص ۴۵۱–۴۵۲)، و نسبت آن با ادلهٔ وفا، از مجرای «حکومت» است، نه تخصیص یا ورود؛ و (۳) قاعدهٔ لاضرر و لاحرج، که در فرض ضرر جدی یا حرج غیرمتعارف، مؤیدِ دیگر است و مقید به سه قید: جدی بودن، مربوط بودن به نظام و امت، و ناشی نبودن از نقض خودِ دولت.</w:t>
      </w:r>
    </w:p>
    <w:p>
      <w:pPr>
        <w:pStyle w:val="TH-Body"/>
      </w:pPr>
      <w:r>
        <w:t xml:space="preserve">هشت ضابطه،</w:t>
      </w:r>
      <w:r>
        <w:t xml:space="preserve"> در سه دستهٔ ماهوی (احراز تزاحم واقعی با مستند؛ تقدم راه‌های حقوقی مندرج؛ کارشناسی تخصصی و مشورت نهادی)، شکلی (تناسب؛ تدریجی بودن؛ انباذ علی سواء)، و سقفی و پیامدی (عدم تعرض به قواعد آمره و حقوق بشر؛ لحاظ آثار در محاسبهٔ مصلحت) سامان یافته‌اند و صورت‌بندی عملی آن‌ها، در چک‌لیست هشت‌گانه آمده است.</w:t>
      </w:r>
    </w:p>
    <w:p>
      <w:pPr>
        <w:pStyle w:val="TH-Body"/>
      </w:pPr>
      <w:r>
        <w:t xml:space="preserve">یافتهٔ روشی مهم این فصل:</w:t>
      </w:r>
      <w:r>
        <w:t xml:space="preserve"> سه مبنا، «جایگزین» یکدیگر نیستند، بلکه «مکمل»‌اند؛ و «اوجبیت حفظ نظام» نیز مبنای مستقل چهارم نیست، بلکه معیار تشخیص اهمّ در باب تزاحم است. یکدست‌سازی این مبانی در یک دلیل واحد، هم خلاف واقعیت متنی منابع است و هم از غنای استدلالی می‌کاهد.</w:t>
      </w:r>
    </w:p>
    <w:p>
      <w:pPr>
        <w:pStyle w:val="TH-Body"/>
      </w:pPr>
      <w:r>
        <w:t xml:space="preserve">اما یک پرسش باقی می‌ماند:</w:t>
      </w:r>
      <w:r>
        <w:t xml:space="preserve"> اگر عدول، در نظام داخلی مشروع و بلکه واجب باشد، در نظام بین‌المللی چه آثار حقوقی دارد؟ آیا «مشروعیت داخلی»، «مسئولیت بین‌المللی» را رفع می‌کند؟ پاسخ این پرسش، موضوع فصل پنجم است؛ و این، همان نقطه‌ای است که بسیاری از تحلیل‌های رایج، در آن دچار خلط می‌شوند.</w:t>
      </w:r>
    </w:p>
    <w:p>
      <w:pPr>
        <w:pStyle w:val="TH-Bakhsh"/>
      </w:pPr>
      <w:r>
        <w:t xml:space="preserve">بخش سوم: مسئولیت بین‌المللی و راهبردها</w:t>
      </w:r>
    </w:p>
    <w:p>
      <w:pPr>
        <w:pStyle w:val="TH-Fasl"/>
      </w:pPr>
      <w:r>
        <w:t xml:space="preserve">فصل پنجم: مسئولیت بین‌المللی دولت و تحلیل حقوق اساسی</w:t>
      </w:r>
    </w:p>
    <w:p>
      <w:pPr>
        <w:pStyle w:val="TH-Body"/>
      </w:pPr>
      <w:r>
        <w:t xml:space="preserve">چهار فصل پیشین، مسئله را در دو نظام هنجاری بررسی کرد: فقه امامیه (فصل‌های اول، سوم و چهارم) و حقوق بین‌الملل و قانون اساسی (فصل دوم). اما یک پرسش بنیادین باقی مانده است: اگر عدول در نظام داخلی مشروع و بلکه واجب باشد، در نظام بین‌المللی چه آثار حقوقی دارد؟ آیا «مشروعیت داخلی»، «مسئولیت بین‌المللی» را رفع می‌کند؟</w:t>
      </w:r>
    </w:p>
    <w:p>
      <w:pPr>
        <w:pStyle w:val="TH-Body"/>
      </w:pPr>
      <w:r>
        <w:t xml:space="preserve">پاسخ کوتاه این رساله «نه» است</w:t>
      </w:r>
      <w:r>
        <w:t xml:space="preserve">؛ و همین پاسخ، مهم‌ترین یافتهٔ تحلیلی آن است. بسیاری از تحلیل‌های رایج در این حوزه، دو سطح را با یکدیگر خلط می‌کنند: یا از مشروعیت داخلی نتیجه می‌گیرند که مسئولیتی در کار نیست (که خلاف مادهٔ ۲۷ کنوانسیون وین و مادهٔ ۳۲ طرح مواد مسئولیت است)، یا از وجود مسئولیت بین‌المللی نتیجه می‌گیرند که عدول شرعاً جایز نیست (که خلاف مبانی فقهی فصل چهارم است). هر دو خطا، از یک ریشه نشأت می‌گیرد: «یکسان‌انگاری دو نظام هنجاری».</w:t>
      </w:r>
    </w:p>
    <w:p>
      <w:pPr>
        <w:pStyle w:val="TH-Body"/>
      </w:pPr>
      <w:r>
        <w:t xml:space="preserve">این فصل در پنج گفتار سامان یافته است: کلیات مسئولیت بین‌المللی؛ انتساب رفتار به دولت؛ تبیین تفکیک سه‌گانهٔ سطوح تحلیل؛ اسباب رافع مسئولیت و نسبت آن‌ها با مبانی فقهی؛ و سرانجام تحلیل حقوق اساسی و راهبردهای پنج‌گانهٔ عملی.</w:t>
      </w:r>
    </w:p>
    <w:p>
      <w:pPr>
        <w:pStyle w:val="TH-Goftar"/>
      </w:pPr>
      <w:r>
        <w:t xml:space="preserve">گفتار اول: کلیات مسئولیت بین‌المللی دولت</w:t>
      </w:r>
    </w:p>
    <w:p>
      <w:pPr>
        <w:pStyle w:val="TH-Band"/>
      </w:pPr>
      <w:r>
        <w:t xml:space="preserve">بند اول: طرح مواد ۲۰۰۱ و ساختار آن</w:t>
      </w:r>
    </w:p>
    <w:p>
      <w:pPr>
        <w:pStyle w:val="TH-Body"/>
      </w:pPr>
      <w:r>
        <w:t xml:space="preserve">کمیسیون حقوق بین‌الملل، پس از حدود نیم قرن کار (از ۱۹۵۶ تا ۲۰۰۱) و با شش گزارشگر ویژه (گارسیا آمادور، آگو، ریپاگن، گایا، کرافورد و کوسکن‌نیمی)، «طرح مواد مسئولیت بین‌المللی دولت‌ها برای اعمال متخلفانهٔ بین‌المللی» را در سال ۲۰۰۱ نهایی کرد.</w:t>
      </w:r>
      <w:r>
        <w:rPr>
          <w:rStyle w:val="FootnoteReference"/>
        </w:rPr>
        <w:footnoteReference w:id="161"/>
      </w:r>
      <w:r>
        <w:t xml:space="preserve"> این طرح، که شامل مقدمه و ۵۹ ماده در چهار بخش است، به‌عنوان معاهده لازم‌الاجرا تصویب نشد؛ اما بخش عمدهٔ آن، بیان‌کنندهٔ حقوق بین‌الملل عرفی شمرده می‌شود و دیوان بین‌المللی دادگستری مکرراً به آن استناد کرده است.</w:t>
      </w:r>
      <w:r>
        <w:rPr>
          <w:rStyle w:val="FootnoteReference"/>
        </w:rPr>
        <w:footnoteReference w:id="162"/>
      </w:r>
    </w:p>
    <w:p>
      <w:pPr>
        <w:pStyle w:val="TH-Body"/>
      </w:pPr>
      <w:r>
        <w:t xml:space="preserve">ساختار چهاربخشی طرح.</w:t>
      </w:r>
      <w:r>
        <w:t xml:space="preserve"> بخش نخست (مواد ۱ تا ۲۷): «عمل متخلفانهٔ بین‌المللی دولت»؛ شامل عناصر مسئولیت (مواد ۱ تا ۳)، انتساب رفتار به دولت (مواد ۴ تا ۱۱)، نقض تعهد (مواد ۱۲ تا ۱۵)، و مسئولیت دولت در ارتباط با عمل دولت دیگر (مواد ۱۶ تا ۱۹) و اسباب رافع (مواد ۲۰ تا ۲۷). بخش دوم (مواد ۲۸ تا ۴۱): «محتوای مسئولیت»؛ شامل توقف، جبران و سه صورت آن (اعاده به وضع سابق، غرامت و اعادهٔ حیثیت). بخش سوم (مواد ۴۲ تا ۵۴): «اجرای مسئولیت بین‌المللی دولت»؛ شامل استناد به مسئولیت، اقدام متقابل و دعوت همهٔ دولت‌ها. بخش چهارم (مواد ۵۵ تا ۵۹): «مقررات عمومی».</w:t>
      </w:r>
    </w:p>
    <w:p>
      <w:pPr>
        <w:pStyle w:val="TH-Body"/>
      </w:pPr>
      <w:r>
        <w:t xml:space="preserve">دو مادهٔ بنیادین.</w:t>
      </w:r>
      <w:r>
        <w:t xml:space="preserve"> مادهٔ ۱ مقرر می‌دارد: «هر عمل متخلفانهٔ بین‌المللی یک دولت، مسئولیت بین‌المللی آن دولت را محقق می‌سازد.» مادهٔ ۲، دو عنصر مسئولیت را چنین برمی‌شمرد: «عمل متخلفانهٔ بین‌المللی دولت محقق است هنگامی که رفتاری متشکل از فعل یا ترک فعل: (الف) طبق حقوق بین‌الملل به آن دولت قابل انتساب باشد؛ و (ب) ناقض تعهد بین‌المللی آن دولت باشد.»</w:t>
      </w:r>
      <w:r>
        <w:rPr>
          <w:rStyle w:val="FootnoteReference"/>
        </w:rPr>
        <w:footnoteReference w:id="163"/>
      </w:r>
      <w:r>
        <w:t xml:space="preserve"> مادهٔ ۳ نیز تصریح می‌کند: «توصیف رفتار یک دولت به‌عنوان عمل متخلفانهٔ بین‌المللی تابع حقوق بین‌الملل است. چنین توصیفی تحت تأثیر توصیف همان رفتار به‌عنوان عمل موجه طبق حقوق داخلی قرار نمی‌گیرد.» این ماده، ستون فقرات استدلال این فصل است.</w:t>
      </w:r>
    </w:p>
    <w:p>
      <w:pPr>
        <w:pStyle w:val="TH-Band"/>
      </w:pPr>
      <w:r>
        <w:t xml:space="preserve">بند دوم: محتوای مسئولیت: سه صورت جبران</w:t>
      </w:r>
    </w:p>
    <w:p>
      <w:pPr>
        <w:pStyle w:val="TH-Body"/>
      </w:pPr>
      <w:r>
        <w:t xml:space="preserve">مادهٔ ۳۰</w:t>
      </w:r>
      <w:r>
        <w:t xml:space="preserve"> دولت مسئول را مکلف می‌سازد که (الف) به عمل متخلفانه پایان دهد، اگر آن عمل ادامه داشته باشد؛ و (ب) در صورت لزوم، تعهدات و تضمین‌های عدم تکرار و ادامه ارائه کند. </w:t>
      </w:r>
      <w:r>
        <w:t xml:space="preserve">مادهٔ ۳۱</w:t>
      </w:r>
      <w:r>
        <w:t xml:space="preserve"> دولت مسئول را مکلف به «جبران کامل زیان وارده» می‌سازد؛ زیانی که شامل هر گونه خسارت مادی یا معنوی ناشی از عمل متخلفانه است.</w:t>
      </w:r>
      <w:r>
        <w:rPr>
          <w:rStyle w:val="FootnoteReference"/>
        </w:rPr>
        <w:footnoteReference w:id="164"/>
      </w:r>
    </w:p>
    <w:p>
      <w:pPr>
        <w:pStyle w:val="TH-Body"/>
      </w:pPr>
      <w:r>
        <w:t xml:space="preserve">سه صورت جبران (مادهٔ ۳۴).</w:t>
      </w:r>
      <w:r>
        <w:t xml:space="preserve"> جبران، به سه صورت انجام می‌شود: «اعاده به وضع سابق» (restitution)، «غرامت» (compensation) و «اعادهٔ حیثیت» (satisfaction). </w:t>
      </w:r>
      <w:r>
        <w:t xml:space="preserve">مادهٔ ۳۵:</w:t>
      </w:r>
      <w:r>
        <w:t xml:space="preserve"> اعاده به وضع سابق، تا حدی که از نظر مادی غیرممکن نباشد و باری نامتناسب با فایدهٔ آن تحویل ندهد، صورت می‌گیرد. </w:t>
      </w:r>
      <w:r>
        <w:t xml:space="preserve">مادهٔ ۳۶:</w:t>
      </w:r>
      <w:r>
        <w:t xml:space="preserve"> غرامت، تا حدی که زیان با اعاده به وضع سابق جبران نشده باشد، شامل هر زیان قابل ارزیابی مالی است، از جمله از دست دادن سود در صورت اثبات. </w:t>
      </w:r>
      <w:r>
        <w:t xml:space="preserve">مادهٔ ۳۷:</w:t>
      </w:r>
      <w:r>
        <w:t xml:space="preserve"> اعادهٔ حیثیت، شامل ابراز تأسف، عذرخواهی رسمی یا سایر اشکال مناسب است، مشروط بر آن‌که متناسب با زیان باشد و موجب تحقیر دولت مسئول نشود.</w:t>
      </w:r>
      <w:r>
        <w:rPr>
          <w:rStyle w:val="FootnoteReference"/>
        </w:rPr>
        <w:footnoteReference w:id="165"/>
      </w:r>
    </w:p>
    <w:p>
      <w:pPr>
        <w:pStyle w:val="TH-Body"/>
      </w:pPr>
      <w:r>
        <w:t xml:space="preserve">معیار کلاسیک جبران.</w:t>
      </w:r>
      <w:r>
        <w:t xml:space="preserve"> دیوان دائمی دادگستری بین‌المللی در قضیهٔ کارخانهٔ کورژوف (۱۹۲۸) معیار بنیادین جبران را چنین بیان کرد: «جبران باید تا حد ممکن، همهٔ آثار عمل غیرقانونی را محو سازد و وضعیتی را که به احتمال بسیار، بدون وقوع آن عمل وجود می‌داشت، بازگرداند.»</w:t>
      </w:r>
      <w:r>
        <w:rPr>
          <w:rStyle w:val="FootnoteReference"/>
        </w:rPr>
        <w:footnoteReference w:id="166"/>
      </w:r>
      <w:r>
        <w:t xml:space="preserve"> این معیار، در مادهٔ ۳۱ طرح مواد منعکس شده و تا امروز مرجع است.</w:t>
      </w:r>
    </w:p>
    <w:p>
      <w:pPr>
        <w:pStyle w:val="TH-Body"/>
      </w:pPr>
      <w:r>
        <w:t xml:space="preserve">مسئولیت مضاعف (مواد ۴۰ و ۴۱).</w:t>
      </w:r>
      <w:r>
        <w:t xml:space="preserve"> اگر دولت، تعهدی ناشی از یک قاعدهٔ آمرهٔ حقوق بین‌الملل عام را به نحو «جدی» نقض کند (نقضی که حاوی عدم پایبندی آشکار یا قصدی به تعهد باشد)، مسئولیت مضاعف پدید می‌آید: همهٔ دولت‌ها باید برای پایان بخشیدن به آن نقض با وسایل قانونی همکاری کنند؛ هیچ دولتی نباید وضعیت ناشی از نقض جدی را قانونی بشناسد یا کمک یا یاری در حفظ آن وضعیت ارائه کند؛ و باید «اعادهٔ حیثیت» کامل صورت گیرد.</w:t>
      </w:r>
      <w:r>
        <w:rPr>
          <w:rStyle w:val="FootnoteReference"/>
        </w:rPr>
        <w:footnoteReference w:id="167"/>
      </w:r>
      <w:r>
        <w:t xml:space="preserve"> اهمیت این مقررات برای مسئلهٔ حاضر، در آن است که نشان می‌دهد نقض قواعد بنیادین، آثار فراگیر دارد و محدود به رابطهٔ دوجانبه نیست؛ و این، مبنای بین‌المللی ضابطهٔ هفتم فصل چهارم (سقف‌گذاری) است.</w:t>
      </w:r>
    </w:p>
    <w:p>
      <w:pPr>
        <w:pStyle w:val="TH-Band"/>
      </w:pPr>
      <w:r>
        <w:t xml:space="preserve">بند سوم: اقدام متقابل: حق و حدود آن</w:t>
      </w:r>
    </w:p>
    <w:p>
      <w:pPr>
        <w:pStyle w:val="TH-Body"/>
      </w:pPr>
      <w:r>
        <w:t xml:space="preserve">مادهٔ ۴۹</w:t>
      </w:r>
      <w:r>
        <w:t xml:space="preserve"> به دولت زیان‌دیده حق می‌دهد که «برای واداشتن دولت مسئول به رعایت تعهدات خود طبق مواد ۲۸ تا ۴۱»، اقدام متقابل انجام دهد؛ و این اقدام، «صرفاً با عدم اجرای تعهدات بین‌المللی آن دولت نسبت به دولت مسئول» ممکن است. </w:t>
      </w:r>
      <w:r>
        <w:t xml:space="preserve">مادهٔ ۵۰</w:t>
      </w:r>
      <w:r>
        <w:t xml:space="preserve"> چهار دسته محدودیت برقرار کرده است: (الف) تعهد به عدم توسل به زور (مادهٔ ۲ منشور)؛ (ب) تعهدات مربوط به حمایت از حقوق اساسی انسان؛ (پ) تعهدات با ماهیت بشردوستانه که هرگونه اقدام تلافی‌جویانه را ممنوع می‌سازد؛ و (ت) سایر تعهدات ناشی از قواعد آمرهٔ حقوق بین‌الملل عام. افزون بر این، بند ۲ مادهٔ ۵۰، ممنوعیت تعرض به مصونیت مقامات و اماکن دیپلماتیک و کنسولی و به رویهٔ حل اختلاف را مقرر داشته است. </w:t>
      </w:r>
      <w:r>
        <w:t xml:space="preserve">مواد ۵۱ تا ۵۳</w:t>
      </w:r>
      <w:r>
        <w:t xml:space="preserve"> نیز سه قید شکلی را برقرار کرده‌اند: تناسب (مادهٔ ۵۱)، فراخوان پیشین به اجرای تعهد و اعلام رسمی (مادهٔ ۵۲، بندهای ۱ و ۲)، و پایان اقدام متقابل با تحقق هدف آن (مادهٔ ۵۳).</w:t>
      </w:r>
      <w:r>
        <w:rPr>
          <w:rStyle w:val="FootnoteReference"/>
        </w:rPr>
        <w:footnoteReference w:id="168"/>
      </w:r>
    </w:p>
    <w:p>
      <w:pPr>
        <w:pStyle w:val="TH-Body"/>
      </w:pPr>
      <w:r>
        <w:t xml:space="preserve">رویهٔ دیوان.</w:t>
      </w:r>
      <w:r>
        <w:t xml:space="preserve"> دیوان بین‌المللی دادگستری در قضیهٔ گابچیکوو‌ناگیماروش، شرایط اعمال اقدام متقابل را به نحو مضیق تبیین کرد و تصریح نمود که اقدام متقابل باید (۱) در پاسخ به عمل متخلفانهٔ پیشین طرف دیگر باشد، (۲) با فراخوان پیشین به اجرای تعهد همراه باشد، (۳) متناسب با زیان وارده باشد، و (۴) با در نظر گرفتن حقوق طرف‌های ثالث اعمال شود.</w:t>
      </w:r>
      <w:r>
        <w:rPr>
          <w:rStyle w:val="FootnoteReference"/>
        </w:rPr>
        <w:footnoteReference w:id="169"/>
      </w:r>
      <w:r>
        <w:t xml:space="preserve"> همچنین دیوان در قضیهٔ فعالیت‌های نظامی و شبه‌نظامی در نیکاراگوئه تصریح کرد که دولت ثالث یعنی دولتی که خود زیان‌دیدهٔ مستقیم نیست حق توسل به اقدام متقابل را ندارد.</w:t>
      </w:r>
      <w:r>
        <w:rPr>
          <w:rStyle w:val="FootnoteReference"/>
        </w:rPr>
        <w:footnoteReference w:id="170"/>
      </w:r>
    </w:p>
    <w:p>
      <w:pPr>
        <w:pStyle w:val="TH-Body"/>
      </w:pPr>
      <w:r>
        <w:t xml:space="preserve">کاربرد در مسئلهٔ حاضر.</w:t>
      </w:r>
      <w:r>
        <w:t xml:space="preserve"> اگر دولت اسلامی از معاهده‌ای عدول کند، طرف مقابل می‌تواند اقدام متقابل انجام دهد؛ و دامنهٔ این اقدام، تنها به رابطهٔ دوجانبه محدود نیست، بلکه می‌تواند به حوزه‌های اقتصادی، مالی، فنی و دیپلماتیک نیز سرایت کند. ازاین‌رو، «محاسبهٔ آثار» (ضابطهٔ هشتم فصل چهارم) باید احتمال اقدام متقابل و دامنهٔ آن را نیز در بر گیرد. این، مصداق روشن آن است که ضوابط فقهی و محاسبات حقوقی، مکمل یکدیگرند نه رقیب.</w:t>
      </w:r>
    </w:p>
    <w:p>
      <w:pPr>
        <w:pStyle w:val="TH-Goftar"/>
      </w:pPr>
      <w:r>
        <w:t xml:space="preserve">گفتار دوم: انتساب رفتار به دولت</w:t>
      </w:r>
    </w:p>
    <w:p>
      <w:pPr>
        <w:pStyle w:val="TH-Band"/>
      </w:pPr>
      <w:r>
        <w:t xml:space="preserve">بند اول: قاعدهٔ عام و مصادیق آن</w:t>
      </w:r>
    </w:p>
    <w:p>
      <w:pPr>
        <w:pStyle w:val="TH-Body"/>
      </w:pPr>
      <w:r>
        <w:t xml:space="preserve">پیش از آن‌که از مسئولیت سخن گفته شود، باید احراز شود که رفتار مورد نظر، به دولت «قابل انتساب» است. مواد ۴ تا ۱۱ طرح مواد، قواعد انتساب را تنظیم کرده‌اند. </w:t>
      </w:r>
      <w:r>
        <w:t xml:space="preserve">مادهٔ ۴ (قاعدهٔ عام):</w:t>
      </w:r>
      <w:r>
        <w:t xml:space="preserve"> «رفتار هر مقام دولتی طبق حقوق بین‌الملل به‌عنوان عمل آن دولت تلقی می‌شود، خواه آن مقام دارای وظایف قانون‌گذاری، اجرایی، قضایی یا هر وظیفهٔ دیگری باشد، خواه در سلسله مراتب سازمان دولت هر مقامی را دارا باشد، و خواه متعلق به دولت مرکزی یا یکی از واحدهای تقسیمات کشوری باشد.»</w:t>
      </w:r>
      <w:r>
        <w:rPr>
          <w:rStyle w:val="FootnoteReference"/>
        </w:rPr>
        <w:footnoteReference w:id="171"/>
      </w:r>
    </w:p>
    <w:p>
      <w:pPr>
        <w:pStyle w:val="TH-Body"/>
      </w:pPr>
      <w:r>
        <w:t xml:space="preserve">مصادیق دیگر انتساب.</w:t>
      </w:r>
      <w:r>
        <w:t xml:space="preserve"> مادهٔ ۵: رفتار نهادها یا اشخاصی که مقامات دولتی نیستند اما طبق حقوق داخلی، مجاز به اعمال اختیارات حاکمیتی‌اند. مادهٔ ۶: رفتار مقاماتی که در اختیار دولت دیگری قرار داده شده‌اند. مادهٔ ۷: رفتار مقام یا نهاد دولتی، حتی اگر از حدود اختیارات خود تجاوز کرده یا برخلاف دستور عمل کرده باشد (فرض «فرا‌اختیاری»). مادهٔ ۸: رفتار اشخاص یا گروه‌هایی که به دستور، تحت هدایت یا کنترل دولت عمل می‌کنند. مادهٔ ۱۱: رفتاری که در ابتدا به دولت قابل انتساب نبوده، اما دولت آن را «به‌عنوان رفتار خود تصدیق و اتخاذ» کند.</w:t>
      </w:r>
    </w:p>
    <w:p>
      <w:pPr>
        <w:pStyle w:val="TH-Body"/>
      </w:pPr>
      <w:r>
        <w:t xml:space="preserve">تطبیق بر نظام جمهوری اسلامی ایران.</w:t>
      </w:r>
      <w:r>
        <w:t xml:space="preserve"> سه نکته از جهت انتساب، حائز اهمیت است: </w:t>
      </w:r>
      <w:r>
        <w:t xml:space="preserve">نخست،</w:t>
      </w:r>
      <w:r>
        <w:t xml:space="preserve"> به موجب مادهٔ ۴، رفتار همهٔ قوا و نهادها از جمله مجلس شورای اسلامی، قوهٔ قضائیه، شورای نگهبان، مجمع تشخیص مصلحت نظام و شورای عالی امنیت ملی به دولت ایران قابل انتساب است. </w:t>
      </w:r>
      <w:r>
        <w:t xml:space="preserve">دوم،</w:t>
      </w:r>
      <w:r>
        <w:t xml:space="preserve"> به موجب مادهٔ ۵، رفتار نهادهایی که اختیارات حاکمیتی اعمال می‌کنند، نیز قابل انتساب است. </w:t>
      </w:r>
      <w:r>
        <w:t xml:space="preserve">سوم و مهم‌ترین نکته</w:t>
      </w:r>
      <w:r>
        <w:t xml:space="preserve"> رفتار ولی فقیه، از منظر حقوق بین‌الملل، رفتار یک «مقام دولتی» است؛ زیرا ایشان در نظام حقوقی داخلی، بالاترین مقام رسمی کشور است (اصول ۵، ۵۷، ۱۰۷ و ۱۱۰ قانون اساسی).</w:t>
      </w:r>
      <w:r>
        <w:rPr>
          <w:rStyle w:val="FootnoteReference"/>
        </w:rPr>
        <w:footnoteReference w:id="172"/>
      </w:r>
      <w:r>
        <w:t xml:space="preserve"> ازاین‌رو، حکم حکومتی ایشان، رفتار دولتی محسوب می‌شود و انتساب آن به دولت ایران، از منظر حقوق بین‌الملل، محل بحث نیست.</w:t>
      </w:r>
    </w:p>
    <w:p>
      <w:pPr>
        <w:pStyle w:val="TH-Body"/>
      </w:pPr>
      <w:r>
        <w:t xml:space="preserve">اهمیت استدلالی این بند.</w:t>
      </w:r>
      <w:r>
        <w:t xml:space="preserve"> نتیجهٔ مستقیم آن است که حاکم نمی‌تواند با تفکیک میان «حاکمیت» و «دولت»، از مسئولیت بگریزد؛ یعنی نمی‌تواند بگوید «حکم حکومتی، تصمیم حاکمیت است، نه دولت، و دولت مسئول آن نیست». این ادعا، در حقوق بین‌الملل پذیرفته نیست؛ زیرا معیار انتساب، «مقام دولتی بودن طبق حقوق داخلی» است، و ولی فقیه، به موجب قانون اساسی، مقام دولتی است. این، یکی از مهم‌ترین یافته‌های این فصل است و پایهٔ «تفکیک سه‌گانهٔ سطوح تحلیل» در گفتار بعد را می‌سازد.</w:t>
      </w:r>
    </w:p>
    <w:p>
      <w:pPr>
        <w:pStyle w:val="TH-Band"/>
      </w:pPr>
      <w:r>
        <w:t xml:space="preserve">بند دوم: تجربهٔ ایران در مراجع بین‌المللی</w:t>
      </w:r>
    </w:p>
    <w:p>
      <w:pPr>
        <w:pStyle w:val="TH-Body"/>
      </w:pPr>
      <w:r>
        <w:t xml:space="preserve">قضیهٔ کارکنان دیپلماتیک و کنسولی ایالات متحده در تهران (۱۹۸۰).</w:t>
      </w:r>
      <w:r>
        <w:t xml:space="preserve"> دیوان بین‌المللی دادگستری در این قضیه، ایران را مسئول نقض تعهدات بین‌المللی خود دانست.</w:t>
      </w:r>
      <w:r>
        <w:rPr>
          <w:rStyle w:val="FootnoteReference"/>
        </w:rPr>
        <w:footnoteReference w:id="173"/>
      </w:r>
      <w:r>
        <w:t xml:space="preserve"> اهمیت این قضیه برای مسئلهٔ حاضر، در دو جهت است: </w:t>
      </w:r>
      <w:r>
        <w:t xml:space="preserve">جهت نخست،</w:t>
      </w:r>
      <w:r>
        <w:t xml:space="preserve"> نشان می‌دهد که رفتار نهادهای انقلابی و اشخاصی که در ابتدا به دولت قابل انتساب نبودند، با «تصدیق و اتخاذ» توسط مقامات عالی کشور، به دولت منتسب شد (مادهٔ ۱۱ طرح مواد). </w:t>
      </w:r>
      <w:r>
        <w:t xml:space="preserve">جهت دوم،</w:t>
      </w:r>
      <w:r>
        <w:t xml:space="preserve"> نشان می‌دهد که مراجع بین‌المللی، توجیهات مبتنی بر «انقلاب» یا «مصلحت نظام» را به‌سادگی نمی‌پذیرند؛ و این، مؤید آن است که ضوابط فصل چهارم باید با محاسبات دقیق حقوق بین‌الملل همراه باشد.</w:t>
      </w:r>
    </w:p>
    <w:p>
      <w:pPr>
        <w:pStyle w:val="TH-Goftar"/>
      </w:pPr>
      <w:r>
        <w:t xml:space="preserve">گفتار سوم: تفکیک سه‌گانهٔ سطوح تحلیل</w:t>
      </w:r>
    </w:p>
    <w:p>
      <w:pPr>
        <w:pStyle w:val="TH-Band"/>
      </w:pPr>
      <w:r>
        <w:t xml:space="preserve">بند اول: تقریر تفکیک</w:t>
      </w:r>
    </w:p>
    <w:p>
      <w:pPr>
        <w:pStyle w:val="TH-Body"/>
      </w:pPr>
      <w:r>
        <w:t xml:space="preserve">مهم‌ترین یافتهٔ تحلیلی این رساله، آن است که در مسئلهٔ عدول از معاهده، «سه سطح تحلیل» وجود دارد که هر یک پرسش، مرجع، معیار و آثار متفاوتی دارند؛ و خلط این سه سطح، منشأ بیشتر خطاهای استدلالی در این حوزه است. این سه سطح چنین‌اند:</w:t>
      </w:r>
    </w:p>
    <w:p>
      <w:pPr>
        <w:pStyle w:val="TH-TblCaption"/>
        <w:keepNext/>
      </w:pPr>
      <w:bookmarkStart w:id="4004" w:name="_Toc_tbl004"/>
      <w:bookmarkEnd w:id="4004"/>
      <w:r>
        <w:rPr>
          <w:rFonts w:ascii="Times New Roman" w:hAnsi="Times New Roman" w:cs="B Nazanin" w:eastAsia="B Nazanin"/>
          <w:b/>
          <w:bCs/>
          <w:color w:val="1A1A1A"/>
          <w:sz w:val="22"/>
          <w:szCs w:val="22"/>
          <w:lang w:val="en-US" w:eastAsia="en-US" w:bidi="fa-IR"/>
        </w:rPr>
        <w:t xml:space="preserve">جدول ۴: سه سطح تحلیل در مسئلهٔ عدول از معاهده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سطح</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پرسش محوری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مرجع داوری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معیار</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اثر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 تکلیف شرعی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 عدول، شرعاً جایز یا واجب است؟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فقه امامیه؛ ولی فقیه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با مصلحت اهمّ؛ ضوابط هشت‌گانه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مشروعیت یا عدم مشروعیت شرعی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 صلاحیت و اعتبار داخلی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 کسی صلاحیت تصمیم دارد و آیا تصمیم، معتبر است؟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قانون اساسی؛ نهادهای قانونی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اصول ۵، ۵۷، ۷۷، ۱۱۰، ۱۱۲، ۱۲۵ و ۱۷۶</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اعتبار حقوقی تصمیم در نظام داخلی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 مسئولیت بین‌المللی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 این رفتار، عمل متخلفانهٔ بین‌المللی است؟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حقوق بین‌الملل؛ مراجع بین‌المللی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۲، ۳، ۱۲، ۲۵، ۲۷ و ۳۲ طرح مواد مسئولیت؛ مواد ۲۶، ۲۷ و ۵۴ تا ۶۴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مسئولیت، جبران، اقدام متقابل</w:t>
            </w:r>
          </w:p>
        </w:tc>
      </w:tr>
    </w:tbl>
    <w:p>
      <w:pPr>
        <w:pStyle w:val="TH-TblSrc"/>
      </w:pPr>
      <w:r>
        <w:rPr>
          <w:rFonts w:ascii="Times New Roman" w:hAnsi="Times New Roman" w:cs="B Nazanin" w:eastAsia="B Nazanin"/>
          <w:color w:val="595959"/>
          <w:sz w:val="20"/>
          <w:szCs w:val="20"/>
          <w:lang w:val="en-US" w:eastAsia="en-US" w:bidi="fa-IR"/>
        </w:rPr>
        <w:t xml:space="preserve">منبع: برگرفته از تحلیل نگارنده در فصل پنجم؛ مبتنی بر اصل ۱۵۳ قانون اساسی، مادهٔ ۲۷ کنوانسیون وین و مواد ۳، ۳۲ و ۴۶ تا ۵۰ طرح مواد مسئولیت بین‌المللی دولت‌ها.</w:t>
      </w:r>
    </w:p>
    <w:p>
      <w:pPr>
        <w:pStyle w:val="TH-TblAfter"/>
      </w:pPr>
      <w:r>
        <w:t xml:space="preserve"/>
      </w:r>
    </w:p>
    <w:p>
      <w:pPr>
        <w:pStyle w:val="TH-Body"/>
      </w:pPr>
      <w:r>
        <w:t xml:space="preserve">استقلال این سه سطح.</w:t>
      </w:r>
      <w:r>
        <w:t xml:space="preserve"> هر سه سطح، «مستقل» از یکدیگرند؛ یعنی داوری مثبت در یک سطح، لزوماً به داوری مثبت در سطح دیگر نمی‌انجامد و داوری منفی در یک سطح، لزوماً به داوری منفی در سطح دیگر نمی‌انجامد. مبنای این استقلال، دو نص صریح است: </w:t>
      </w:r>
      <w:r>
        <w:t xml:space="preserve">نص نخست،</w:t>
      </w:r>
      <w:r>
        <w:t xml:space="preserve"> مادهٔ ۲۷ کنوانسیون وین: «یک طرف معاهده نمی‌تواند به مقررات حقوق داخلی خود به‌عنوان توجیهی برای عدم اجرای معاهده استناد کند.»</w:t>
      </w:r>
      <w:r>
        <w:rPr>
          <w:rStyle w:val="FootnoteReference"/>
        </w:rPr>
        <w:footnoteReference w:id="174"/>
      </w:r>
      <w:r>
        <w:t xml:space="preserve"> </w:t>
      </w:r>
      <w:r>
        <w:t xml:space="preserve">نص دوم،</w:t>
      </w:r>
      <w:r>
        <w:t xml:space="preserve"> مادهٔ ۳۲ طرح مواد مسئولیت: «یک دولت مسئول نمی‌تواند برای توجیه عدم انطباق رفتارش با تعهدات بین‌المللی خود، به ضرورت تبعیت از مقررات حقوق داخلی خود استناد کند.»</w:t>
      </w:r>
      <w:r>
        <w:rPr>
          <w:rStyle w:val="FootnoteReference"/>
        </w:rPr>
        <w:footnoteReference w:id="175"/>
      </w:r>
      <w:r>
        <w:t xml:space="preserve"> و مادهٔ ۳ همان طرح نیز تصریح می‌کند که توصیف رفتار به‌عنوان عمل متخلفانه، تابع حقوق بین‌الملل است و تحت تأثیر توصیف آن به‌عنوان عمل موجه طبق حقوق داخلی قرار نمی‌گیرد.</w:t>
      </w:r>
    </w:p>
    <w:p>
      <w:pPr>
        <w:pStyle w:val="TH-Band"/>
      </w:pPr>
      <w:r>
        <w:t xml:space="preserve">بند دوم: چهار صورت ممکن و داوری در هر یک</w:t>
      </w:r>
    </w:p>
    <w:p>
      <w:pPr>
        <w:pStyle w:val="TH-Body"/>
      </w:pPr>
      <w:r>
        <w:t xml:space="preserve">از ترکیب این سه سطح، چهار صورت ممکن پدید می‌آید. داوری در هر یک، باید جداگانه صورت گیرد؛ و تصمیم‌گیر باید بداند که در کدام صورت قرار دارد و آثار هر صورت چیست.</w:t>
      </w:r>
    </w:p>
    <w:p>
      <w:pPr>
        <w:pStyle w:val="TH-TblCaption"/>
        <w:keepNext/>
      </w:pPr>
      <w:bookmarkStart w:id="4005" w:name="_Toc_tbl005"/>
      <w:bookmarkEnd w:id="4005"/>
      <w:r>
        <w:rPr>
          <w:rFonts w:ascii="Times New Roman" w:hAnsi="Times New Roman" w:cs="B Nazanin" w:eastAsia="B Nazanin"/>
          <w:b/>
          <w:bCs/>
          <w:color w:val="1A1A1A"/>
          <w:sz w:val="22"/>
          <w:szCs w:val="22"/>
          <w:lang w:val="en-US" w:eastAsia="en-US" w:bidi="fa-IR"/>
        </w:rPr>
        <w:t xml:space="preserve">جدول ۵: چهار صورت ممکن و آثار آن‌ها</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صورت</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مشروعیت داخلی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مسئولیت بین‌المللی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نمونهٔ مفروض</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داوری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الف</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موجه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منتفی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اعمال حق مندرج در متن معاهده؛ توافق اطراف بر خاتمه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صورت مطلوب؛ هیچ هزینه‌ای ندارد</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موجه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موجود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 مصلحتیِ واجد ضوابط هشت‌گانه، اما خارج از مجاری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پذیرفتنی مشروط به محاسبهٔ دقیق هزینه و فایده و مدیریت آثار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ناموجه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موجود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 پنهانی و بی‌مستند، یا تجاوز از سقف‌گذاری (ضابطهٔ هفتم)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نامطلوب در هر دو سطح؛ بالاترین هزینه</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ناموجه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منتفی یا اندک</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ترک تعهدی که اساساً معتبر نبوده (مثلاً متعارض با قاعدهٔ آمره)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نیازمند اعلام بی‌اعتباری از مجرای مواد ۶۵ تا ۶۸</w:t>
            </w:r>
          </w:p>
        </w:tc>
      </w:tr>
    </w:tbl>
    <w:p>
      <w:pPr>
        <w:pStyle w:val="TH-TblSrc"/>
      </w:pPr>
      <w:r>
        <w:rPr>
          <w:rFonts w:ascii="Times New Roman" w:hAnsi="Times New Roman" w:cs="B Nazanin" w:eastAsia="B Nazanin"/>
          <w:color w:val="595959"/>
          <w:sz w:val="20"/>
          <w:szCs w:val="20"/>
          <w:lang w:val="en-US" w:eastAsia="en-US" w:bidi="fa-IR"/>
        </w:rPr>
        <w:t xml:space="preserve">منبع: برگرفته از تحلیل نگارنده در فصل پنجم، گفتار اول.</w:t>
      </w:r>
    </w:p>
    <w:p>
      <w:pPr>
        <w:pStyle w:val="TH-TblAfter"/>
      </w:pPr>
      <w:r>
        <w:t xml:space="preserve"/>
      </w:r>
    </w:p>
    <w:p>
      <w:pPr>
        <w:pStyle w:val="TH-Body"/>
      </w:pPr>
      <w:r>
        <w:t xml:space="preserve">تحلیل صورت «ب» (صورت اصلی بحث این رساله).</w:t>
      </w:r>
      <w:r>
        <w:t xml:space="preserve"> این صورت، دشوارترین و در عین حال واقع‌بینانه‌ترین صورت است: تصمیم در نظام داخلی، واجد همهٔ ضوابط شرعی و قانونی است؛ اما در نظام بین‌المللی، چون در قالب مجاری پیش‌بینی‌شدهٔ کنوانسیون وین نگنجد، عمل متخلفانه محسوب می‌شود و مسئولیت‌آور است. </w:t>
      </w:r>
      <w:r>
        <w:t xml:space="preserve">سه نتیجهٔ عملی از این تحلیل:</w:t>
      </w:r>
      <w:r>
        <w:t xml:space="preserve"> (۱) تصمیم‌گیر نباید توهم کند که مشروعیت داخلی، مسئولیت بین‌المللی را رفع می‌کند؛ (۲) محاسبهٔ مصلحت باید هزینهٔ مسئولیت بین‌المللی را نیز در بر گیرد (ضابطهٔ هشتم)؛ و (۳) حتی در این صورت، رعایت ضوابط شکلی (اعلام رسمی، مستندسازی، تناسب و تدریجی بودن) می‌تواند «شدت» مسئولیت و «احتمال پذیرش توجیه» را تحت تأثیر قرار دهد؛ اگرچه اصل مسئولیت را رفع نمی‌کند.</w:t>
      </w:r>
    </w:p>
    <w:p>
      <w:pPr>
        <w:pStyle w:val="TH-Body"/>
      </w:pPr>
      <w:r>
        <w:t xml:space="preserve">اهمیت روشی این تفکیک.</w:t>
      </w:r>
      <w:r>
        <w:t xml:space="preserve"> این تفکیک، سه خطای رایج را اصلاح می‌کند: </w:t>
      </w:r>
      <w:r>
        <w:t xml:space="preserve">خطای نخست (انکارگر):</w:t>
      </w:r>
      <w:r>
        <w:t xml:space="preserve"> کسانی که از مشروعیت داخلی نتیجه می‌گیرند مسئولیتی در کار نیست. این خطا، خلاف مادهٔ ۲۷ کنوانسیون وین و مادهٔ ۳۲ طرح مواد است و در عمل، دولت را غافلگیر می‌کند. </w:t>
      </w:r>
      <w:r>
        <w:t xml:space="preserve">خطای دوم (واگذارگرا):</w:t>
      </w:r>
      <w:r>
        <w:t xml:space="preserve"> کسانی که از وجود مسئولیت بین‌المللی نتیجه می‌گیرند عدول شرعاً جایز نیست. این خطا، حقوق بین‌الملل را بر فقه حاکم می‌سازد و موجب می‌شود دولت اسلامی در برابر معاهدات زیان‌بار، بی‌دفاع بماند. </w:t>
      </w:r>
      <w:r>
        <w:t xml:space="preserve">خطای سوم (یکدست‌ساز):</w:t>
      </w:r>
      <w:r>
        <w:t xml:space="preserve"> کسانی که هر سه سطح را در یک پرسش ادغام می‌کنند و در نتیجه، یا به تناقض می‌افتند یا به مسامحه. تفکیک سه‌گانه، درمان هر سه خطاست.</w:t>
      </w:r>
    </w:p>
    <w:p>
      <w:pPr>
        <w:pStyle w:val="TH-Goftar"/>
      </w:pPr>
      <w:r>
        <w:t xml:space="preserve">گفتار چهارم: اسباب رافع مسئولیت و نسبت آن‌ها با مبانی فقهی</w:t>
      </w:r>
    </w:p>
    <w:p>
      <w:pPr>
        <w:pStyle w:val="TH-Band"/>
      </w:pPr>
      <w:r>
        <w:t xml:space="preserve">بند اول: شش سبب رافع (مواد ۲۰ تا ۲۵)</w:t>
      </w:r>
    </w:p>
    <w:p>
      <w:pPr>
        <w:pStyle w:val="TH-Body"/>
      </w:pPr>
      <w:r>
        <w:t xml:space="preserve">بخش پنجم طرح مواد، شش سبب را که «شرایط را از وصف متخلفانه بودن خارج می‌سازند»، برشمرده است. تحلیل هر یک و نسبت آن با مبانی فقهی فصل چهارم، در جدول زیر آمده و سپس در بندهای بعد تفصیل می‌یابد.</w:t>
      </w:r>
    </w:p>
    <w:p>
      <w:pPr>
        <w:pStyle w:val="TH-TblCaption"/>
        <w:keepNext/>
      </w:pPr>
      <w:bookmarkStart w:id="4006" w:name="_Toc_tbl006"/>
      <w:bookmarkEnd w:id="4006"/>
      <w:r>
        <w:rPr>
          <w:rFonts w:ascii="Times New Roman" w:hAnsi="Times New Roman" w:cs="B Nazanin" w:eastAsia="B Nazanin"/>
          <w:b/>
          <w:bCs/>
          <w:color w:val="1A1A1A"/>
          <w:sz w:val="22"/>
          <w:szCs w:val="22"/>
          <w:lang w:val="en-US" w:eastAsia="en-US" w:bidi="fa-IR"/>
        </w:rPr>
        <w:t xml:space="preserve">جدول ۶: شش سبب رافع مسئولیت و نسبت آن‌ها با مبانی فقهی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سبب</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ماده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شرایط اصلی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برابرنهاد فقهی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نسبت با مبنای فصل چهارم</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رضایت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۲۰</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رضایت معتبر و صریح دولت زیان‌دیده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توافق اطراف؛ اقاله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مجرای جایگزین ضابطهٔ دوم؛ خارج از بحث عدول یک‌جانبه</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دفاع مشروع</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منطبق بر مادهٔ ۵۱ منشور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دفاع در برابر تهاجم (جهاد دفاعی)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مرتبهٔ پنجم مراتب عدول؛ مجوز قطعی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اقدام متقابل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۲۲</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در پاسخ به عمل متخلفانهٔ پیشین، مقید به مواد ۴۹ تا ۵۴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مقابله به مثل؛ آیهٔ انفال/۵۸</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مرتبهٔ چهارم مراتب عدول (عدول واکنشی)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فورس ماژور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۲۳</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رویداد غیرقابل مقاومت و خارج از کنترل؛ عدم مشارکت دولت؛ عدم پذیرش ریسک از پیش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آفات سماوی و زمینی؛ اضطرار قهری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مؤید لاضرر و لاحرج؛ اما با شروط مضیق‌تر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اضطرار (distress)</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خطر جدی و قریب‌الوقوع بر جان؛ عدم ایجاد خطر بزرگ‌تر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اضطرار؛ حفظ جان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مؤید لاحرج؛ محدود به حفظ جان</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ضرورت (necessity)</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۲۵</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منافع اساسی؛ خطر جدی و قریب‌الوقوع؛ تنها راه؛ عدم لطمهٔ اساسی به منافع دیگران؛ عدم مشارکت در ایجاد وضعیت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با حفظ نظام و بیضهٔ اسلام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نزدیک‌ترین سبب به مبنای نخست فصل چهارم؛ اما با آستانهٔ بالاتر</w:t>
            </w:r>
          </w:p>
        </w:tc>
      </w:tr>
    </w:tbl>
    <w:p>
      <w:pPr>
        <w:pStyle w:val="TH-TblSrc"/>
      </w:pPr>
      <w:r>
        <w:rPr>
          <w:rFonts w:ascii="Times New Roman" w:hAnsi="Times New Roman" w:cs="B Nazanin" w:eastAsia="B Nazanin"/>
          <w:color w:val="595959"/>
          <w:sz w:val="20"/>
          <w:szCs w:val="20"/>
          <w:lang w:val="en-US" w:eastAsia="en-US" w:bidi="fa-IR"/>
        </w:rPr>
        <w:t xml:space="preserve">منبع: طرح مواد مسئولیت بین‌المللی دولت‌ها (۲۰۰۱)، مواد ۲۰ تا ۲۷؛ با تطبیق فقهی نگارنده بر پایهٔ قواعد اضطرار، لاضرر و لاحرج و تزاحم.</w:t>
      </w:r>
    </w:p>
    <w:p>
      <w:pPr>
        <w:pStyle w:val="TH-TblAfter"/>
      </w:pPr>
      <w:r>
        <w:t xml:space="preserve"/>
      </w:r>
    </w:p>
    <w:p>
      <w:pPr>
        <w:pStyle w:val="TH-Body"/>
      </w:pPr>
      <w:r>
        <w:t xml:space="preserve">نکتهٔ مهم دربارهٔ مادهٔ ۲۶.</w:t>
      </w:r>
      <w:r>
        <w:t xml:space="preserve"> هیچ‌یک از این شش سبب، در برابر تعهدی که از قاعدهٔ آمرهٔ حقوق بین‌الملل عام ناشی می‌شود، قابل استناد نیست.</w:t>
      </w:r>
      <w:r>
        <w:rPr>
          <w:rStyle w:val="FootnoteReference"/>
        </w:rPr>
        <w:footnoteReference w:id="176"/>
      </w:r>
      <w:r>
        <w:t xml:space="preserve"> این، مؤید بین‌المللی ضابطهٔ هفتم فصل چهارم است؛ و نشان می‌دهد که هر دو نظام هنجاری، بر وجود «سقف» اتفاق دارند.</w:t>
      </w:r>
    </w:p>
    <w:p>
      <w:pPr>
        <w:pStyle w:val="TH-Band"/>
      </w:pPr>
      <w:r>
        <w:t xml:space="preserve">بند دوم: تحلیل مادهٔ ۲۵ (ضرورت): نزدیک‌ترین سبب</w:t>
      </w:r>
    </w:p>
    <w:p>
      <w:pPr>
        <w:pStyle w:val="TH-Body"/>
      </w:pPr>
      <w:r>
        <w:t xml:space="preserve">مادهٔ ۲۵ طرح مواد، سبب «ضرورت» را چنین تنظیم کرده است: «ضرورت، مبنایی برای استناد به عملی که تعهد بین‌المللی یک دولت را نقض می‌کند، قرار نمی‌گیرد، مگر آن‌که: (الف) آن عمل، تنها راه برای حفاظت از منافع اساسی دولت در برابر خطر جدی و قریب‌الوقوع باشد؛ و (ب) آن عمل، به‌طور اساسی به منافع اساسی دولت یا دولت‌هایی که تعهد نسبت به آنان وجود دارد، یا به جامعهٔ بین‌المللی به‌طور اعم لطمه وارد نسازد.» به‌علاوه، بند ۲ مقرر می‌دارد که در هر صورت، ضرورت مبنایی برای استناد قرار نمی‌گیرد اگر: (الف) تعهد بین‌المللی مورد نظر، استناد به ضرورت را منتفی سازد؛ یا (ب) دولت در ایجاد وضعیت ضرورت مشارکت کرده باشد.</w:t>
      </w:r>
      <w:r>
        <w:rPr>
          <w:rStyle w:val="FootnoteReference"/>
        </w:rPr>
        <w:footnoteReference w:id="177"/>
      </w:r>
    </w:p>
    <w:p>
      <w:pPr>
        <w:pStyle w:val="TH-Body"/>
      </w:pPr>
      <w:r>
        <w:t xml:space="preserve">شش شرط تجمعی.</w:t>
      </w:r>
      <w:r>
        <w:t xml:space="preserve"> شروط مادهٔ ۲۵، «تجمعی»‌اند، نه «تخییری»؛ یعنی تحقق همهٔ آن‌ها ضروری است: (۱) وجود «منافع اساسی» دولت؛ (۲) وجود «خطر جدی و قریب‌الوقوع»؛ (۳) عمل مورد نظر «تنها راه» حفاظت باشد؛ (۴) عمل، «به‌طور اساسی» به منافع اساسی دیگران یا به جامعهٔ بین‌المللی لطمه نزند؛ (۵) خود تعهد، استناد به ضرورت را منتفی نکرده باشد؛ و (۶) دولت در ایجاد وضعیت ضرورت «مشارکت» نکرده باشد. دیوان بین‌المللی دادگستری در قضیهٔ گابچیکوو تصریح کرد که این شرایط، «تجمعی»‌اند و باید همگی محقق شوند؛ و هر یک، به نحو مستقل، می‌تواند مانع استناد باشد.</w:t>
      </w:r>
      <w:r>
        <w:rPr>
          <w:rStyle w:val="FootnoteReference"/>
        </w:rPr>
        <w:footnoteReference w:id="178"/>
      </w:r>
    </w:p>
    <w:p>
      <w:pPr>
        <w:pStyle w:val="TH-Body"/>
      </w:pPr>
      <w:r>
        <w:t xml:space="preserve">دیوان و آستانهٔ مضیق.</w:t>
      </w:r>
      <w:r>
        <w:t xml:space="preserve"> دیوان در همان قضیه تأکید کرد که «منافع اساسی» به «چیزی بیش از وجود دولت» مربوط است و شامل حفظ محیط زیست در مناطق تحت حاکمیت یا کنترل نیز می‌شود؛ اما ملاحظات سیاسی و اقتصادیِ صرف، به‌تنهایی کافی نیست. دیوان همچنین معیار «تنها راه» را سخت‌گیرانه تفسیر کرد و بیان داشت که اگر راه‌های دیگری حتی پرهزینه‌تر یا کمتر مؤثر وجود داشته باشد، شرط منتفی است.</w:t>
      </w:r>
      <w:r>
        <w:rPr>
          <w:rStyle w:val="FootnoteReference"/>
        </w:rPr>
        <w:footnoteReference w:id="179"/>
      </w:r>
      <w:r>
        <w:t xml:space="preserve"> دیوان در پایان، استناد مجارستان به ضرورت را نپذیرفت.</w:t>
      </w:r>
    </w:p>
    <w:p>
      <w:pPr>
        <w:pStyle w:val="TH-Body"/>
      </w:pPr>
      <w:r>
        <w:t xml:space="preserve">نسبت دقیق با مبنای نخست فصل چهارم (تزاحم).</w:t>
      </w:r>
      <w:r>
        <w:t xml:space="preserve"> این نسبت، از سنخ «عموم و خصوص من‌وجه» است؛ و تبیین آن، از مهم‌ترین دستاوردهای تحلیلی این رساله است:</w:t>
      </w:r>
    </w:p>
    <w:p>
      <w:pPr>
        <w:pStyle w:val="TH-TblCaption"/>
        <w:keepNext/>
      </w:pPr>
      <w:bookmarkStart w:id="4007" w:name="_Toc_tbl007"/>
      <w:bookmarkEnd w:id="4007"/>
      <w:r>
        <w:rPr>
          <w:rFonts w:ascii="Times New Roman" w:hAnsi="Times New Roman" w:cs="B Nazanin" w:eastAsia="B Nazanin"/>
          <w:b/>
          <w:bCs/>
          <w:color w:val="1A1A1A"/>
          <w:sz w:val="22"/>
          <w:szCs w:val="22"/>
          <w:lang w:val="en-US" w:eastAsia="en-US" w:bidi="fa-IR"/>
        </w:rPr>
        <w:t xml:space="preserve">جدول ۷: مقایسهٔ آستانهٔ تزاحم فقهی و ضرورت بین‌المللی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معیار</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تزاحم فقهی (مبنای نخست فصل چهارم)</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ضرورت بین‌المللی (مادهٔ ۲۵)</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منبع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عقلی‌شرعی تقدیم اهمّ؛ نامهٔ ۱۶ دی ۱۳۶۶</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حقوق بین‌الملل عرفی؛ مادهٔ ۲۵ طرح مواد</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موضوع مورد حفاظت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حفظ نظام اسلامی و بیضهٔ اسلام؛ نفی سلطه؛ منافع حیاتی ملت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منافع اساسی دولت در برابر خطر جدی و قریب‌الوقوع</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شرط انحصار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لزوم احراز نبود مجرای دیگر (ضابطهٔ دوم)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«تنها راه» بودن (سخت‌گیرانه‌تر)</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شرط عدم مشارکت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قید سوم ضوابط لاضرر (بند سوم گفتار سوم فصل چهارم)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۲ (ب) مادهٔ ۲۵ (صریح‌تر)</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شرط عدم لطمه به دیگران</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تناسب (ضابطهٔ چهارم)؛ سقف‌گذاری (ضابطهٔ هفتم)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۱ (ب) مادهٔ ۲۵ (تصریح به منافع اساسی دیگران و جامعهٔ بین‌المللی)</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آمره؛ حقوق بشر؛ نفی سبیل و اصل ۱۵۳</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۲۶ (قواعد آمره)</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نتیجهٔ عدم تحقق</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عدم جواز شرعی عدول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تحقق مسئولیت بین‌المللی و لزوم جبران</w:t>
            </w:r>
          </w:p>
        </w:tc>
      </w:tr>
    </w:tbl>
    <w:p>
      <w:pPr>
        <w:pStyle w:val="TH-TblSrc"/>
      </w:pPr>
      <w:r>
        <w:rPr>
          <w:rFonts w:ascii="Times New Roman" w:hAnsi="Times New Roman" w:cs="B Nazanin" w:eastAsia="B Nazanin"/>
          <w:color w:val="595959"/>
          <w:sz w:val="20"/>
          <w:szCs w:val="20"/>
          <w:lang w:val="en-US" w:eastAsia="en-US" w:bidi="fa-IR"/>
        </w:rPr>
        <w:t xml:space="preserve">منبع: طرح مواد مسئولیت بین‌المللی دولت‌ها، مادهٔ ۲۵ و گزارش کمیسیون حقوق بین‌الملل؛ در برابر منابع اصولی: نائینی، فوائد الاصول (مبحث التزاحم) و صدر، بحوث فی علم الاصول.</w:t>
      </w:r>
    </w:p>
    <w:p>
      <w:pPr>
        <w:pStyle w:val="TH-TblAfter"/>
      </w:pPr>
      <w:r>
        <w:t xml:space="preserve"/>
      </w:r>
    </w:p>
    <w:p>
      <w:pPr>
        <w:pStyle w:val="TH-Body"/>
      </w:pPr>
      <w:r>
        <w:t xml:space="preserve">وجه اشتراک:</w:t>
      </w:r>
      <w:r>
        <w:t xml:space="preserve"> هر دو نظام، بر «منافع اساسی»، «خطر جدی»، «انحصار راه»، «عدم مشارکت در ایجاد وضعیت»، «تناسب» و «سقف‌گذاری» اتفاق دارند؛ و این هم‌ساختاری، نشان می‌دهد که عقلانیت حقوقی بشر، در دو بستر مستقل، به قیود مشابهی رسیده است.</w:t>
      </w:r>
    </w:p>
    <w:p>
      <w:pPr>
        <w:pStyle w:val="TH-Body"/>
      </w:pPr>
      <w:r>
        <w:t xml:space="preserve">وجه افتراق و نتیجهٔ عملی آن:</w:t>
      </w:r>
      <w:r>
        <w:t xml:space="preserve"> آستانهٔ مادهٔ ۲۵، در سه معیار، سخت‌گیرانه‌تر از آستانهٔ تزاحم فقهی است: </w:t>
      </w:r>
      <w:r>
        <w:t xml:space="preserve">نخست،</w:t>
      </w:r>
      <w:r>
        <w:t xml:space="preserve"> شرط «تنها راه»؛ یعنی در حقوق بین‌الملل، وجود راه‌های دیگر حتی پرهزینه‌تر مانع استناد است، در حالی که در فقه، ضابطهٔ دوم تنها «تقدم» راه‌های دیگر را لازم می‌داند، نه «انحصار» مطلق. </w:t>
      </w:r>
      <w:r>
        <w:t xml:space="preserve">دوم،</w:t>
      </w:r>
      <w:r>
        <w:t xml:space="preserve"> شرط «عدم لطمهٔ اساسی به منافع اساسی دیگران یا به جامعهٔ بین‌المللی»؛ که دامنه‌ای فراتر از رابطهٔ دوجانبه دارد و در فقه، برابرنهاد صریحی برای آن یافت نمی‌شود (هرچند ضابطهٔ هفتم، نزدیک‌ترین مؤید است). </w:t>
      </w:r>
      <w:r>
        <w:t xml:space="preserve">سوم،</w:t>
      </w:r>
      <w:r>
        <w:t xml:space="preserve"> معیار «خطر جدی و قریب‌الوقوع»؛ که عنصر «قریب‌الوقوع بودن» را تأکید می‌کند، در حالی که تزاحم فقهی می‌تواند با خطر تدریجی و بلندمدت نیز احراز شود.</w:t>
      </w:r>
    </w:p>
    <w:p>
      <w:pPr>
        <w:pStyle w:val="TH-Body"/>
      </w:pPr>
      <w:r>
        <w:t xml:space="preserve">نتیجهٔ راهبردی این تحلیل، در یک گزاره خلاصه می‌شود: «مجوز فقهی، لزوماً مجوز بین‌المللی نیست.»</w:t>
      </w:r>
      <w:r>
        <w:t xml:space="preserve"> دولتی که در نظام داخلی، مجوز عدول را احراز کرده باشد، ممکن است در نظام بین‌المللی، مسئول شناخته شود؛ زیرا آستانهٔ مادهٔ ۲۵ سخت‌گیرانه‌تر است. ازاین‌رو، تصمیم‌گیر باید «هر دو آستانه» را بسنجد و تصمیم خود را بر اساس «سخت‌گیرانه‌ترین» آن‌ها تنظیم کند؛ زیرا این، هم از جهت شرعی محتاطانه‌تر است و هم از جهت حقوقی کم‌هزینه‌تر. این، مهم‌ترین توصیهٔ عملی این رساله است.</w:t>
      </w:r>
    </w:p>
    <w:p>
      <w:pPr>
        <w:pStyle w:val="TH-Band"/>
      </w:pPr>
      <w:r>
        <w:t xml:space="preserve">بند سوم: فورس ماژور، اضطرار و اقدام متقابل</w:t>
      </w:r>
    </w:p>
    <w:p>
      <w:pPr>
        <w:pStyle w:val="TH-Body"/>
      </w:pPr>
      <w:r>
        <w:t xml:space="preserve">فورس ماژور (مادهٔ ۲۳).</w:t>
      </w:r>
      <w:r>
        <w:t xml:space="preserve"> سه شرط دارد: (۱) وقوع «رویداد غیرقابل مقاومت یا پیش‌بینی نشده و خارج از کنترل دولت»؛ (۲) «عدم امکان مادی» اجرای تعهد؛ و (۳) دو شرط سلبی: دولت در وقوع آن وضعیت مشارکت نکرده باشد، و دولت ریسک وقوع آن وضعیت را نپذیرفته باشد.</w:t>
      </w:r>
      <w:r>
        <w:rPr>
          <w:rStyle w:val="FootnoteReference"/>
        </w:rPr>
        <w:footnoteReference w:id="180"/>
      </w:r>
      <w:r>
        <w:t xml:space="preserve"> نسبت این سبب با قاعدهٔ لاضرر و لاحرج، نسبت «مؤید» است؛ اما شرط «عدم امکان مادی» در فورس ماژور، از شرط «ضرر جدی» در لاضرر سخت‌گیرانه‌تر است؛ زیرا لاضرر با ضرر جدی نیز جاری می‌شود، اما فورس ماژور نیازمند استحالهٔ مادی است.</w:t>
      </w:r>
    </w:p>
    <w:p>
      <w:pPr>
        <w:pStyle w:val="TH-Body"/>
      </w:pPr>
      <w:r>
        <w:t xml:space="preserve">اضطرار (مادهٔ ۲۴).</w:t>
      </w:r>
      <w:r>
        <w:t xml:space="preserve"> دو شرط دارد: (۱) عمل، «تنها راه» برای نجات جان اشخاصی باشد که در مراقبت دولت مسئول یا نهاد مربوطه قرار دارند و در معرض «خطر جدی و قریب‌الوقوع»‌اند؛ و (۲) عمل، «به‌طور اساسی» منافع اساسی دولت دیگر یا جامعهٔ بین‌المللی را در معرض خطر قرار ندهد.</w:t>
      </w:r>
      <w:r>
        <w:rPr>
          <w:rStyle w:val="FootnoteReference"/>
        </w:rPr>
        <w:footnoteReference w:id="181"/>
      </w:r>
      <w:r>
        <w:t xml:space="preserve"> تفاوت آن با مادهٔ ۲۵، در «موضوع مورد حفاظت» است: مادهٔ ۲۴ محدود به «حفظ جان انسان» است، در حالی که مادهٔ ۲۵ به «منافع اساسی دولت» گسترش می‌یابد. ازاین‌رو، مادهٔ ۲۴ برابرنهاد نزدیک‌تر با قاعدهٔ لاحرج و با قواعد حفظ جان در فقه امامیه است؛ اما دامنهٔ آن مضیق‌تر از مادهٔ ۲۵ است.</w:t>
      </w:r>
    </w:p>
    <w:p>
      <w:pPr>
        <w:pStyle w:val="TH-Body"/>
      </w:pPr>
      <w:r>
        <w:t xml:space="preserve">اقدام متقابل (مادهٔ ۲۲).</w:t>
      </w:r>
      <w:r>
        <w:t xml:space="preserve"> این سبب، متفاوت از پنج سبب دیگر است؛ زیرا نه بر «استحالهٔ اجرا» مبتنی است، نه بر «خطر»، بلکه بر «تقابل»: دولتی که خود زیان‌دیدهٔ عمل متخلفانه است، می‌تواند با رعایت مواد ۴۹ تا ۵۴، اقدام متقابل انجام دهد و این اقدام، از وصف متخلفانه بودن خارج می‌شود.</w:t>
      </w:r>
      <w:r>
        <w:rPr>
          <w:rStyle w:val="FootnoteReference"/>
        </w:rPr>
        <w:footnoteReference w:id="182"/>
      </w:r>
      <w:r>
        <w:t xml:space="preserve"> </w:t>
      </w:r>
      <w:r>
        <w:t xml:space="preserve">اهمیت این سبب برای مسئلهٔ حاضر، در آن است که نزدیک‌ترین برابرنهاد فقهی را دارد:</w:t>
      </w:r>
      <w:r>
        <w:t xml:space="preserve"> آیهٔ شریفهٔ «فَمَا اسْتَقَامُوا لَکُمْ فَاسْتَقِیمُوا لَهُمْ»</w:t>
      </w:r>
      <w:r>
        <w:rPr>
          <w:rStyle w:val="FootnoteReference"/>
        </w:rPr>
        <w:footnoteReference w:id="183"/>
      </w:r>
      <w:r>
        <w:t xml:space="preserve"> و آیهٔ «فَانْبِذْ إِلَیْهِمْ عَلَىٰ سَوَاءٍ»</w:t>
      </w:r>
      <w:r>
        <w:rPr>
          <w:rStyle w:val="FootnoteReference"/>
        </w:rPr>
        <w:footnoteReference w:id="184"/>
      </w:r>
      <w:r>
        <w:t xml:space="preserve"> و سیرهٔ پیامبر در پایان عهد قریش پس از نقض آنان. ازاین‌رو، «عدول واکنشی» (مرتبهٔ چهارم مراتب پنج‌گانهٔ فصل اول)، در هر دو نظام هنجاری، مستحکم‌ترین صورت عدول است و کمترین احتمال مسئولیت را دارد؛ مشروط بر رعایت چهار شرط دیوان در قضیهٔ گابچیکوو: پاسخ به تخلف پیشین، فراخوان پیشین، تناسب، و در نظر گرفتن حقوق طرف‌های ثالث.</w:t>
      </w:r>
    </w:p>
    <w:p>
      <w:pPr>
        <w:pStyle w:val="TH-Goftar"/>
      </w:pPr>
      <w:r>
        <w:t xml:space="preserve">گفتار پنجم: تحلیل حقوق اساسی و راهبردهای عملی</w:t>
      </w:r>
    </w:p>
    <w:p>
      <w:pPr>
        <w:pStyle w:val="TH-Band"/>
      </w:pPr>
      <w:r>
        <w:t xml:space="preserve">بند اول: صلاحیت‌ها: وحدت مجرا یا تفکیک مجرا؟</w:t>
      </w:r>
    </w:p>
    <w:p>
      <w:pPr>
        <w:pStyle w:val="TH-Body"/>
      </w:pPr>
      <w:r>
        <w:t xml:space="preserve">چنان‌که در گفتار پنجم فصل دوم ثبت شد، قانون اساسی دربارهٔ «ورود به التزام» صریح است (اصول ۷۷ و ۱۲۵)، اما دربارهٔ «خروج از التزام» ساکت است؛ و در یازده بند اصل ۱۱۰ نیز اختیار صریحی دربارهٔ معاهدات نیامده است. این سکوت، دو استنباط را ممکن ساخته است که هر یک پشتوانه‌ای دارد. داوری میان آن‌ها، به نحو منصفانه، چنین است:</w:t>
      </w:r>
    </w:p>
    <w:p>
      <w:pPr>
        <w:pStyle w:val="TH-Body"/>
      </w:pPr>
      <w:r>
        <w:t xml:space="preserve">دیدگاه نخست: وحدت مجرا.</w:t>
      </w:r>
      <w:r>
        <w:t xml:space="preserve"> مرجع ایجادکنندهٔ التزام (مجلس شورای اسلامی)، صلاحیت رفع آن را نیز دارد. استدلال این دیدگاه در سه مقدمه است: (۱) قاعدهٔ «العاقد ینحلّ بما عقد به»؛ (۲) اصل ۷۷ که تصویب معاهدات را در صلاحیت مجلس قرار داده، به نحو اطلاق بیان شده و شامل «اصلاح» و «خاتمه» نیز می‌شود؛ و (۳) قاعدهٔ تفسیر مضیق اختیارات استثنایی. </w:t>
      </w:r>
      <w:r>
        <w:t xml:space="preserve">نقد:</w:t>
      </w:r>
      <w:r>
        <w:t xml:space="preserve"> این دیدگاه، با واقعیت نهادی نظام ناسازگار است؛ زیرا اصل ۵۷، «ولایت مطلقهٔ امر و امامت امت» را بر همهٔ قوا از جمله قوهٔ مقننه تثبیت کرده است؛ و اصل ۱۱۰ (بند ۱ و ۸) به رهبری صلاحیت تعیین سیاست‌های کلی نظام و حل معضلات نظام را داده است. افزون بر این، خروج از التزام بین‌المللی، در بسیاری فروض، تصمیمی «حاکمیتی‌امنیتی» است که نیازمند سرعت، محرمانگی و انسجام است؛ و این، با فرایند قانون‌گذاری عمومی سازگار نیست.</w:t>
      </w:r>
    </w:p>
    <w:p>
      <w:pPr>
        <w:pStyle w:val="TH-Body"/>
      </w:pPr>
      <w:r>
        <w:t xml:space="preserve">دیدگاه دوم: تفکیک مجرا.</w:t>
      </w:r>
      <w:r>
        <w:t xml:space="preserve"> ورود به التزام و خروج از آن، دو تصمیم متفاوت‌اند و می‌توانند دو مجرای متفاوت داشته باشند؛ زیرا ماهیت آن‌ها متفاوت است: ورود، «تعهدآور» است و نیازمند رضایت نمایندگان ملت؛ خروج، «تصمیم حاکمیتی» است و در فروض اضطراری، نیازمند تصمیم سریع و منسجم. استدلال این دیدگاه بر اصول ۵، ۵۷، ۱۱۰ (بندهای ۱، ۵، ۷ و ۸)، ۱۱۲ و ۱۷۶ استوار است. </w:t>
      </w:r>
      <w:r>
        <w:t xml:space="preserve">نقد:</w:t>
      </w:r>
      <w:r>
        <w:t xml:space="preserve"> این دیدگاه، در فرضی که خروج از التزام، به «ایجاد تعهد جدید» یا «تغییر بنیادین در تعهدات» بینجامد (چون جایگزینی معاهده‌ای با معاهده‌ای دیگر)، با اصل ۷۷ ناسازگار است؛ زیرا در آن فرض، مجلس باید دخالت کند.</w:t>
      </w:r>
    </w:p>
    <w:p>
      <w:pPr>
        <w:pStyle w:val="TH-Body"/>
      </w:pPr>
      <w:r>
        <w:t xml:space="preserve">داوری این رساله.</w:t>
      </w:r>
      <w:r>
        <w:t xml:space="preserve"> دیدگاه برگزیده، «دیدگاه ترکیبی» است که در سه گزاره بیان می‌شود: </w:t>
      </w:r>
      <w:r>
        <w:t xml:space="preserve">نخست،</w:t>
      </w:r>
      <w:r>
        <w:t xml:space="preserve"> در فروض عادی و غیراضطراری، خروج از التزام باید از مجرای مجلس صورت گیرد؛ زیرا اصل ۷۷ به نحو اطلاق بیان شده و قاعدهٔ «وحدت مجرا» مؤید آن است. </w:t>
      </w:r>
      <w:r>
        <w:t xml:space="preserve">دوم،</w:t>
      </w:r>
      <w:r>
        <w:t xml:space="preserve"> در فروض اضطراری و حاکمیتی که تأخیر موجب ضرر جدی به منافع اساسی کشور می‌شود، ولی فقیه می‌تواند با استناد به حکم حکومتی و به اصل ۱۱۰ (بند ۸: حل معضلات نظام که از طرق عادی قابل حل نیست)، تصمیم به تعلیق یا خروج بگیرد؛ مشروط بر رعایت ضوابط هشت‌گانهٔ فصل چهارم. </w:t>
      </w:r>
      <w:r>
        <w:t xml:space="preserve">سوم،</w:t>
      </w:r>
      <w:r>
        <w:t xml:space="preserve"> در هر دو فرض، باید «تأیید پسینی مجلس» پیش‌بینی شود تا مشروعیت دموکراتیک تصمیم تأمین گردد؛ و این، همان سازوکاری است که در نظام‌های حقوقی متعدد برای تصمیم‌های اضطراری پیش‌بینی شده است. </w:t>
      </w:r>
      <w:r>
        <w:t xml:space="preserve">نتیجهٔ عملی:</w:t>
      </w:r>
      <w:r>
        <w:t xml:space="preserve"> این داوری، نه «حصرگرا» است و نه «توسعه‌گرا»، بلکه «تفکیک‌گرا» است؛ و با رویکرد کلی این رساله (جواز ضابطه‌مند) هم‌خوان است.</w:t>
      </w:r>
    </w:p>
    <w:p>
      <w:pPr>
        <w:pStyle w:val="TH-Body"/>
      </w:pPr>
      <w:r>
        <w:t xml:space="preserve">اصل ۴ قانون اساسی: قید حاکم.</w:t>
      </w:r>
      <w:r>
        <w:t xml:space="preserve"> همهٔ این تحلیل‌ها، مقید به اصل ۴ قانون اساسی است که مقرر می‌دارد: «کلیهٔ قوانین و مقررات مدنی، جزائی، مالی، اقتصادی، اداری، فرهنگی، نظامی، سیاسی و غیر اینها باید بر اساس موازین اسلامی باشد. این اصل بر اطلاق یا عموم همهٔ اصول قانون اساسی و قوانین و مقررات دیگر حاکم است…»</w:t>
      </w:r>
      <w:r>
        <w:rPr>
          <w:rStyle w:val="FootnoteReference"/>
        </w:rPr>
        <w:footnoteReference w:id="185"/>
      </w:r>
      <w:r>
        <w:t xml:space="preserve"> دلالت این اصل بر مسئلهٔ حاضر قاطع است: هیچ معاهده‌ای، هرچند به تصویب مجلس رسیده و در سطح بین‌المللی معتبر باشد، نمی‌تواند خلاف موازین اسلامی لازم‌الاجرا شود؛ و تشخیص این مخالفت، بر عهدهٔ فقهای شورای نگهبان است. این، «سقف شرعی» نظام حقوقی ایران است و با «سقف بین‌المللی» (مادهٔ ۲۶ طرح مواد و مواد ۵۳ و ۶۴ کنوانسیون وین) هم‌ساختار است. </w:t>
      </w:r>
      <w:r>
        <w:t xml:space="preserve">نتیجهٔ مهم:</w:t>
      </w:r>
      <w:r>
        <w:t xml:space="preserve"> در هر دو نظام، «سقف» وجود دارد و مصلحت، هرچقدر هم بزرگ باشد، نمی‌تواند از سقف فراتر رود.</w:t>
      </w:r>
    </w:p>
    <w:p>
      <w:pPr>
        <w:pStyle w:val="TH-Band"/>
      </w:pPr>
      <w:r>
        <w:t xml:space="preserve">بند دوم: مطالعهٔ تطبیقی سه تجربه</w:t>
      </w:r>
    </w:p>
    <w:p>
      <w:pPr>
        <w:pStyle w:val="TH-Body"/>
      </w:pPr>
      <w:r>
        <w:t xml:space="preserve">برای آن‌که تحلیل این رساله از سطح نظری فراتر رود و با تجربهٔ عملی دولت‌ها سنجیده شود، سه تجربهٔ معاصر بررسی می‌شود. انتخاب این سه، تصادفی نیست: هر سه، نمونه‌های برجستهٔ «خروج از تعهد بین‌المللی» در سه قالب متفاوت‌اند: خروج با استناد به مکانیزم داخلی معاهده (برجام)، خروج از معاهدهٔ چندجانبه (دیوان کیفری بین‌المللی)، و خروج با مجرای صریح معاهده‌ای (بریتانیا از اتحادیهٔ اروپا).</w:t>
      </w:r>
    </w:p>
    <w:p>
      <w:pPr>
        <w:pStyle w:val="TH-Zirband"/>
      </w:pPr>
      <w:r>
        <w:t xml:space="preserve">تجربهٔ نخست: برنامهٔ جامع اقدام مشترک (برجام)</w:t>
      </w:r>
    </w:p>
    <w:p>
      <w:pPr>
        <w:pStyle w:val="TH-Body"/>
      </w:pPr>
      <w:r>
        <w:t xml:space="preserve">گزارش واقعه.</w:t>
      </w:r>
      <w:r>
        <w:t xml:space="preserve"> برجام در ۱۴ ژوئیهٔ ۲۰۱۵ میان ایران و شش قدرت (آمریکا، بریتانیا، فرانسه، روسیه، چین و آلمان) به همراه نمایندهٔ عالی اتحادیهٔ اروپا منعقد شد و در ۲۰ ژوئیهٔ ۲۰۱۵، با قطعنامهٔ ۲۲۳۱ شورای امنیت، مورد تأیید قرار گرفت. روز اجرای توافق، ۱۶ ژانویهٔ ۲۰۱۶ بود. در ۸ مه ۲۰۱۸، ایالات متحده اعلام کرد که از اجرای تعهدات خود خارج می‌شود و تحریم‌های رفع‌شده را بازمی‌گرداند. ایران، پس از گذشت یک سال و با استناد به بندهای ۲۶ و ۳۶ برجام (مکانیزم حل اختلاف)، اعلام کرد که اجرای بخشی از تعهدات خود را متوقف می‌سازد؛ و سپس در سه مرحلهٔ بعدی (سپتامبر ۲۰۱۹، نوامبر ۲۰۱۹ و ژانویهٔ ۲۰۲۰)، دامنهٔ این توقف را گسترش داد.</w:t>
      </w:r>
      <w:r>
        <w:rPr>
          <w:rStyle w:val="FootnoteReference"/>
        </w:rPr>
        <w:footnoteReference w:id="186"/>
      </w:r>
    </w:p>
    <w:p>
      <w:pPr>
        <w:pStyle w:val="TH-Body"/>
      </w:pPr>
      <w:r>
        <w:t xml:space="preserve">تحلیل حقوقی در پرتو ضوابط هشت‌گانه.</w:t>
      </w:r>
      <w:r>
        <w:t xml:space="preserve"> این تجربه، از جهت تطبیق با ضوابط فصل چهارم، آموزنده است: </w:t>
      </w:r>
      <w:r>
        <w:t xml:space="preserve">ضابطهٔ دوم (تقدم راه‌های حقوقی مندرج):</w:t>
      </w:r>
      <w:r>
        <w:t xml:space="preserve"> رعایت شد؛ زیرا ایران نخست به مکانیزم حل اختلاف بند ۳۶ استناد کرد و یک سال صبر نمود. </w:t>
      </w:r>
      <w:r>
        <w:t xml:space="preserve">ضابطهٔ ششم (انباذ علی سواء):</w:t>
      </w:r>
      <w:r>
        <w:t xml:space="preserve"> رعایت شد؛ زیرا اعلام رسمی، علنی و مستدل صورت گرفت. </w:t>
      </w:r>
      <w:r>
        <w:t xml:space="preserve">ضابطهٔ چهارم (تناسب):</w:t>
      </w:r>
      <w:r>
        <w:t xml:space="preserve"> رعایت شد؛ زیرا توقف، «جزئی» و «مرحله‌ای» بود، نه خاتمهٔ کامل. </w:t>
      </w:r>
      <w:r>
        <w:t xml:space="preserve">ضابطهٔ پنجم (تدریجی بودن):</w:t>
      </w:r>
      <w:r>
        <w:t xml:space="preserve"> رعایت شد؛ زیرا در چهار مرحله صورت گرفت و هر مرحله، فرصت بازگشت فراهم می‌کرد. </w:t>
      </w:r>
      <w:r>
        <w:t xml:space="preserve">ضابطهٔ سوم (کارشناسی نهادی):</w:t>
      </w:r>
      <w:r>
        <w:t xml:space="preserve"> در قالب شورای عالی امنیت ملی صورت گرفت. </w:t>
      </w:r>
      <w:r>
        <w:t xml:space="preserve">ضابطهٔ هشتم (لحاظ آثار):</w:t>
      </w:r>
      <w:r>
        <w:t xml:space="preserve"> محل بحث است؛ زیرا آثار اقتصادی و سیاسی این تصمیم، در ادبیات عمومی، مورد مناقشه بوده و نیازمند ارزیابی کارشناسی مستقل است.</w:t>
      </w:r>
    </w:p>
    <w:p>
      <w:pPr>
        <w:pStyle w:val="TH-Body"/>
      </w:pPr>
      <w:r>
        <w:t xml:space="preserve">سه درس تحلیلی.</w:t>
      </w:r>
      <w:r>
        <w:t xml:space="preserve"> </w:t>
      </w:r>
      <w:r>
        <w:t xml:space="preserve">درس نخست:</w:t>
      </w:r>
      <w:r>
        <w:t xml:space="preserve"> این تجربه، نمونهٔ روشن «صورت ب» از صورت‌های چهارگانهٔ گفتار سوم است؛ یعنی اقدام در نظام داخلی واجد ضوابط بود، اما از منظر حقوق بین‌الملل، مسئلهٔ مسئولیت محل بحث بود؛ زیرا خودِ برجام، مکانیزم «توقف اجرا» را پیش‌بینی کرده بود و این، اقدام را به «صورت الف» نزدیک می‌ساخت. </w:t>
      </w:r>
      <w:r>
        <w:t xml:space="preserve">درس دوم:</w:t>
      </w:r>
      <w:r>
        <w:t xml:space="preserve"> وجود مکانیزم حل اختلاف در متن توافق (بند ۳۶)، هزینهٔ حقوقی اقدام را به نحو چشمگیری کاهش داد؛ و این، مؤید راهبرد دوم از راهبردهای پنج‌گانهٔ این رساله است. </w:t>
      </w:r>
      <w:r>
        <w:t xml:space="preserve">درس سوم:</w:t>
      </w:r>
      <w:r>
        <w:t xml:space="preserve"> تدریجی بودن اقدام، «فرصت مذاکره» ایجاد کرد و از تبدیل اختلاف به بحران غیرقابل بازگشت جلوگیری نمود؛ و این، مؤید ضابطهٔ پنجم است.</w:t>
      </w:r>
    </w:p>
    <w:p>
      <w:pPr>
        <w:pStyle w:val="TH-Body"/>
      </w:pPr>
      <w:r>
        <w:t xml:space="preserve">تذکر روشی.</w:t>
      </w:r>
      <w:r>
        <w:t xml:space="preserve"> این رساله، داوری سیاسی دربارهٔ صحت یا خطای این تصمیم ارائه نمی‌کند؛ زیرا داوری سیاسی، نیازمند دسترسی به اطلاعات طبقه‌بندی‌شده و به ارزیابی کارشناسی کامل است. کار این رساله، «تحلیل حقوقی و فقهی ساختار تصمیم» است؛ و از این جهت، تجربهٔ برجام، نمونه‌ای غنی برای آزمون ضوابط هشت‌گانه فراهم می‌کند.</w:t>
      </w:r>
    </w:p>
    <w:p>
      <w:pPr>
        <w:pStyle w:val="TH-Zirband"/>
      </w:pPr>
      <w:r>
        <w:t xml:space="preserve">تجربهٔ دوم: خروج سه دولت آفریقایی از دیوان کیفری بین‌المللی</w:t>
      </w:r>
    </w:p>
    <w:p>
      <w:pPr>
        <w:pStyle w:val="TH-Body"/>
      </w:pPr>
      <w:r>
        <w:t xml:space="preserve">گزارش واقعه.</w:t>
      </w:r>
      <w:r>
        <w:t xml:space="preserve"> در اکتبر ۲۰۱۶، سه دولت آفریقایی، به ترتیب، اعلامیهٔ خروج خود از اساسنامهٔ رم (۱۹۹۸) را به دبیرکل سازمان ملل متحد تسلیم کردند: بوروندی (۲۷ اکتبر ۲۰۱۶)، آفریقای جنوبی (۲۰ اکتبر ۲۰۱۶) و گامبیا (۲۶ اکتبر ۲۰۱۶). به موجب مادهٔ ۱۲۷ اساسنامهٔ رم، خروج یک سال پس از دریافت اعلامیه نافذ می‌شود، مگر آن‌که تاریخ بعدی تعیین شده باشد؛ و مادهٔ ۱۲۷ تصریح می‌کند که خروج، دولت را از تعهدات ناشی از دورهٔ عضویت از جمله تعهدات مالی معاف نمی‌سازد.</w:t>
      </w:r>
      <w:r>
        <w:rPr>
          <w:rStyle w:val="FootnoteReference"/>
        </w:rPr>
        <w:footnoteReference w:id="187"/>
      </w:r>
      <w:r>
        <w:t xml:space="preserve"> خروج بوروندی در ۲۷ اکتبر ۲۰۱۷ نافذ شد و این کشور، نخستین دولت خارج‌شده از دیوان بود.</w:t>
      </w:r>
    </w:p>
    <w:p>
      <w:pPr>
        <w:pStyle w:val="TH-Body"/>
      </w:pPr>
      <w:r>
        <w:t xml:space="preserve">دو تحول تعیین‌کننده.</w:t>
      </w:r>
      <w:r>
        <w:t xml:space="preserve"> </w:t>
      </w:r>
      <w:r>
        <w:t xml:space="preserve">تحول نخست (آفریقای جنوبی):</w:t>
      </w:r>
      <w:r>
        <w:t xml:space="preserve"> در ۷ مارس ۲۰۱۷، دیوان عالی حوزهٔ خائوتنگ، در پروندهٔ «اتحاد دمکراتیک علیه وزیر روابط بین‌الملل و همکاری»، اعلامیهٔ خروج دولت را به‌دلیل فقدان تصویب پارلمانی، مغایر قانون اساسی و نامعتبر دانست؛ و دولت، همان روز، اعلامیهٔ خود را پس گرفت.</w:t>
      </w:r>
      <w:r>
        <w:rPr>
          <w:rStyle w:val="FootnoteReference"/>
        </w:rPr>
        <w:footnoteReference w:id="188"/>
      </w:r>
      <w:r>
        <w:t xml:space="preserve"> </w:t>
      </w:r>
      <w:r>
        <w:t xml:space="preserve">تحول دوم (گامبیا):</w:t>
      </w:r>
      <w:r>
        <w:t xml:space="preserve"> پس از تغییر دولت در ژانویهٔ ۲۰۱۷، رئیس‌جمهور جدید در فوریهٔ ۲۰۱۷ اعلامیهٔ خروج را پس گرفت. در نتیجه، از سه دولت، تنها بوروندی از دیوان خارج شد.</w:t>
      </w:r>
    </w:p>
    <w:p>
      <w:pPr>
        <w:pStyle w:val="TH-Body"/>
      </w:pPr>
      <w:r>
        <w:t xml:space="preserve">تحلیل و سه درس.</w:t>
      </w:r>
      <w:r>
        <w:t xml:space="preserve"> </w:t>
      </w:r>
      <w:r>
        <w:t xml:space="preserve">درس نخست (اهمیت مجرای داخلی):</w:t>
      </w:r>
      <w:r>
        <w:t xml:space="preserve"> تجربهٔ آفریقای جنوبی نشان می‌دهد که خروج از معاهده، در بسیاری نظام‌های حقوقی، نیازمند تصویب پارلمانی است؛ و عدم رعایت این تشریفات، تصمیم را در سطح داخلی باطل می‌سازد. این، مؤید دیدگاه «وحدت مجرا» در بند نخست این گفتار است و نشان می‌دهد که سکوت قانون اساسی ایران دربارهٔ خروج از التزام، یک خلأ واقعی است که باید با تفسیر یا با اصلاح قانون اساسی پر شود. </w:t>
      </w:r>
      <w:r>
        <w:t xml:space="preserve">درس دوم (پایداری تصمیم‌های سیاسی در برابر تغییر دولت‌ها):</w:t>
      </w:r>
      <w:r>
        <w:t xml:space="preserve"> پس‌گیری اعلامیه‌ها در آفریقای جنوبی و گامبیا نشان می‌دهد که تصمیم‌های خروج، اگر بر مبنای محاسبات سیاسیِ ناپایدار گرفته شوند، با تغییر دولت، قابل بازگشت‌اند؛ و این، مؤید ضابطهٔ پنجم (تدریجی بودن و تقدم تعلیق بر خاتمه) است، زیرا تعلیق، بازگشت‌پذیر است و خاتمه نیست. </w:t>
      </w:r>
      <w:r>
        <w:t xml:space="preserve">درس سوم (آثار بازمانده):</w:t>
      </w:r>
      <w:r>
        <w:t xml:space="preserve"> تصریح مادهٔ ۱۲۷ اساسنامهٔ رم بر باقی ماندن تعهدات دورهٔ عضویت، مؤید آن است که خروج از معاهده، «پایان همهٔ تعهدات» نیست؛ و این، با منطق مواد ۷۰ و ۷۲ کنوانسیون وین هم‌خوان است.</w:t>
      </w:r>
    </w:p>
    <w:p>
      <w:pPr>
        <w:pStyle w:val="TH-Zirband"/>
      </w:pPr>
      <w:r>
        <w:t xml:space="preserve">تجربهٔ سوم: خروج بریتانیا از اتحادیهٔ اروپا</w:t>
      </w:r>
    </w:p>
    <w:p>
      <w:pPr>
        <w:pStyle w:val="TH-Body"/>
      </w:pPr>
      <w:r>
        <w:t xml:space="preserve">گزارش واقعه.</w:t>
      </w:r>
      <w:r>
        <w:t xml:space="preserve"> در همه‌پرسی ۲۳ ژوئن ۲۰۱۶، اکثریت رأی‌دهندگان بریتانیا به خروج از اتحادیهٔ اروپا رأی دادند. در ۲۹ مارس ۲۰۱۷، بریتانیا با استناد به مادهٔ ۵۰ معاهدهٔ اتحادیهٔ اروپا، اعلامیهٔ خروج رسمی خود را تسلیم کرد. پیش از آن، در ۲۴ ژانویهٔ ۲۰۱۷، دیوان عالی بریتانیا در پروندهٔ «میلر» حکم داد که دولت نمی‌تواند بدون تصویب پارلمان، مادهٔ ۵۰ را فعال کند؛ و در نتیجه، پارلمان، لایحهٔ خروج را تصویب نمود. سرانجام، پس از سه بار تأخیر، خروج در ۳۱ ژانویهٔ ۲۰۲۰ نافذ شد و دورهٔ انتقالی تا ۳۱ دسامبر ۲۰۲۰ ادامه یافت.</w:t>
      </w:r>
      <w:r>
        <w:rPr>
          <w:rStyle w:val="FootnoteReference"/>
        </w:rPr>
        <w:footnoteReference w:id="189"/>
      </w:r>
    </w:p>
    <w:p>
      <w:pPr>
        <w:pStyle w:val="TH-Body"/>
      </w:pPr>
      <w:r>
        <w:t xml:space="preserve">تحلیل و چهار درس.</w:t>
      </w:r>
      <w:r>
        <w:t xml:space="preserve"> </w:t>
      </w:r>
      <w:r>
        <w:t xml:space="preserve">درس نخست (مجرای صریح در متن):</w:t>
      </w:r>
      <w:r>
        <w:t xml:space="preserve"> مادهٔ ۵۰ معاهدهٔ اتحادیهٔ اروپا، حق خروج را به نحو صریح و با تعیین تشریفات و مهلت، پیش‌بینی کرده بود؛ و همین امر، اقدام بریتانیا را در «صورت الف» از صورت‌های چهارگانهٔ گفتار سوم قرار داد؛ یعنی بدون مسئولیت بین‌المللی. این، مؤید قاطع راهبرد دوم این رساله است: «هنگام انعقاد معاهده، مجرای خروج را در متن بگنجانید.» </w:t>
      </w:r>
      <w:r>
        <w:t xml:space="preserve">درس دوم (اهمیت مجرای داخلی):</w:t>
      </w:r>
      <w:r>
        <w:t xml:space="preserve"> حکم دیوان عالی در پروندهٔ میلر، لزوم تصویب پارلمانی را تثبیت کرد؛ و این، همان یافته‌ای است که از تجربهٔ آفریقای جنوبی به دست آمد و مؤید دیدگاه «وحدت مجرا» است. </w:t>
      </w:r>
      <w:r>
        <w:t xml:space="preserve">درس سوم (هزینهٔ زمانی و سیاسی):</w:t>
      </w:r>
      <w:r>
        <w:t xml:space="preserve"> فرایند خروج، بیش از سه سال و نیم به طول انجامید و هزینه‌های سیاسی و اقتصادی فراوانی داشت؛ و این، مؤید ضابطهٔ هشتم (لحاظ آثار در محاسبهٔ مصلحت) است. </w:t>
      </w:r>
      <w:r>
        <w:t xml:space="preserve">درس چهارم (دورهٔ انتقالی):</w:t>
      </w:r>
      <w:r>
        <w:t xml:space="preserve"> پیش‌بینی دورهٔ انتقالی، از شوک ناگهانی جلوگیری کرد؛ و این، مؤید ضابطهٔ پنجم (تدریجی بودن) است.</w:t>
      </w:r>
    </w:p>
    <w:p>
      <w:pPr>
        <w:pStyle w:val="TH-Body"/>
      </w:pPr>
      <w:r>
        <w:t xml:space="preserve">جمع‌بندی مطالعهٔ تطبیقی.</w:t>
      </w:r>
      <w:r>
        <w:t xml:space="preserve"> از سه تجربه، چهار یافتهٔ مشترک استخراج می‌شود: </w:t>
      </w:r>
      <w:r>
        <w:t xml:space="preserve">یافتهٔ نخست:</w:t>
      </w:r>
      <w:r>
        <w:t xml:space="preserve"> وجود «مجرا و شرایط صریح در متن معاهده»، هزینهٔ حقوقی خروج را به نحو چشمگیری کاهش می‌دهد (برجام، مادهٔ ۵۰ معاهدهٔ اتحادیهٔ اروپا، مادهٔ ۱۲۷ اساسنامهٔ رم). </w:t>
      </w:r>
      <w:r>
        <w:t xml:space="preserve">یافتهٔ دوم:</w:t>
      </w:r>
      <w:r>
        <w:t xml:space="preserve"> در نظام‌های حقوقی گوناگون، «تصویب پارلمانی» برای خروج، یک قاعدهٔ رو به گسترش است؛ و سکوت قانون اساسی ایران در این زمینه، خلأ است. </w:t>
      </w:r>
      <w:r>
        <w:t xml:space="preserve">یافتهٔ سوم:</w:t>
      </w:r>
      <w:r>
        <w:t xml:space="preserve"> «تدریجی بودن» و «پیش‌بینی دورهٔ انتقالی»، از شوک و از تبدیل اختلاف به بحران جلوگیری می‌کند. </w:t>
      </w:r>
      <w:r>
        <w:t xml:space="preserve">یافتهٔ چهارم:</w:t>
      </w:r>
      <w:r>
        <w:t xml:space="preserve"> «اعلام رسمی، مستدل و علنی» در همهٔ سه تجربه رعایت شد و در هیچ موردی، عدول پنهانی صورت نگرفت؛ و این، تأیید عملی ضابطهٔ ششم (انباذ علی سواء) است.</w:t>
      </w:r>
    </w:p>
    <w:p>
      <w:pPr>
        <w:pStyle w:val="TH-Band"/>
      </w:pPr>
      <w:r>
        <w:t xml:space="preserve">بند سوم: راهبردهای پنج‌گانه</w:t>
      </w:r>
    </w:p>
    <w:p>
      <w:pPr>
        <w:pStyle w:val="TH-Body"/>
      </w:pPr>
      <w:r>
        <w:t xml:space="preserve">یافته‌های چهار فصل پیشین و مطالعهٔ تطبیقی این گفتار، در پنج راهبرد عملی سامان می‌یابد. این راهبردها، بر یک اصل مشترک استوارند: </w:t>
      </w:r>
      <w:r>
        <w:t xml:space="preserve">«بهترین زمان مدیریت تعهد، هنگام انعقاد است، نه هنگام اجرا.»</w:t>
      </w:r>
      <w:r>
        <w:t xml:space="preserve"> به تعبیر دیگر، بسیاری از دشواری‌های مرحلهٔ اجرا، ریشه در غفلت‌های مرحلهٔ انعقاد دارد.</w:t>
      </w:r>
    </w:p>
    <w:p>
      <w:pPr>
        <w:pStyle w:val="TH-Body"/>
      </w:pPr>
      <w:r>
        <w:t xml:space="preserve">راهبرد نخست: استفادهٔ هوشمندانه از حق شرط و اعلامیهٔ تفسیری در مرحلهٔ پیوستن.</w:t>
      </w:r>
      <w:r>
        <w:t xml:space="preserve"> به موجب مادهٔ ۱۹ کنوانسیون وین، حق شرط جایز است، مگر آن‌که در معاهده ممنوع شده باشد، یا معاهده تنها حق شرط‌های معینی را مجاز شمرده باشد، یا حق شرط با موضوع و هدف معاهده ناسازگار باشد.</w:t>
      </w:r>
      <w:r>
        <w:rPr>
          <w:rStyle w:val="FootnoteReference"/>
        </w:rPr>
        <w:footnoteReference w:id="190"/>
      </w:r>
      <w:r>
        <w:t xml:space="preserve"> دولت باید هنگام پیوستن، نسبت به بندهایی که با منافع حیاتی خود یا با موازین اسلامی (اصل ۴ قانون اساسی) ناسازگار است، حق شرط بگذارد؛ و نسبت به بندهای مبهم، اعلامیهٔ تفسیری صادر کند تا فهم خود را مستند ثبت کند. این راهبرد، «پیشگیرانه» است و نیاز به عدول را از ریشه کاهش می‌دهد. </w:t>
      </w:r>
      <w:r>
        <w:t xml:space="preserve">نکتهٔ عملی:</w:t>
      </w:r>
      <w:r>
        <w:t xml:space="preserve"> حق شرط‌ها باید به نحو دقیق و محدود تنظیم شوند؛ زیرا حق شرط موسع، ممکن است به‌دلیل ناسازگاری با موضوع و هدف معاهده، با اعتراض دیگر اطراف روبه‌رو شود و آثار آن، مطابق مواد ۲۰ و ۲۱ تعیین گردد.</w:t>
      </w:r>
    </w:p>
    <w:p>
      <w:pPr>
        <w:pStyle w:val="TH-Body"/>
      </w:pPr>
      <w:r>
        <w:t xml:space="preserve">راهبرد دوم: گنجاندن شرط‌های خروج، بازنگری، تعلیق و حل اختلاف در متن معاهدات دوجانبه.</w:t>
      </w:r>
      <w:r>
        <w:t xml:space="preserve"> در معاهدات دوجانبه، امکان مذاکره بر سر متن وجود دارد و دولت باید چهار دسته شرط را در متن بگنجاند: (۱) شرط بازنگری دوره‌ای؛ (۲) شرط خروج با اطلاع قبلی (مشابه مادهٔ ۵۶ کنوانسیون وین با مهلت دوازده ماه)؛ (۳) شرط تعلیق در فروض معین؛ و (۴) مکانیزم حل اختلاف مرحله‌ای (مذاکره، میانجی‌گری، داوری). تجربهٔ برجام و تجربهٔ بریتانیا نشان می‌دهد که وجود چنین شرط‌هایی، هزینهٔ حقوقی اقدام یک‌جانبه را به نحو چشمگیری کاهش می‌دهد.</w:t>
      </w:r>
    </w:p>
    <w:p>
      <w:pPr>
        <w:pStyle w:val="TH-Body"/>
      </w:pPr>
      <w:r>
        <w:t xml:space="preserve">راهبرد سوم: مستندسازی هوشمندانه از مرحلهٔ مذاکره.</w:t>
      </w:r>
      <w:r>
        <w:t xml:space="preserve"> به موجب بند ۳ مادهٔ ۳۱ و مادهٔ ۳۲ کنوانسیون وین، «توافق بعدی»، «رفتار بعدی در اجرا» و «سوابق انعقاد معاهده»، همگی در فرایند تفسیر لحاظ می‌شوند.</w:t>
      </w:r>
      <w:r>
        <w:rPr>
          <w:rStyle w:val="FootnoteReference"/>
        </w:rPr>
        <w:footnoteReference w:id="191"/>
      </w:r>
      <w:r>
        <w:t xml:space="preserve"> ازاین‌رو، هر سند، صورت‌جلسه، یادداشت و حتی رفتار اجرایی دولت، می‌تواند روزی در فرایند تفسیر به‌کار رود. </w:t>
      </w:r>
      <w:r>
        <w:t xml:space="preserve">توصیهٔ عملی:</w:t>
      </w:r>
      <w:r>
        <w:t xml:space="preserve"> دستگاه دیپلماسی باید «حقوق‌محور» باشد، نه صرفاً «سیاست‌محور»؛ یعنی در هر مرحله از مذاکره، مواضع و تفاسیر خود را کتباً و به نحو دقیق ثبت کند. افزون بر این، باید توجه داشت که رفتار امروز دولت، سند فردای اوست؛ و استقرار یک تفسیر عملی، بازگشت از آن را دشوار می‌سازد.</w:t>
      </w:r>
    </w:p>
    <w:p>
      <w:pPr>
        <w:pStyle w:val="TH-Body"/>
      </w:pPr>
      <w:r>
        <w:t xml:space="preserve">راهبرد چهارم: اولویت‌بخشی به مجاری حقوقی مندرج و رعایت اصل تدریج.</w:t>
      </w:r>
      <w:r>
        <w:t xml:space="preserve"> این راهبرد، صورت عملی ضوابط دوم و پنجم است و در هفت گام اجرا می‌شود: (۱) تفسیر دقیق تعهد (مواد ۳۱ و ۳۲)؛ (۲) آزمون راه‌های مندرج در متن؛ (۳) مذاکره برای بازنگری یا اصلاح؛ (۴) استناد به نقض اساسی طرف مقابل (مادهٔ ۶۰) در فرض وجود نقض؛ (۵) استناد به تغییر بنیادین اوضاع (مادهٔ ۶۲) یا عدم امکان اجرا (مادهٔ ۶۱)؛ (۶) تعلیق جزئی به‌جای تعلیق کامل؛ و (۷) خاتمه به‌عنوان آخرین گزینه. این ترتیب، بر اساس «هزینهٔ فزاینده» سامان یافته است.</w:t>
      </w:r>
    </w:p>
    <w:p>
      <w:pPr>
        <w:pStyle w:val="TH-Body"/>
      </w:pPr>
      <w:r>
        <w:t xml:space="preserve">راهبرد پنجم: مدیریت مسئولیت و حفظ اعتبار.</w:t>
      </w:r>
      <w:r>
        <w:t xml:space="preserve"> در فرضی که عدول صورت گیرد، باید آثار آن مدیریت شود: (۱) اعلام رسمی، کتبی و مستدل با ذکر اقدام پیشنهادی و دلایل (مواد ۶۵ تا ۶۸)؛ (۲) اعطای مهلت مناسب برای واکنش طرف مقابل؛ (۳) پیش‌بینی سازوکار بازگشت و بازبینی دوره‌ای (مبتنی بر فراز «مادامی که چنین است» در نامهٔ امام)؛ (۴) محاسبهٔ دقیق احتمال مطالبهٔ جبران و اقدام متقابل؛ (۵) پرهیز از تعرض به تعهدات سقفی (حقوق بشر، قواعد آمره، تعهدات بشردوستانه)؛ و (۶) حفظ کانال‌های گفت‌وگو برای جلوگیری از تبدیل اختلاف به بحران. </w:t>
      </w:r>
      <w:r>
        <w:t xml:space="preserve">نکتهٔ تعیین‌کننده:</w:t>
      </w:r>
      <w:r>
        <w:t xml:space="preserve"> «اعتبار» یک دولت در صحنهٔ بین‌المللی، سرمایه‌ای است که با هر عدول بی‌ضابطه فرسوده می‌شود و بازسازی آن، سال‌ها طول می‌کشد. ازاین‌رو، لحاظ اعتبار در محاسبهٔ مصلحت، یک «امر تکمیلی» نیست، بلکه بخشی از خودِ مصلحت است. روایت «لِکُلِّ غَادِرٍ لِوَاءٌ یَوْمَ الْقِیَامَةِ یُعْرَفُ بِهِ»</w:t>
      </w:r>
      <w:r>
        <w:rPr>
          <w:rStyle w:val="FootnoteReference"/>
        </w:rPr>
        <w:footnoteReference w:id="192"/>
      </w:r>
      <w:r>
        <w:t xml:space="preserve"> دقیقاً به همین بُعد اشاره دارد؛ با این تفاوت که در قیامت، رسوایی قطعی است و در دنیا، فرسایش اعتبار تدریجی.</w:t>
      </w:r>
    </w:p>
    <w:p>
      <w:pPr>
        <w:pStyle w:val="TH-Hasel"/>
      </w:pPr>
      <w:r>
        <w:t xml:space="preserve">حاصل فصل پنجم</w:t>
      </w:r>
    </w:p>
    <w:p>
      <w:pPr>
        <w:pStyle w:val="TH-Body"/>
      </w:pPr>
      <w:r>
        <w:t xml:space="preserve">نخست،</w:t>
      </w:r>
      <w:r>
        <w:t xml:space="preserve"> عدول از معاهده، حتی اگر در نظام داخلی مشروع و بلکه واجب باشد، در نظام بین‌المللی می‌تواند «عمل متخلفانه» محسوب شود و مسئولیت‌آور باشد؛ زیرا مادهٔ ۲۷ کنوانسیون وین و مواد ۳ و ۳۲ طرح مواد مسئولیت، صریحاً استناد به حقوق داخلی را به‌عنوان توجیه، مردود شمرده‌اند.</w:t>
      </w:r>
    </w:p>
    <w:p>
      <w:pPr>
        <w:pStyle w:val="TH-Body"/>
      </w:pPr>
      <w:r>
        <w:t xml:space="preserve">دوم،</w:t>
      </w:r>
      <w:r>
        <w:t xml:space="preserve"> سه سطح تحلیل (تکلیف شرعی، صلاحیت و اعتبار داخلی، و مسئولیت بین‌المللی) از یکدیگر مستقل‌اند و باید جداگانه داوری شوند. از ترکیب این سه سطح، چهار صورت ممکن پدید می‌آید و صورت اصلی بحث این رساله، «صورت ب» است: مشروعیت داخلی همراه با مسئولیت بین‌المللی.</w:t>
      </w:r>
    </w:p>
    <w:p>
      <w:pPr>
        <w:pStyle w:val="TH-Body"/>
      </w:pPr>
      <w:r>
        <w:t xml:space="preserve">سوم،</w:t>
      </w:r>
      <w:r>
        <w:t xml:space="preserve"> آستانهٔ «ضرورت» در مادهٔ ۲۵ طرح مواد مسئولیت، در سه معیار (انحصار راه، عدم لطمهٔ اساسی به منافع اساسی دیگران و جامعهٔ بین‌المللی، و قریب‌الوقوع بودن خطر) سخت‌گیرانه‌تر از آستانهٔ «تزاحم» در فقه امامیه است؛ و نسبت آن‌ها، عموم و خصوص من‌وجه است. </w:t>
      </w:r>
      <w:r>
        <w:t xml:space="preserve">نتیجهٔ راهبردی:</w:t>
      </w:r>
      <w:r>
        <w:t xml:space="preserve"> مجوز فقهی، لزوماً مجوز بین‌المللی نیست؛ و تصمیم‌گیر باید هر دو آستانه را بسنجد و بر اساس سخت‌گیرانه‌ترین آن‌ها عمل کند.</w:t>
      </w:r>
    </w:p>
    <w:p>
      <w:pPr>
        <w:pStyle w:val="TH-Body"/>
      </w:pPr>
      <w:r>
        <w:t xml:space="preserve">چهارم،</w:t>
      </w:r>
      <w:r>
        <w:t xml:space="preserve"> رفتار ولی فقیه، از منظر حقوق بین‌الملل، رفتار «مقام دولتی» است و به دولت ایران قابل انتساب است (مواد ۴ و ۵ طرح مواد مسئولیت)؛ ازاین‌رو، نمی‌توان با تفکیک میان «حاکمیت» و «دولت»، از مسئولیت گریخت.</w:t>
      </w:r>
    </w:p>
    <w:p>
      <w:pPr>
        <w:pStyle w:val="TH-Body"/>
      </w:pPr>
      <w:r>
        <w:t xml:space="preserve">پنجم،</w:t>
      </w:r>
      <w:r>
        <w:t xml:space="preserve"> دربارهٔ صلاحیت خروج از التزام، قانون اساسی ساکت است و داوری این رساله، «دیدگاه ترکیبی» است: در فروض عادی، مجرای مجلس (بر اساس اطلاق اصل ۷۷)؛ در فروض اضطراری و حاکمیتی، حکم حکومتی ولی فقیه با رعایت ضوابط هشت‌گانه؛ و در هر دو فرض، پیش‌بینی تأیید پسینی مجلس برای تأمین مشروعیت دموکراتیک. این داوری، نه حصرگراست و نه توسعه‌گرا، بلکه تفکیک‌گراست.</w:t>
      </w:r>
    </w:p>
    <w:p>
      <w:pPr>
        <w:pStyle w:val="TH-Body"/>
      </w:pPr>
      <w:r>
        <w:t xml:space="preserve">ششم،</w:t>
      </w:r>
      <w:r>
        <w:t xml:space="preserve"> مطالعهٔ تطبیقی سه تجربهٔ معاصر (برجام، دیوان کیفری بین‌المللی و بریتانیا) چهار یافتهٔ مشترک به دست داد: ارزش مجراهای صریح مندرج در متن؛ رو به گسترش بودن قاعدهٔ لزوم تصویب پارلمانی برای خروج؛ اثربخشی تدریجی بودن و دورهٔ انتقالی؛ و ضرورت اعلام رسمی و مستدل. این یافته‌ها، در پنج راهبرد عملی سامان یافتند که همگی بر یک اصل مشترک استوارند: بهترین زمان مدیریت تعهد، هنگام انعقاد است، نه هنگام اجرا.</w:t>
      </w:r>
    </w:p>
    <w:p>
      <w:pPr>
        <w:pStyle w:val="TH-Natije"/>
      </w:pPr>
      <w:r>
        <w:t xml:space="preserve">نتیجه‌گیری</w:t>
      </w:r>
    </w:p>
    <w:p>
      <w:pPr>
        <w:pStyle w:val="TH-Body"/>
      </w:pPr>
      <w:r>
        <w:t xml:space="preserve">این رساله، به پرسش اصلی خود چنین پاسخ می‌دهد: </w:t>
      </w:r>
      <w:r>
        <w:t xml:space="preserve">وفای به عهد در تعهدات بین‌المللی دولت اسلامی، قاعدهٔ اولی است و عدول از آن، استثنایی است مقید به احراز تزاحم واقعی با مصلحت اهمّ و به رعایت هشت ضابطهٔ ماهوی، شکلی و سقفی؛ و مشروعیت این عدول در نظام داخلی، مسئولیت بین‌المللی دولت را رفع نمی‌کند.</w:t>
      </w:r>
      <w:r>
        <w:t xml:space="preserve"> این پاسخ، در پنج دستاورد سامان یافته است که هر یک، به یکی از سؤالات فرعی پاسخ می‌گوید و مجموعهٔ آن‌ها، چارچوب نظری و عملی مسئله را تشکیل می‌دهد.</w:t>
      </w:r>
    </w:p>
    <w:p>
      <w:pPr>
        <w:pStyle w:val="TH-Goftar"/>
      </w:pPr>
      <w:r>
        <w:t xml:space="preserve">دستاورد نخست: تبیین چارچوب مفهومی و تنقیح محلّ نزاع</w:t>
      </w:r>
    </w:p>
    <w:p>
      <w:pPr>
        <w:pStyle w:val="TH-Body"/>
      </w:pPr>
      <w:r>
        <w:t xml:space="preserve">پرسش فرعی نخست، دربارهٔ مفاهیم بنیادین بود. یافتهٔ این بخش آن است که چهار مفهوم محوری رساله، باید از یکدیگر تفکیک شوند و تفکیک آن‌ها، مقدمهٔ لازم هر داوری است:</w:t>
      </w:r>
    </w:p>
    <w:p>
      <w:pPr>
        <w:pStyle w:val="TH-Body"/>
      </w:pPr>
      <w:r>
        <w:t xml:space="preserve">نخست، «معاهده»</w:t>
      </w:r>
      <w:r>
        <w:t xml:space="preserve"> در این رساله به معنای عام حقوقی آن به‌کار رفته است؛ یعنی «توافق کتبی میان دولت اسلامی و یک یا چند دولت یا سازمان بین‌المللی، که به قصد ایجاد تعهدات حقوقی منعقد شده باشد». این تعریف، معاهدات رسمی، مقاوله‌نامه‌ها، موافقت‌نامه‌ها و قراردادهای بین‌المللی را در بر می‌گیرد، اما «بیانیه‌های حسن نیت» و «تفاهم‌نامه‌های غیرالزام‌آور» را خارج می‌سازد؛ و همین تفکیک، از جهت استدلالی تعیین‌کننده است، زیرا در فرض اخیر، بحث از «عدول» اساساً موضوع ندارد.</w:t>
      </w:r>
    </w:p>
    <w:p>
      <w:pPr>
        <w:pStyle w:val="TH-Body"/>
      </w:pPr>
      <w:r>
        <w:t xml:space="preserve">دوم، «ولی فقیه»</w:t>
      </w:r>
      <w:r>
        <w:t xml:space="preserve"> با چهار مرتبهٔ اختیار تفکیک شد: مرتبهٔ افتاء، مرتبهٔ قضاوت، مرتبهٔ ولایت در امور حسبیه، و مرتبهٔ ولایت مطلقهٔ سیاسی. مسئلهٔ حاضر، در مرتبهٔ چهارم قرار می‌گیرد؛ و ازاین‌رو، ادلهٔ مراتب سه‌گانهٔ نخست، به‌تنهایی برای اثبات صلاحیت کافی نیست.</w:t>
      </w:r>
    </w:p>
    <w:p>
      <w:pPr>
        <w:pStyle w:val="TH-Body"/>
      </w:pPr>
      <w:r>
        <w:t xml:space="preserve">سوم، «عدول»</w:t>
      </w:r>
      <w:r>
        <w:t xml:space="preserve"> در پنج مرتبه صورت‌بندی شد: عدم اجرای کامل، تعلیق جزئی، تعلیق کامل، خروج، و اعلام بی‌اعتباری. این مراتب، بر اساس «شدت» سامان یافته‌اند و مهم‌ترین کاربرد آن‌ها، در ضابطهٔ پنجم (تدریجی بودن و تقدم صورت کم‌شدت‌تر) است. </w:t>
      </w:r>
      <w:r>
        <w:t xml:space="preserve">چهارم، «مصلحت»</w:t>
      </w:r>
      <w:r>
        <w:t xml:space="preserve"> با سه قید محدود شد: واقعی بودن (نه ادعایی)، نوعی بودن (نه شخصی یا جناحی)، و اهمّ بودن (نه مرجوح).</w:t>
      </w:r>
    </w:p>
    <w:p>
      <w:pPr>
        <w:pStyle w:val="TH-Body"/>
      </w:pPr>
      <w:r>
        <w:t xml:space="preserve">تحریر محلّ نزاع.</w:t>
      </w:r>
      <w:r>
        <w:t xml:space="preserve"> با این تفکیک‌ها، محلّ نزاع اصلی در سه گزاره تنقیح شد: </w:t>
      </w:r>
      <w:r>
        <w:t xml:space="preserve">گزارهٔ نخست،</w:t>
      </w:r>
      <w:r>
        <w:t xml:space="preserve"> محلّ نزاع، در «معاهدهٔ معتبر و لازم‌الاجرا» است؛ یعنی معاهده‌ای که از جهت اهلیت، سلامت رضایت و مشروعیت موضوع، صحیحاً منعقد شده باشد. در فرض وجود عیب اراده، مجرای بحث، «اعلام بی‌اعتباری» است، نه «عدول». </w:t>
      </w:r>
      <w:r>
        <w:t xml:space="preserve">گزارهٔ دوم،</w:t>
      </w:r>
      <w:r>
        <w:t xml:space="preserve"> محلّ نزاع، در فرض «شرایط عادی» نیست؛ زیرا در شرایط عادی، وجوب وفا قطعی است و بحثی وجود ندارد. محلّ نزاع، فرض «تزاحم با مصلحت اهمّ» است. </w:t>
      </w:r>
      <w:r>
        <w:t xml:space="preserve">گزارهٔ سوم،</w:t>
      </w:r>
      <w:r>
        <w:t xml:space="preserve"> محلّ نزاع، دربارهٔ «جواز تکلیفی» است، نه دربارهٔ «آثار حقوقی بین‌المللی»؛ زیرا آثار، موضوع سطح سوم تحلیل است و در دستاورد چهارم بررسی می‌شود.</w:t>
      </w:r>
    </w:p>
    <w:p>
      <w:pPr>
        <w:pStyle w:val="TH-Body"/>
      </w:pPr>
      <w:r>
        <w:t xml:space="preserve">ارزش این دستاورد.</w:t>
      </w:r>
      <w:r>
        <w:t xml:space="preserve"> تنقیح محلّ نزاع، از جهت روشی، مهم‌ترین گام هر بحث فقهی است؛ و بسیاری از مناقشات رایج در این حوزه، نه از اختلاف در حکم، بلکه از اختلاف در «تصویر موضوع» نشأت می‌گیرد. این دستاورد، زمینهٔ چهار دستاورد بعدی را فراهم می‌سازد.</w:t>
      </w:r>
    </w:p>
    <w:p>
      <w:pPr>
        <w:pStyle w:val="TH-Goftar"/>
      </w:pPr>
      <w:r>
        <w:t xml:space="preserve">دستاورد دوم: اثبات قاعدهٔ اولی (وجوب وفای به عهد)</w:t>
      </w:r>
    </w:p>
    <w:p>
      <w:pPr>
        <w:pStyle w:val="TH-Body"/>
      </w:pPr>
      <w:r>
        <w:t xml:space="preserve">پرسش فرعی دوم، دربارهٔ ادلهٔ وجوب وفا بود. یافتهٔ این بخش آن است که قاعدهٔ وجوب وفای به عهد، با منظومه‌ای از ادله در پنج سطح اثبات می‌شود که هر یک به‌تنهایی دارای دلالت‌اند و مجموع آن‌ها، اطمینان کامل ایجاد می‌کند:</w:t>
      </w:r>
    </w:p>
    <w:p>
      <w:pPr>
        <w:pStyle w:val="TH-TblCaption"/>
        <w:keepNext/>
      </w:pPr>
      <w:bookmarkStart w:id="4008" w:name="_Toc_tbl008"/>
      <w:bookmarkEnd w:id="4008"/>
      <w:r>
        <w:rPr>
          <w:rFonts w:ascii="Times New Roman" w:hAnsi="Times New Roman" w:cs="B Nazanin" w:eastAsia="B Nazanin"/>
          <w:b/>
          <w:bCs/>
          <w:color w:val="1A1A1A"/>
          <w:sz w:val="22"/>
          <w:szCs w:val="22"/>
          <w:lang w:val="en-US" w:eastAsia="en-US" w:bidi="fa-IR"/>
        </w:rPr>
        <w:t xml:space="preserve">جدول ۸: خلاصهٔ ادلهٔ اثبات‌کنندهٔ قاعدهٔ اولی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سطح</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ادلهٔ محوری</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جهت دلالت</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کتاب</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مائده/۱؛ نحل/۹۱–۹۲؛ اسراء/۳۴؛ رعد/۲۰–۲۵؛ مؤمنون/۸؛ توبه/۴ و ۷؛ انفال/۵۸ و ۷۲؛ نساء/۵۸ و ۱۴۱؛ مائده/۸۹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وفا به نحو عام و اطلاق؛ مقید به شرایط عادی</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سنت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حدیث شروط (با اثبات استفاضه)؛ عهدنامهٔ مالک اشتر (سه فراز)؛ «لا دین لمن لا عهد له»؛ «لکل غادر لواء»؛ «ذمة المسلمین واحدة»</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وفا در سطح حکومتی؛ نکوهش غدر؛ وحدت ذمه</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سیره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صلح حدیبیه؛ پایان عهد قریش پس از نقض؛ اعلان برائت با تفکیک سه‌گانه و مهلت چهارماهه؛ حکمیت؛ آب در صفین؛ میثاق مدینه؛ عهدنامهٔ نجران</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سه الگو: وفای صبورانه، عدول واکنشیِ اعلام‌شده، مصلحت‌سنجی مقدم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عقل و بنا</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قبح عقلی نقض عهد (با ملازمه)؛ بنای عقلا با امضای سه‌مجرایی شرع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در شرایط عادی؛ تقدیم اهمّ در شرایط تزاحم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فقهی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اصالة اللزوم؛ حرمت غدر و خیانت؛ قاعدهٔ نفی سبیل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لزوم به نحو اصل؛ تعیین بار اثبات؛ سقف‌گذاری در فرض سلطه</w:t>
            </w:r>
          </w:p>
        </w:tc>
      </w:tr>
    </w:tbl>
    <w:p>
      <w:pPr>
        <w:pStyle w:val="TH-TblSrc"/>
      </w:pPr>
      <w:r>
        <w:rPr>
          <w:rFonts w:ascii="Times New Roman" w:hAnsi="Times New Roman" w:cs="B Nazanin" w:eastAsia="B Nazanin"/>
          <w:color w:val="595959"/>
          <w:sz w:val="20"/>
          <w:szCs w:val="20"/>
          <w:lang w:val="en-US" w:eastAsia="en-US" w:bidi="fa-IR"/>
        </w:rPr>
        <w:t xml:space="preserve">منبع: جمع‌بندی نگارنده از ادلهٔ فصل سوم (آیات، روایات، سیره، حکم عقل و بنای عقلا).</w:t>
      </w:r>
    </w:p>
    <w:p>
      <w:pPr>
        <w:pStyle w:val="TH-TblAfter"/>
      </w:pPr>
      <w:r>
        <w:t xml:space="preserve"/>
      </w:r>
    </w:p>
    <w:p>
      <w:pPr>
        <w:pStyle w:val="TH-Body"/>
      </w:pPr>
      <w:r>
        <w:t xml:space="preserve">سه قید مهم بر این ادله.</w:t>
      </w:r>
      <w:r>
        <w:t xml:space="preserve"> </w:t>
      </w:r>
      <w:r>
        <w:t xml:space="preserve">قید نخست:</w:t>
      </w:r>
      <w:r>
        <w:t xml:space="preserve"> دلالت همهٔ این ادله، مقید به «شرایط عادی» است؛ و انصراف آن‌ها از فرض تزاحم با مصلحت اهمّ، از مجرای تحلیل تزاحمی استدلال می‌شود، نه از مجرای تخصیص. </w:t>
      </w:r>
      <w:r>
        <w:t xml:space="preserve">قید دوم:</w:t>
      </w:r>
      <w:r>
        <w:t xml:space="preserve"> این ادله، هم «قاعده» را اثبات می‌کنند و هم «شیوهٔ» عدول را مقید می‌سازند؛ یعنی انباذ علی سواء، تفکیک میان ناقض و غیرناقض، و اعطای مهلت، از دل همین ادله استخراج می‌شود، نه از خارج. </w:t>
      </w:r>
      <w:r>
        <w:t xml:space="preserve">قید سوم:</w:t>
      </w:r>
      <w:r>
        <w:t xml:space="preserve"> قاعدهٔ نفی سبیل و اصل ۱۵۳ قانون اساسی، در فرض سلطه‌آور بودن معاهده، عدول را از «جواز» به «وجوب» ارتقا می‌دهند؛ و در این فرض، هر سه سطح تحلیل هم‌جهت می‌شوند.</w:t>
      </w:r>
    </w:p>
    <w:p>
      <w:pPr>
        <w:pStyle w:val="TH-Body"/>
      </w:pPr>
      <w:r>
        <w:t xml:space="preserve">دو تصحیح علمی مهم در این بخش صورت گرفت.</w:t>
      </w:r>
      <w:r>
        <w:t xml:space="preserve"> </w:t>
      </w:r>
      <w:r>
        <w:t xml:space="preserve">تصحیح نخست:</w:t>
      </w:r>
      <w:r>
        <w:t xml:space="preserve"> «اعلان برائت» (سال نهم هجری)، نمونهٔ «نقض عهد از سوی پیامبر» نیست؛ بلکه اعلان پایان عهد با کسانی است که خود عهد را شکسته‌اند یا پیمان مستحکمی نداشته‌اند؛ و آیهٔ ۴ سورهٔ توبه، صریحاً وفای به عهد با مشرکان غیرناقض را واجب شمرده است. انتساب نقض عهد به پیامبر در این واقعه، خلاف نص صریح قرآن است. افزون بر این، واقعهٔ نقض عهد حدیبیه و فتح مکه (سال هشتم هجری)، رویدادی جدا از اعلان برائت است و خلط آن دو، موجب تحریف استدلال می‌شود. </w:t>
      </w:r>
      <w:r>
        <w:t xml:space="preserve">تصحیح دوم:</w:t>
      </w:r>
      <w:r>
        <w:t xml:space="preserve"> پیمان با غیرمسلمان، در منطق اسلامی، می‌تواند «بلندمدت و مستمر» باشد؛ و میثاق مدینه، عهدنامهٔ نجران و آیات توبه/۴ و ۷ گواه آن‌اند. ازاین‌رو، استدلال به «موقتی بودن ذاتی پیمان با غیرمسلمان» فاقد پشتوانهٔ تاریخی و فقهی است؛ و این، یکی از شکاف‌های ساختاری ادبیات رایج در این حوزه است که در این رساله اصلاح شد.</w:t>
      </w:r>
    </w:p>
    <w:p>
      <w:pPr>
        <w:pStyle w:val="TH-Goftar"/>
      </w:pPr>
      <w:r>
        <w:t xml:space="preserve">دستاورد سوم: تبیین سه مبنای جواز عدول و نسبت میان آن‌ها</w:t>
      </w:r>
    </w:p>
    <w:p>
      <w:pPr>
        <w:pStyle w:val="TH-Body"/>
      </w:pPr>
      <w:r>
        <w:t xml:space="preserve">پرسش فرعی سوم، دربارهٔ مبانی فقهی جواز عدول بود. یافتهٔ این بخش، در دو بخش ارائه می‌شود: تحلیل سه مبنا، و تبیین نسبت میان آن‌ها.</w:t>
      </w:r>
    </w:p>
    <w:p>
      <w:pPr>
        <w:pStyle w:val="TH-TblCaption"/>
        <w:keepNext/>
      </w:pPr>
      <w:bookmarkStart w:id="4009" w:name="_Toc_tbl009"/>
      <w:bookmarkEnd w:id="4009"/>
      <w:r>
        <w:rPr>
          <w:rFonts w:ascii="Times New Roman" w:hAnsi="Times New Roman" w:cs="B Nazanin" w:eastAsia="B Nazanin"/>
          <w:b/>
          <w:bCs/>
          <w:color w:val="1A1A1A"/>
          <w:sz w:val="22"/>
          <w:szCs w:val="22"/>
          <w:lang w:val="en-US" w:eastAsia="en-US" w:bidi="fa-IR"/>
        </w:rPr>
        <w:t xml:space="preserve">جدول ۹: سه مبنای جواز عدول: کارکرد و محدوده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کارکرد استدلالی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نص محوری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محدودهٔ کاربرد</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و تقدیم اهمّ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چارچوب تحلیل؛ اثبات آن‌که ادلهٔ وفا تخصیص نمی‌خورند</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آیات عام وفا؛ اوجبیت حفظ نظام؛ نامهٔ ۱۶ دی ۱۳۶۶</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همهٔ فروض تزاحم واقعی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حکم حکومتی و ولایت مطلقه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تأمین صلاحیت نهادی تصمیم‌گیر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نامهٔ ۱۶ دی ۱۳۶۶؛ صحیفهٔ امام، ج ۲۰، ص ۴۵۱–۴۵۲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تصمیم‌های کلان حکومتی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لاضرر و لاحرج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مبنای مؤید در فرض ضرر جدی یا حرج غیرمتعارف</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روایت لاضرر؛ حج/۷۸؛ بقره/۱۸۵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مقید به سه قید: جدی بودن؛ مربوط به نظام و امت؛ ناشی نبودن از نقض خودِ دولت</w:t>
            </w:r>
          </w:p>
        </w:tc>
      </w:tr>
    </w:tbl>
    <w:p>
      <w:pPr>
        <w:pStyle w:val="TH-TblSrc"/>
      </w:pPr>
      <w:r>
        <w:rPr>
          <w:rFonts w:ascii="Times New Roman" w:hAnsi="Times New Roman" w:cs="B Nazanin" w:eastAsia="B Nazanin"/>
          <w:color w:val="595959"/>
          <w:sz w:val="20"/>
          <w:szCs w:val="20"/>
          <w:lang w:val="en-US" w:eastAsia="en-US" w:bidi="fa-IR"/>
        </w:rPr>
        <w:t xml:space="preserve">منبع: جمع‌بندی نگارنده از فصل چهارم.</w:t>
      </w:r>
    </w:p>
    <w:p>
      <w:pPr>
        <w:pStyle w:val="TH-TblAfter"/>
      </w:pPr>
      <w:r>
        <w:t xml:space="preserve"/>
      </w:r>
    </w:p>
    <w:p>
      <w:pPr>
        <w:pStyle w:val="TH-Body"/>
      </w:pPr>
      <w:r>
        <w:t xml:space="preserve">یافتهٔ کلیدی این دستاورد:</w:t>
      </w:r>
      <w:r>
        <w:t xml:space="preserve"> سه مبنای فوق، «جایگزین» یکدیگر نیستند، بلکه «مکمل»‌اند و در یک تصمیم واقعی، هم‌زمان به‌کار می‌روند. تزاحم، «چرا» را پاسخ می‌دهد (چرا قاعدهٔ وفا تخصیص نمی‌خورد و تنها در فرض خاص، مقدم نمی‌شود)؛ حکم حکومتی، «چه کسی» را پاسخ می‌دهد (چه کسی صلاحیت تصمیم دارد)؛ و لاضرر و لاحرج، در فرض وجود ضرر یا حرج، مؤیدِ دیگر است.</w:t>
      </w:r>
    </w:p>
    <w:p>
      <w:pPr>
        <w:pStyle w:val="TH-Body"/>
      </w:pPr>
      <w:r>
        <w:t xml:space="preserve">دو تصحیح مهم در این بخش.</w:t>
      </w:r>
      <w:r>
        <w:t xml:space="preserve"> </w:t>
      </w:r>
      <w:r>
        <w:t xml:space="preserve">تصحیح نخست:</w:t>
      </w:r>
      <w:r>
        <w:t xml:space="preserve"> «اوجبیت حفظ نظام اسلامی»، مبنای مستقل چهارم نیست؛ بلکه «معیار تشخیص اهمّ» در باب تزاحم است. شمارش آن به‌عنوان مبنای مستقل، موجب تکرار و موجب توهم آن می‌شود که چهار دلیل مستقل در دست است، در حالی که در واقعیت، سه مبنای فنی و یک معیار تشخیص وجود دارد. </w:t>
      </w:r>
      <w:r>
        <w:t xml:space="preserve">تصحیح دوم:</w:t>
      </w:r>
      <w:r>
        <w:t xml:space="preserve"> نسبت حکم حکومتی با ادلهٔ وجوب وفا، از مجرای «حکومت» است (به معنای فنی نائینی)، نه از مجرای «تخصیص» و نه از مجرای «ورود». این تشخیص، سه اثر عملی دارد: ادلهٔ وفا بر عموم و اطلاق خود باقی می‌مانند؛ قاعدهٔ وفا از درون تضعیف نمی‌شود؛ و تعهد بین‌المللی از میان نمی‌رود (که این، پایهٔ دستاورد چهارم است).</w:t>
      </w:r>
    </w:p>
    <w:p>
      <w:pPr>
        <w:pStyle w:val="TH-Body"/>
      </w:pPr>
      <w:r>
        <w:t xml:space="preserve">یافتهٔ تکمیلی: موقتی بودن حکم.</w:t>
      </w:r>
      <w:r>
        <w:t xml:space="preserve"> فراز «مادامی که چنین است» در نامهٔ امام، دلالت بر آن دارد که حکم حکومتی، مقید به تداوم موضوع است و با زوال تزاحم، وجوب وفا بازمی‌گردد. ازاین‌رو، عدول، «تصمیم دائمی و یک‌باره» نیست؛ بلکه تصمیمی است نیازمند بازبینی مستمر و پیش‌بینی سازوکار بازگشت. این یافته، مبنای ضابطهٔ پنجم و مبنای راهبرد پنجم (مدیریت مسئولیت) است و در ادبیات رایج، کم‌تر مورد توجه قرار گرفته است.</w:t>
      </w:r>
    </w:p>
    <w:p>
      <w:pPr>
        <w:pStyle w:val="TH-Goftar"/>
      </w:pPr>
      <w:r>
        <w:t xml:space="preserve">دستاورد چهارم: صورت‌بندی ضوابط هشت‌گانه و چک‌لیست عملی</w:t>
      </w:r>
    </w:p>
    <w:p>
      <w:pPr>
        <w:pStyle w:val="TH-Body"/>
      </w:pPr>
      <w:r>
        <w:t xml:space="preserve">پرسش فرعی چهارم، دربارهٔ حدود جواز عدول بود. یافتهٔ این بخش، صورت‌بندی هشت ضابطه در سه دستهٔ منطقی است؛ و این دسته‌بندی، تصادفی نیست، بلکه ترتیب طبیعی تصمیم‌گیری را منعکس می‌سازد: نخست مجوز احراز می‌شود، سپس شیوهٔ اعمال تعیین می‌گردد، و در پایان، حدود و آثار سنجیده می‌شود.</w:t>
      </w:r>
    </w:p>
    <w:p>
      <w:pPr>
        <w:pStyle w:val="TH-TblCaption"/>
        <w:keepNext/>
      </w:pPr>
      <w:bookmarkStart w:id="4010" w:name="_Toc_tbl010"/>
      <w:bookmarkEnd w:id="4010"/>
      <w:r>
        <w:rPr>
          <w:rFonts w:ascii="Times New Roman" w:hAnsi="Times New Roman" w:cs="B Nazanin" w:eastAsia="B Nazanin"/>
          <w:b/>
          <w:bCs/>
          <w:color w:val="1A1A1A"/>
          <w:sz w:val="22"/>
          <w:szCs w:val="22"/>
          <w:lang w:val="en-US" w:eastAsia="en-US" w:bidi="fa-IR"/>
        </w:rPr>
        <w:t xml:space="preserve">جدول ۱۰: ضوابط هشت‌گانه در سه دسته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دسته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ضابطه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مبنای استدلالی محوری</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ماهوی (آیا عدول جایز است؟)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 احراز تزاحم واقعی با مستند معتبر
۲. تقدم راه‌های حقوقی مندرج در معاهده
۳. کارشناسی تخصصی و مشورت نهادی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انفال/۵۸ (تَخافَنَّ خِیانَةً)؛ بار اثبات در باب تزاحم؛ مواد ۵۴ تا ۶۴ کنوانسیون وین؛ اصول ۱۱۲ و ۱۷۶ قانون اساسی</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شکلی (چگونه باید عدول کرد؟)</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۴. تناسب: عدول به اندازهٔ ضرورت
۵. تدریجی بودن و تقدم تعلیق بر خاتمه
۶. انباذ علی سواء: اعلام آشکار و مستدل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توبه/۴ (تفکیک ناقض از غیرناقض)؛ فراز «مادامی که چنین است»؛ انفال/۵۸؛ اعلان برائت در موسم حج؛ مواد ۶۵ تا ۶۸ کنوانسیون وین</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سقفی و پیامدی (تا کجا و با چه هزینه‌ای؟)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۷. سقف‌گذاری: عدم تعرض به قواعد آمره و حقوق بشر
۸. لحاظ آثار در محاسبهٔ مصلحت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نساء/۱۴۱ و اصل ۱۵۳؛ بند ۵ مادهٔ ۶۰ و مواد ۵۳ و ۶۴ کنوانسیون وین؛ مواد ۲۶ و ۵۰ طرح مسئولیت؛ نحل/۹۲؛ فراز «لِمَا اسْتَوْبَلُوا مِنْ عَوَاقِبِ الْغَدْرِ»</w:t>
            </w:r>
          </w:p>
        </w:tc>
      </w:tr>
    </w:tbl>
    <w:p>
      <w:pPr>
        <w:pStyle w:val="TH-TblSrc"/>
      </w:pPr>
      <w:r>
        <w:rPr>
          <w:rFonts w:ascii="Times New Roman" w:hAnsi="Times New Roman" w:cs="B Nazanin" w:eastAsia="B Nazanin"/>
          <w:color w:val="595959"/>
          <w:sz w:val="20"/>
          <w:szCs w:val="20"/>
          <w:lang w:val="en-US" w:eastAsia="en-US" w:bidi="fa-IR"/>
        </w:rPr>
        <w:t xml:space="preserve">منبع: جمع‌بندی نگارنده از فصل چهارم، گفتار سوم.</w:t>
      </w:r>
    </w:p>
    <w:p>
      <w:pPr>
        <w:pStyle w:val="TH-TblAfter"/>
      </w:pPr>
      <w:r>
        <w:t xml:space="preserve"/>
      </w:r>
    </w:p>
    <w:p>
      <w:pPr>
        <w:pStyle w:val="TH-Body"/>
      </w:pPr>
      <w:r>
        <w:t xml:space="preserve">چک‌لیست هشت‌گانهٔ تصمیم‌گیری.</w:t>
      </w:r>
      <w:r>
        <w:t xml:space="preserve"> این ضوابط، در یک چک‌لیست عملی هشت‌گامی صورت‌بندی شدند که در گفتار ششم فصل چهارم و به نحو مستقل در پیوست چهارم آمده است. دو ویژگی این چک‌لیست حائز اهمیت است: </w:t>
      </w:r>
      <w:r>
        <w:t xml:space="preserve">نخست،</w:t>
      </w:r>
      <w:r>
        <w:t xml:space="preserve"> گام‌های ۱ و ۲ (تفسیر دقیق تعهدات و آزمون راه‌های حقوقی مندرج)، «پیش‌نیاز» هستند؛ یعنی تا این دو صورت نگیرد، ورود به گام احراز تزاحم مجاز نیست. </w:t>
      </w:r>
      <w:r>
        <w:t xml:space="preserve">دوم،</w:t>
      </w:r>
      <w:r>
        <w:t xml:space="preserve"> چک‌لیست، خطی نیست، بلکه دارای «حلقهٔ بازگشت» است؛ زیرا گام ۷ (محاسبهٔ آثار) می‌تواند نتیجهٔ گام‌های پیشین را معکوس کند و تصمیم را به «تداوم وفا» یا به «مذاکره برای بازنگری» تغییر دهد. این دو ویژگی، چک‌لیست را از یک فهرست صوری به یک ابزار تصمیم‌گیری واقعی تبدیل می‌کند.</w:t>
      </w:r>
    </w:p>
    <w:p>
      <w:pPr>
        <w:pStyle w:val="TH-Body"/>
      </w:pPr>
      <w:r>
        <w:t xml:space="preserve">داوری میان دو رویکرد.</w:t>
      </w:r>
      <w:r>
        <w:t xml:space="preserve"> این رساله، نه رویکرد «منع مطلق» را پذیرفت و نه رویکرد «جواز مطلق» را؛ زیرا رویکرد نخست، با نصوص صریح قرآن، با سیرهٔ معصومان و با نامهٔ امام ناسازگار است و دولت اسلامی را در برابر معاهدات زیان‌بار، بی‌دفاع می‌گذارد؛ و رویکرد دوم، با نصوص قرآنی، با فرازهای عهدنامهٔ مالک اشتر و با قبح عقلی و بنای عقلا ناسازگار است و به فرسایش اعتبار دولت می‌انجامد. رویکرد برگزیده، «جواز ضابطه‌مند» است؛ و این رساله، ازاین‌رو، نه در زمرهٔ آثار توسعه‌گرا قرار می‌گیرد و نه در زمرهٔ آثار انکارگرا، بلکه در زمرهٔ آثار ضابطه‌گراست.</w:t>
      </w:r>
    </w:p>
    <w:p>
      <w:pPr>
        <w:pStyle w:val="TH-Goftar"/>
      </w:pPr>
      <w:r>
        <w:t xml:space="preserve">دستاورد پنجم: تفکیک سه‌گانهٔ سطوح تحلیل و راهبردهای پنج‌گانه</w:t>
      </w:r>
    </w:p>
    <w:p>
      <w:pPr>
        <w:pStyle w:val="TH-Body"/>
      </w:pPr>
      <w:r>
        <w:t xml:space="preserve">پرسش فرعی پنجم، دربارهٔ آثار حقوقی عدول بود. یافتهٔ اصلی این بخش، «تفکیک سه‌گانهٔ سطوح تحلیل» است که مهم‌ترین دستاورد تحلیلی رساله شمرده می‌شود.</w:t>
      </w:r>
    </w:p>
    <w:p>
      <w:pPr>
        <w:pStyle w:val="TH-TblCaption"/>
        <w:keepNext/>
      </w:pPr>
      <w:bookmarkStart w:id="4011" w:name="_Toc_tbl011"/>
      <w:bookmarkEnd w:id="4011"/>
      <w:r>
        <w:rPr>
          <w:rFonts w:ascii="Times New Roman" w:hAnsi="Times New Roman" w:cs="B Nazanin" w:eastAsia="B Nazanin"/>
          <w:b/>
          <w:bCs/>
          <w:color w:val="1A1A1A"/>
          <w:sz w:val="22"/>
          <w:szCs w:val="22"/>
          <w:lang w:val="en-US" w:eastAsia="en-US" w:bidi="fa-IR"/>
        </w:rPr>
        <w:t xml:space="preserve">جدول ۱۱: سه سطح تحلیل: استقلال پرسش، مرجع و آثار</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سطح</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پرسش محوری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مرجع داوری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اثر</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 تکلیف شرعی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 عدول، شرعاً جایز یا واجب است؟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فقه امامیه؛ ولی فقیه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مشروعیت یا عدم مشروعیت شرعی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 صلاحیت و اعتبار داخلی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 کسی صلاحیت دارد و آیا تصمیم معتبر است؟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قانون اساسی؛ نهادهای قانونی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اعتبار حقوقی تصمیم در نظام داخلی</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 مسئولیت بین‌المللی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آیا این رفتار، عمل متخلفانهٔ بین‌المللی است؟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حقوق بین‌الملل؛ مراجع بین‌المللی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مسئولیت، جبران، اقدام متقابل</w:t>
            </w:r>
          </w:p>
        </w:tc>
      </w:tr>
    </w:tbl>
    <w:p>
      <w:pPr>
        <w:pStyle w:val="TH-TblSrc"/>
      </w:pPr>
      <w:r>
        <w:rPr>
          <w:rFonts w:ascii="Times New Roman" w:hAnsi="Times New Roman" w:cs="B Nazanin" w:eastAsia="B Nazanin"/>
          <w:color w:val="595959"/>
          <w:sz w:val="20"/>
          <w:szCs w:val="20"/>
          <w:lang w:val="en-US" w:eastAsia="en-US" w:bidi="fa-IR"/>
        </w:rPr>
        <w:t xml:space="preserve">منبع: جمع‌بندی نگارنده از فصل پنجم.</w:t>
      </w:r>
    </w:p>
    <w:p>
      <w:pPr>
        <w:pStyle w:val="TH-TblAfter"/>
      </w:pPr>
      <w:r>
        <w:t xml:space="preserve"/>
      </w:r>
    </w:p>
    <w:p>
      <w:pPr>
        <w:pStyle w:val="TH-Body"/>
      </w:pPr>
      <w:r>
        <w:t xml:space="preserve">نتیجهٔ بنیادین این تفکیک:</w:t>
      </w:r>
      <w:r>
        <w:t xml:space="preserve"> مشروعیت داخلی، مسئولیت بین‌المللی را رفع نمی‌کند؛ زیرا مادهٔ ۲۷ کنوانسیون وین و مواد ۳ و ۳۲ طرح مواد مسئولیت، صریحاً استناد به حقوق داخلی را به‌عنوان توجیه، مردود شمرده‌اند. ازاین‌رو، چهار صورت ممکن پدید می‌آید و صورت اصلی بحث این رساله، «صورت ب» است: مشروعیت داخلی همراه با مسئولیت بین‌المللی. پذیرش این صورت، سه نتیجهٔ عملی دارد: تصمیم‌گیر نباید توهم رفع مسئولیت داشته باشد؛ محاسبهٔ مصلحت باید هزینهٔ مسئولیت را در بر گیرد؛ و رعایت ضوابط شکلی، شدت مسئولیت و احتمال پذیرش توجیه را تحت تأثیر قرار می‌دهد، اگرچه اصل مسئولیت را رفع نمی‌کند.</w:t>
      </w:r>
    </w:p>
    <w:p>
      <w:pPr>
        <w:pStyle w:val="TH-Body"/>
      </w:pPr>
      <w:r>
        <w:t xml:space="preserve">یافتهٔ مقایسه‌ای: آستانهٔ سخت‌گیرانه‌تر حقوق بین‌الملل.</w:t>
      </w:r>
      <w:r>
        <w:t xml:space="preserve"> آستانهٔ «ضرورت» در مادهٔ ۲۵ طرح مواد مسئولیت، در سه معیار، سخت‌گیرانه‌تر از آستانهٔ «تزاحم» در فقه امامیه است: شرط «تنها راه» بودن (در برابر «تقدم» راه‌های دیگر در ضابطهٔ دوم)؛ شرط «عدم لطمهٔ اساسی به منافع اساسی دیگران و به جامعهٔ بین‌المللی» (که برابرنهاد صریحی در فقه ندارد)؛ و تأکید بر «قریب‌الوقوع بودن» خطر (در حالی که تزاحم فقهی می‌تواند با خطر تدریجی و بلندمدت نیز احراز شود). نسبت این دو آستانه، «عموم و خصوص من‌وجه» است. </w:t>
      </w:r>
      <w:r>
        <w:t xml:space="preserve">نتیجهٔ راهبردی این یافته، در یک گزاره خلاصه می‌شود: مجوز فقهی، لزوماً مجوز بین‌المللی نیست؛ و تصمیم‌گیر باید هر دو آستانه را بسنجد و بر اساس سخت‌گیرانه‌ترین آن‌ها عمل کند.</w:t>
      </w:r>
      <w:r>
        <w:t xml:space="preserve"> این، مهم‌ترین توصیهٔ عملی رساله است.</w:t>
      </w:r>
    </w:p>
    <w:p>
      <w:pPr>
        <w:pStyle w:val="TH-Body"/>
      </w:pPr>
      <w:r>
        <w:t xml:space="preserve">راهبردهای پنج‌گانه.</w:t>
      </w:r>
      <w:r>
        <w:t xml:space="preserve"> یافته‌های فقهی و حقوقی، در پنج راهبرد عملی سامان یافتند که همگی بر یک اصل مشترک استوارند: «بهترین زمان مدیریت تعهد، هنگام انعقاد است، نه هنگام اجرا». این پنج راهبرد عبارت‌اند از: (۱) استفادهٔ هوشمندانه از حق شرط و اعلامیهٔ تفسیری در مرحلهٔ پیوستن؛ (۲) گنجاندن شرط‌های خروج، بازنگری، تعلیق و حل اختلاف در متن معاهدات دوجانبه؛ (۳) مستندسازی هوشمندانه از مرحلهٔ مذاکره؛ (۴) اولویت‌بخشی به مجاری حقوقی مندرج و رعایت اصل تدریج؛ و (۵) مدیریت مسئولیت و حفظ اعتبار. مطالعهٔ تطبیقی سه تجربهٔ معاصر (برجام، خروج سه دولت آفریقایی از دیوان کیفری بین‌المللی، و خروج بریتانیا از اتحادیهٔ اروپا) چهار یافتهٔ مشترک به دست داد که پشتوانهٔ عملی این راهبردهاست.</w:t>
      </w:r>
    </w:p>
    <w:p>
      <w:pPr>
        <w:pStyle w:val="TH-Goftar"/>
      </w:pPr>
      <w:r>
        <w:t xml:space="preserve">جمع‌بندی نهایی و افق‌های پژوهشی</w:t>
      </w:r>
    </w:p>
    <w:p>
      <w:pPr>
        <w:pStyle w:val="TH-Body"/>
      </w:pPr>
      <w:r>
        <w:t xml:space="preserve">پاسخ فشرده به پرسش اصلی.</w:t>
      </w:r>
      <w:r>
        <w:t xml:space="preserve"> ولی فقیه، در نظام جمهوری اسلامی ایران، می‌تواند از اجرای معاهده‌ای عدول کند؛ اما این جواز، «مطلق» نیست، بلکه مقید به ده شرط است: چهار شرط ماهوی (احراز تزاحم واقعی با مصلحت اهمّ به نحو مستند؛ تقدم راه‌های حقوقی مندرج در معاهده؛ کارشناسی تخصصی و مشورت نهادی؛ و تعیین مصداق اهمّ از میان چهار مصداق محدود)؛ سه شرط شکلی (تناسب؛ تدریجی بودن؛ و انباذ علی سواء)؛ دو شرط سقفی و پیامدی (عدم تعرض به قواعد آمره، حقوق بشر و تعهدات بشردوستانه؛ و لحاظ آثار در محاسبهٔ مصلحت)؛ و یک شرط ساختاری (رعایت تفکیک سه‌گانهٔ سطوح تحلیل و پذیرش آن‌که مشروعیت داخلی، مسئولیت بین‌المللی را رفع نمی‌کند).</w:t>
      </w:r>
    </w:p>
    <w:p>
      <w:pPr>
        <w:pStyle w:val="TH-Body"/>
      </w:pPr>
      <w:r>
        <w:t xml:space="preserve">سه افق پژوهشی بازمانده.</w:t>
      </w:r>
      <w:r>
        <w:t xml:space="preserve"> این رساله، سه مسئله را به پژوهش‌های آینده واگذار می‌کند. </w:t>
      </w:r>
      <w:r>
        <w:t xml:space="preserve">افق نخست:</w:t>
      </w:r>
      <w:r>
        <w:t xml:space="preserve"> تدوین «قانون آیین‌نامهٔ عدول از معاهدات» که ضوابط هشت‌گانه را در قالب تشریفات قانونی الزام‌آور صورت‌بندی کند و مرجع صالح، مهلت‌ها و سازوکار تأیید پسینی مجلس را تعیین نماید. </w:t>
      </w:r>
      <w:r>
        <w:t xml:space="preserve">افق دوم:</w:t>
      </w:r>
      <w:r>
        <w:t xml:space="preserve"> بررسی فقهی «جبران خسارت» در فرض عدول مشروع؛ زیرا قاعدهٔ ترتب در باب تزاحم، بار جبرانی ایجاد می‌کند و رابطهٔ این بار با مواد ۳۱ تا ۳۷ طرح مواد مسئولیت، نیازمند تحلیل مستقل است. </w:t>
      </w:r>
      <w:r>
        <w:t xml:space="preserve">افق سوم:</w:t>
      </w:r>
      <w:r>
        <w:t xml:space="preserve"> بررسی نسبت «حکم حکومتی» با «تعهدات ناشی از قطعنامه‌های شورای امنیت»؛ زیرا این تعهدات، از جهت منبع (فصل هفتم منشور) و از جهت آثار (مواد ۲۵ و ۱۰۳ منشور) با معاهدات تفاوت دارند و تحلیل آن‌ها در قلمرو این رساله نگنجید.</w:t>
      </w:r>
    </w:p>
    <w:p>
      <w:pPr>
        <w:pStyle w:val="TH-Body"/>
      </w:pPr>
      <w:r>
        <w:t xml:space="preserve">سخن پایانی.</w:t>
      </w:r>
      <w:r>
        <w:t xml:space="preserve"> آن‌چه در این رساله کوشش شد، نه اثبات یک نتیجهٔ از پیش‌تعیین‌شده، بلکه تنقیح یک محلّ نزاع و صورت‌بندی یک چارچوب استدلالی است. قاعدهٔ وفای به عهد، از استوارترین قواعد فقه امامیه است و هر سخن گفتن از استثنای آن، باید با «بار اثبات سنگین» و با «امانت در نقل ادلهٔ طرف مقابل» همراه باشد. در برابر، انکار امکان عدول در فروض استثنائی، نیز خلاف نصوص و سیره است. راه میانه، «ضابطه‌مندی» است؛ و ضابطه‌مندی، همان چیزی است که فقه امامیه در طول تاریخ خود، همواره در پی آن بوده است: تبدیل احکام کلی به معیارهای عملی، بدون آن‌که از قوت استدلالی آن‌ها کاسته شود.</w:t>
      </w:r>
    </w:p>
    <w:p>
      <w:pPr>
        <w:pStyle w:val="TH-Fasl"/>
      </w:pPr>
      <w:r>
        <w:t xml:space="preserve">فهرست منابع و مآخذ</w:t>
      </w:r>
    </w:p>
    <w:p>
      <w:pPr>
        <w:pStyle w:val="TH-Body"/>
      </w:pPr>
      <w:r>
        <w:t xml:space="preserve">منابع این پژوهش در نُه دسته سامان یافته است. شیوهٔ ارجاع و توضیح دربارهٔ نشانی‌هایی که نیازمند بازبینی‌اند، در پایان این بخش در قالب «یادداشت‌های کتاب‌شناختی» آمده است.</w:t>
      </w:r>
    </w:p>
    <w:p>
      <w:pPr>
        <w:pStyle w:val="TH-Goftar"/>
      </w:pPr>
      <w:r>
        <w:t xml:space="preserve">الف) قرآن کریم و تفاسیر</w:t>
      </w:r>
    </w:p>
    <w:p>
      <w:pPr>
        <w:pStyle w:val="TH-Bib"/>
      </w:pPr>
      <w:r>
        <w:t xml:space="preserve">قرآن کریم. ترجمه‌های فارسی مورد استفاده در این رساله: ترجمهٔ مهدی فولادوند (تهران: دارالقرآن الکریم، ۱۳۸۱) و ترجمهٔ ناصر مکارم شیرازی (قم: دارالقرآن الکریم). در موارد اختلاف ترجمه، مبنا متن عربی مصحف است؛ زیرا ترجمه تفسیر است، نه نص.</w:t>
      </w:r>
    </w:p>
    <w:p>
      <w:pPr>
        <w:pStyle w:val="TH-Bib"/>
      </w:pPr>
      <w:r>
        <w:t xml:space="preserve">طوسی، محمد بن حسن (شیخ طوسی، م ۴۶۰ق)، التبیان فی تفسیر القرآن، تحقیق احمد حبیب قصیر عاملی، قم: دفتر انتشارات اسلامی (وابسته به جامعهٔ مدرسین حوزهٔ علمیهٔ قم)، ۱۴۰۹ق، ۱۰ جلد.</w:t>
      </w:r>
    </w:p>
    <w:p>
      <w:pPr>
        <w:pStyle w:val="TH-Bib"/>
      </w:pPr>
      <w:r>
        <w:t xml:space="preserve">طبرسی، فضل بن حسن (م ۵۴۸ق)، مجمع البیان فی تفسیر القرآن، با مقدمهٔ سیدمحمدجواد بلاغی، تهران: انتشارات ناصر خسرو، ۱۳۷۲ش، ۱۰ جلد.</w:t>
      </w:r>
    </w:p>
    <w:p>
      <w:pPr>
        <w:pStyle w:val="TH-Bib"/>
      </w:pPr>
      <w:r>
        <w:t xml:space="preserve">طباطبایی، سیدمحمدحسین (م ۱۴۰۲ق)، المیزان فی تفسیر القرآن، قم: دفتر انتشارات اسلامی (وابسته به جامعهٔ مدرسین حوزهٔ علمیهٔ قم)، ۱۴۱۷ق، ۲۰ جلد.</w:t>
      </w:r>
    </w:p>
    <w:p>
      <w:pPr>
        <w:pStyle w:val="TH-Bib"/>
      </w:pPr>
      <w:r>
        <w:t xml:space="preserve">فخر رازی، محمد بن عمر (م ۶۰۶ق)، مفاتیح الغیب (التفسیر الکبیر)، بیروت: دار احیاء التراث العربی، ۱۴۲۰ق، ۳۲ جلد.</w:t>
      </w:r>
    </w:p>
    <w:p>
      <w:pPr>
        <w:pStyle w:val="TH-Bib"/>
      </w:pPr>
      <w:r>
        <w:t xml:space="preserve">راغب اصفهانی، حسین بن محمد (م ۵۰۲ق)، مفردات الفاظ القرآن، تحقیق صفوان عدنان داوودی، دمشق بیروت: دار القلم، ۱۴۱۲ق، چاپ اول.</w:t>
      </w:r>
    </w:p>
    <w:p>
      <w:pPr>
        <w:pStyle w:val="TH-Goftar"/>
      </w:pPr>
      <w:r>
        <w:t xml:space="preserve">ب) جوامع حدیثی، لغت و نهج‌البلاغه</w:t>
      </w:r>
    </w:p>
    <w:p>
      <w:pPr>
        <w:pStyle w:val="TH-Bib"/>
      </w:pPr>
      <w:r>
        <w:t xml:space="preserve">کلینی، محمد بن یعقوب (م ۳۲۹ق)، الکافی، تحقیق علی‌اکبر غفاری و محمد آخوندی، تهران: دار الکتب الاسلامیه، ۱۴۰۷ق، چاپ چهارم، ۸ جلد.</w:t>
      </w:r>
    </w:p>
    <w:p>
      <w:pPr>
        <w:pStyle w:val="TH-Bib"/>
      </w:pPr>
      <w:r>
        <w:t xml:space="preserve">صدوق، محمد بن علی (م ۳۸۱ق)، من لا یحضره الفقیه، تحقیق علی‌اکبر غفاری، قم: دفتر انتشارات اسلامی، ۱۴۱۳ق، چاپ دوم، ۴ جلد.</w:t>
      </w:r>
    </w:p>
    <w:p>
      <w:pPr>
        <w:pStyle w:val="TH-Bib"/>
      </w:pPr>
      <w:r>
        <w:t xml:space="preserve">صدوق، محمد بن علی (م ۳۸۱ق)، الخصال، تحقیق علی‌اکبر غفاری، قم: دفتر انتشارات اسلامی، ۱۴۰۳ق.</w:t>
      </w:r>
    </w:p>
    <w:p>
      <w:pPr>
        <w:pStyle w:val="TH-Bib"/>
      </w:pPr>
      <w:r>
        <w:t xml:space="preserve">صدوق، محمد بن علی (م ۳۸۱ق)، عیون اخبار الرضا (ع)، تهران: انتشارات صدوق.</w:t>
      </w:r>
    </w:p>
    <w:p>
      <w:pPr>
        <w:pStyle w:val="TH-Bib"/>
      </w:pPr>
      <w:r>
        <w:t xml:space="preserve">طوسی، محمد بن حسن (شیخ طوسی، م ۴۶۰ق)، تهذیب الاحکام، تحقیق حسن موسوی خرسان، تهران: دار الکتب الاسلامیه، ۱۴۰۷ق، چاپ چهارم، ۱۰ جلد.</w:t>
      </w:r>
    </w:p>
    <w:p>
      <w:pPr>
        <w:pStyle w:val="TH-Bib"/>
      </w:pPr>
      <w:r>
        <w:t xml:space="preserve">حر عاملی، محمد بن حسن (م ۱۱۰۴ق)، تفصیل وسائل الشیعه إلی تحصیل مسائل الشریعه، قم: مؤسسهٔ آل‌البیت (علیهم‌السلام) لاحیاء التراث، ۱۴۰۹ق، چاپ اول، ۳۰ جلد.</w:t>
      </w:r>
    </w:p>
    <w:p>
      <w:pPr>
        <w:pStyle w:val="TH-Bib"/>
      </w:pPr>
      <w:r>
        <w:t xml:space="preserve">مجلسی، محمدباقر (م ۱۱۱۰ق)، بحار الانوار الجامعة لدرر اخبار الائمة الاطهار، بیروت: دار احیاء التراث العربی، ۱۴۰۳ق، چاپ دوم، ۱۱۰ جلد.</w:t>
      </w:r>
    </w:p>
    <w:p>
      <w:pPr>
        <w:pStyle w:val="TH-Bib"/>
      </w:pPr>
      <w:r>
        <w:t xml:space="preserve">شریف رضی، محمد بن حسین (م ۴۰۶ق)، نهج البلاغه، تحقیق صبحی صالح، قم: نشر هجرت، ۱۴۱۴ق، چاپ اول. (به‌ویژه نامهٔ ۵۳ به مالک اشتر)</w:t>
      </w:r>
    </w:p>
    <w:p>
      <w:pPr>
        <w:pStyle w:val="TH-Bib"/>
      </w:pPr>
      <w:r>
        <w:t xml:space="preserve">فیض‌الاسلام، سیدعلی‌نقی، شرح و ترجمهٔ نهج البلاغه، تهران: انتشارات اسوه، ۱۳۷۸ش.</w:t>
      </w:r>
    </w:p>
    <w:p>
      <w:pPr>
        <w:pStyle w:val="TH-Bib"/>
      </w:pPr>
      <w:r>
        <w:t xml:space="preserve">فراهیدی، خلیل بن احمد (م ۱۷۵ق)، کتاب العین، تحقیق مهدی مخزومی و ابراهیم سامرائی، قم: نشر هجرت، ۱۴۱۰ق، چاپ دوم، ۸ جلد.</w:t>
      </w:r>
    </w:p>
    <w:p>
      <w:pPr>
        <w:pStyle w:val="TH-Bib"/>
      </w:pPr>
      <w:r>
        <w:t xml:space="preserve">ابن‌منظور، محمد بن مکرم (م ۷۱۱ق)، لسان العرب، بیروت: دار صادر، ۱۴۱۴ق، چاپ سوم، ۱۵ جلد.</w:t>
      </w:r>
    </w:p>
    <w:p>
      <w:pPr>
        <w:pStyle w:val="TH-Goftar"/>
      </w:pPr>
      <w:r>
        <w:t xml:space="preserve">ج) منابع فقهی و اصولی</w:t>
      </w:r>
    </w:p>
    <w:p>
      <w:pPr>
        <w:pStyle w:val="TH-Bib"/>
      </w:pPr>
      <w:r>
        <w:t xml:space="preserve">نجفی، محمدحسن (صاحب جواهر، م ۱۲۶۶ق)، جواهر الکلام فی شرح شرائع الاسلام، بیروت: دار احیاء التراث العربی، چاپ هفتم، ۴۳ جلد. (به‌ویژه کتاب الجهاد، ابواب هدنه و امان و ذمه)</w:t>
      </w:r>
    </w:p>
    <w:p>
      <w:pPr>
        <w:pStyle w:val="TH-Bib"/>
      </w:pPr>
      <w:r>
        <w:t xml:space="preserve">انصاری، مرتضی (شیخ اعظم، م ۱۲۸۱ق)، کتاب المکاسب، قم: کنگرهٔ جهانی بزرگداشت شیخ اعظم انصاری، ۱۴۱۵ق، چاپ اول، ۶ جلد.</w:t>
      </w:r>
    </w:p>
    <w:p>
      <w:pPr>
        <w:pStyle w:val="TH-Bib"/>
      </w:pPr>
      <w:r>
        <w:t xml:space="preserve">انصاری، مرتضی (شیخ اعظم، م ۱۲۸۱ق)، فرائد الاصول (الرسائل)، قم: دفتر انتشارات اسلامی، ۱۴۱۲ق، چاپ دوم، ۲ جلد.</w:t>
      </w:r>
    </w:p>
    <w:p>
      <w:pPr>
        <w:pStyle w:val="TH-Bib"/>
      </w:pPr>
      <w:r>
        <w:t xml:space="preserve">خراسانی، محمدکاظم (آخوند، م ۱۳۲۹ق)، کفایة الاصول، تحقیق مؤسسهٔ آل‌البیت، قم: مؤسسهٔ آل‌البیت (علیهم‌السلام) لاحیاء التراث، ۱۴۰۹ق، چاپ اول.</w:t>
      </w:r>
    </w:p>
    <w:p>
      <w:pPr>
        <w:pStyle w:val="TH-Bib"/>
      </w:pPr>
      <w:r>
        <w:t xml:space="preserve">نائینی، محمدحسین (م ۱۳۵۵ق)، فوائد الاصول، تقریر محمدعلی کاظمی خراسانی، قم: دفتر انتشارات اسلامی، ۱۴۰۴ق، چاپ دوم، ۴ جلد. (به‌ویژه مبحث تزاحم و مبحث بنای عقلا)</w:t>
      </w:r>
    </w:p>
    <w:p>
      <w:pPr>
        <w:pStyle w:val="TH-Bib"/>
      </w:pPr>
      <w:r>
        <w:t xml:space="preserve">نائینی، محمدحسین (م ۱۳۵۵ق)، منیة الطالب فی حاشیة المکاسب، تقریر موسی خوانساری، تهران: کتابخانهٔ محمدی، ۴ جلد.</w:t>
      </w:r>
    </w:p>
    <w:p>
      <w:pPr>
        <w:pStyle w:val="TH-Bib"/>
      </w:pPr>
      <w:r>
        <w:t xml:space="preserve">بجنوردی، سیدمحمدحسن (م ۱۳۹۵ق)، القواعد الفقهیه، قم: نشر الهادی، ۱۴۱۹ق، چاپ دوم، ۷ جلد. (به‌ویژه ج ۴، قاعدهٔ لزوم)</w:t>
      </w:r>
    </w:p>
    <w:p>
      <w:pPr>
        <w:pStyle w:val="TH-Bib"/>
      </w:pPr>
      <w:r>
        <w:t xml:space="preserve">محقق حلی، جعفر بن حسن (م ۶۷۶ق)، شرائع الاسلام فی مسائل الحلال و الحرام، قم: اسماعیلیان، ۱۴۰۳ق، چاپ دوم، ۴ جلد.</w:t>
      </w:r>
    </w:p>
    <w:p>
      <w:pPr>
        <w:pStyle w:val="TH-Bib"/>
      </w:pPr>
      <w:r>
        <w:t xml:space="preserve">علامه حلی، حسن بن یوسف (م ۷۲۶ق)، قواعد الاحکام فی معرفة الحلال و الحرام، قم: دفتر انتشارات اسلامی، ۱۴۱۹ق، چاپ اول، ۳ جلد.</w:t>
      </w:r>
    </w:p>
    <w:p>
      <w:pPr>
        <w:pStyle w:val="TH-Bib"/>
      </w:pPr>
      <w:r>
        <w:t xml:space="preserve">علامه حلی، حسن بن یوسف (م ۷۲۶ق)، تذکرة الفقهاء، قم: مؤسسهٔ آل‌البیت (علیهم‌السلام) لاحیاء التراث، ۱۴۱۴ق، ۱۸ جلد.</w:t>
      </w:r>
    </w:p>
    <w:p>
      <w:pPr>
        <w:pStyle w:val="TH-Bib"/>
      </w:pPr>
      <w:r>
        <w:t xml:space="preserve">طوسی، محمد بن حسن (شیخ طوسی، م ۴۶۰ق)، المبسوط فی فقه الامامیه، تهران: کتابخانهٔ المرتضویه لاحیاء الآثار الجعفریه، ۱۳۸۷ق، چاپ سوم، ۸ جلد.</w:t>
      </w:r>
    </w:p>
    <w:p>
      <w:pPr>
        <w:pStyle w:val="TH-Bib"/>
      </w:pPr>
      <w:r>
        <w:t xml:space="preserve">خویی، سیدابوالقاسم (م ۱۴۱۳ق)، محاضرات فی اصول الفقه، تقریر محمد اسحاق فیاض، قم: انصاریان، ۱۴۱۵ق، ۶ جلد.</w:t>
      </w:r>
    </w:p>
    <w:p>
      <w:pPr>
        <w:pStyle w:val="TH-Bib"/>
      </w:pPr>
      <w:r>
        <w:t xml:space="preserve">خویی، سیدابوالقاسم (م ۱۴۱۳ق)، مصباح الفقاهه، تقریر محمدعلی توحیدی، قم: انصاریان، ۱۴۱۷ق، ۷ جلد.</w:t>
      </w:r>
    </w:p>
    <w:p>
      <w:pPr>
        <w:pStyle w:val="TH-Bib"/>
      </w:pPr>
      <w:r>
        <w:t xml:space="preserve">حکیم، سیدمحسن (م ۱۳۹۰ق)، مستمسک العروة الوثقى، قم: دفتر تبلیغات اسلامی، ۱۴۱۶ق، ۱۴ جلد.</w:t>
      </w:r>
    </w:p>
    <w:p>
      <w:pPr>
        <w:pStyle w:val="TH-Goftar"/>
      </w:pPr>
      <w:r>
        <w:t xml:space="preserve">د) فقه سیاسی، ولایت فقیه و حکومت اسلامی</w:t>
      </w:r>
    </w:p>
    <w:p>
      <w:pPr>
        <w:pStyle w:val="TH-Bib"/>
      </w:pPr>
      <w:r>
        <w:t xml:space="preserve">خمینی، سیدروح‌الله (م ۱۴۰۹ق)، ولایت فقیه: حکومت اسلامی، تهران: مؤسسهٔ تنظیم و نشر آثار امام خمینی، ۱۴۳۳ق، چاپ چهارم.</w:t>
      </w:r>
    </w:p>
    <w:p>
      <w:pPr>
        <w:pStyle w:val="TH-Bib"/>
      </w:pPr>
      <w:r>
        <w:t xml:space="preserve">خمینی، سیدروح‌الله (م ۱۴۰۹ق)، صحیفهٔ امام (مجموعهٔ آثار)، تهران: مؤسسهٔ تنظیم و نشر آثار امام خمینی، ۱۳۷۸ش، ۲۲ جلد. [ارجاع اصلی این رساله: ج ۲۰، ص ۴۵۱–۴۵۲، نامه به آیت‌الله سیدعلی خامنه‌ای، مورخ ۱۶ دی ۱۳۶۶ / ۱۵ جمادی‌الاولی ۱۴۰۸، در «تعیین حدود اختیارات حکومت اسلامی»]</w:t>
      </w:r>
    </w:p>
    <w:p>
      <w:pPr>
        <w:pStyle w:val="TH-Bib"/>
      </w:pPr>
      <w:r>
        <w:t xml:space="preserve">خمینی، سیدروح‌الله (م ۱۴۰۹ق)، کشف الاسرار، تهران: مؤسسهٔ تنظیم و نشر آثار امام خمینی، ۱۳۷۸ش، چاپ هشتم.</w:t>
      </w:r>
    </w:p>
    <w:p>
      <w:pPr>
        <w:pStyle w:val="TH-Bib"/>
      </w:pPr>
      <w:r>
        <w:t xml:space="preserve">خمینی، سیدروح‌الله (م ۱۴۰۹ق)، تحریر الوسیله، قم: مؤسسهٔ تنظیم و نشر آثار امام خمینی، ۱۴۲۹ق، چاپ هفتم، ۲ جلد. (کتاب الجهاد: ابواب هدنه، امان و ذمه)</w:t>
      </w:r>
    </w:p>
    <w:p>
      <w:pPr>
        <w:pStyle w:val="TH-Bib"/>
      </w:pPr>
      <w:r>
        <w:t xml:space="preserve">خمینی، سیدروح‌الله (م ۱۴۰۹ق)، المکاسب المحرمة، قم: مؤسسهٔ تنظیم و نشر آثار امام خمینی، ۱۴۱۵ق، چاپ اول، ۲ جلد.</w:t>
      </w:r>
    </w:p>
    <w:p>
      <w:pPr>
        <w:pStyle w:val="TH-Bib"/>
      </w:pPr>
      <w:r>
        <w:t xml:space="preserve">خمینی، سیدروح‌الله (م ۱۴۰۹ق)، الرسائل، قم: مؤسسهٔ تنظیم و نشر آثار امام خمینی، ۱۴۲۹ق، چاپ اول، ۲ جلد. (از جمله: رسالهٔ قاعدهٔ لاضرر)</w:t>
      </w:r>
    </w:p>
    <w:p>
      <w:pPr>
        <w:pStyle w:val="TH-Bib"/>
      </w:pPr>
      <w:r>
        <w:t xml:space="preserve">خمینی، سیدروح‌الله (م ۱۴۰۹ق)، کتاب البیع، تهران: مؤسسهٔ تنظیم و نشر آثار امام خمینی، ۱۳۷۸ش، ۳ جلد.</w:t>
      </w:r>
    </w:p>
    <w:p>
      <w:pPr>
        <w:pStyle w:val="TH-Bib"/>
      </w:pPr>
      <w:r>
        <w:t xml:space="preserve">نراقی، ملا احمد (م ۱۲۴۵ق)، عوائد الایام من قواعد الحکم و الاحکام، قم: دفتر تبلیغات اسلامی، ۱۴۱۷ق، چاپ اول. (عائدهٔ پنجاه‌وچهارم: ولایت فقیه)</w:t>
      </w:r>
    </w:p>
    <w:p>
      <w:pPr>
        <w:pStyle w:val="TH-Bib"/>
      </w:pPr>
      <w:r>
        <w:t xml:space="preserve">نائینی، محمدحسین (م ۱۳۵۵ق)، تنبیه الامه و تنزیه المله، تصحیح و تحشیهٔ سیدمحمود طالقانی، تهران: شرکت سهامی کتاب‌های جیبی، ۱۳۴۱ش.</w:t>
      </w:r>
    </w:p>
    <w:p>
      <w:pPr>
        <w:pStyle w:val="TH-Bib"/>
      </w:pPr>
      <w:r>
        <w:t xml:space="preserve">منتظری، حسینعلی (م ۱۳۸۸ش)، دراسات فی ولایة الفقیه و فقه الدولة الاسلامیه، قم: نشر تفکر، ۱۴۰۹ق، چاپ دوم، ۴ جلد.</w:t>
      </w:r>
    </w:p>
    <w:p>
      <w:pPr>
        <w:pStyle w:val="TH-Bib"/>
      </w:pPr>
      <w:r>
        <w:t xml:space="preserve">منتظری، حسینعلی (م ۱۳۸۸ش)، شئون و اختیارات ولایت فقیه، ترجمهٔ محمود صلواتی، تهران: مؤسسهٔ کیان، ۱۳۸۸ش، چاپ اول.</w:t>
      </w:r>
    </w:p>
    <w:p>
      <w:pPr>
        <w:pStyle w:val="TH-Bib"/>
      </w:pPr>
      <w:r>
        <w:t xml:space="preserve">جوادی آملی، عبدالله، ولایت فقیه: ولایت فقاهت و عدالت، قم: مرکز نشر اسراء، ۱۳۸۵ش، چاپ ششم.</w:t>
      </w:r>
    </w:p>
    <w:p>
      <w:pPr>
        <w:pStyle w:val="TH-Bib"/>
      </w:pPr>
      <w:r>
        <w:t xml:space="preserve">جوادی آملی، عبدالله، فقه سیاسی: مباحث ولایت فقیه، تنظیم حمیدرضا شریعتمدار، قم: مرکز نشر اسراء، ۱۳۹۶ش، چاپ اول.</w:t>
      </w:r>
    </w:p>
    <w:p>
      <w:pPr>
        <w:pStyle w:val="TH-Bib"/>
      </w:pPr>
      <w:r>
        <w:t xml:space="preserve">عمید زنجانی، عباسعلی، فقه سیاسی، تهران: انتشارات امیرکبیر. ج ۱ (چاپ چهارم، ۱۳۷۷ش) و ج ۲ «نظام سیاسی و رهبری در اسلام» (۱۳۷۳ش).</w:t>
      </w:r>
    </w:p>
    <w:p>
      <w:pPr>
        <w:pStyle w:val="TH-Bib"/>
      </w:pPr>
      <w:r>
        <w:t xml:space="preserve">خامنه‌ای، سیدعلی، اجوبة الاستفتائات، تهران: انتشارات انقلاب اسلامی.</w:t>
      </w:r>
    </w:p>
    <w:p>
      <w:pPr>
        <w:pStyle w:val="TH-Goftar"/>
      </w:pPr>
      <w:r>
        <w:t xml:space="preserve">ه) قانون اساسی و اسناد حقوقی داخلی</w:t>
      </w:r>
    </w:p>
    <w:p>
      <w:pPr>
        <w:pStyle w:val="TH-Bib"/>
      </w:pPr>
      <w:r>
        <w:t xml:space="preserve">قانون اساسی جمهوری اسلامی ایران، مصوب ۱۳۵۸ با اصلاحات ۱۳۶۸. متن رسمی، تهران: معاونت قوانین مجلس شورای اسلامی.</w:t>
      </w:r>
    </w:p>
    <w:p>
      <w:pPr>
        <w:pStyle w:val="TH-Bib"/>
      </w:pPr>
      <w:r>
        <w:t xml:space="preserve">صورت مشروح مذاکرات مجلس بررسی نهایی قانون اساسی جمهوری اسلامی ایران، تهران: ادارهٔ کل امور فرهنگی و روابط عمومی مجلس شورای اسلامی، ۱۳۶۸ش، ۲ جلد.</w:t>
      </w:r>
    </w:p>
    <w:p>
      <w:pPr>
        <w:pStyle w:val="TH-Bib"/>
      </w:pPr>
      <w:r>
        <w:t xml:space="preserve">هاشمی، سیدمحمد، حقوق اساسی جمهوری اسلامی ایران، تهران: نشر میزان، ج ۱ و ج ۲ (چاپ هشتم، ۱۳۸۳ش).</w:t>
      </w:r>
    </w:p>
    <w:p>
      <w:pPr>
        <w:pStyle w:val="TH-Bib"/>
      </w:pPr>
      <w:r>
        <w:t xml:space="preserve">قاضی شریعت‌پناهی، سیدابوالفضل، حقوق اساسی و نهادهای سیاسی، تهران: نشر میزان.</w:t>
      </w:r>
    </w:p>
    <w:p>
      <w:pPr>
        <w:pStyle w:val="TH-Bib"/>
      </w:pPr>
      <w:r>
        <w:t xml:space="preserve">عمید زنجانی، عباسعلی، حقوق اساسی (مبانی حقوق اساسی جمهوری اسلامی ایران)، تهران: نشر مجد، چاپ اول، ۱۳۸۷ش.</w:t>
      </w:r>
    </w:p>
    <w:p>
      <w:pPr>
        <w:pStyle w:val="TH-Bib"/>
      </w:pPr>
      <w:r>
        <w:t xml:space="preserve">نظرات تفسیری شورای نگهبان دربارهٔ اصول قانون اساسی، تهران: پژوهشکدهٔ شورای نگهبان.</w:t>
      </w:r>
    </w:p>
    <w:p>
      <w:pPr>
        <w:pStyle w:val="TH-Bib"/>
      </w:pPr>
      <w:r>
        <w:t xml:space="preserve">قانون آیین‌نامهٔ داخلی مجلس شورای اسلامی، مصوب ۱۳۷۹ با اصلاحات بعدی (مواد ناظر به بررسی عهدنامه‌ها و مقاوله‌نامه‌های بین‌المللی).</w:t>
      </w:r>
    </w:p>
    <w:p>
      <w:pPr>
        <w:pStyle w:val="TH-Goftar"/>
      </w:pPr>
      <w:r>
        <w:t xml:space="preserve">و) اسناد و رویهٔ بین‌المللی</w:t>
      </w:r>
    </w:p>
    <w:p>
      <w:pPr>
        <w:pStyle w:val="TH-Bib"/>
      </w:pPr>
      <w:r>
        <w:t xml:space="preserve">Vienna Convention on the Law of Treaties, adopted 23 May 1969, entered into force 27 January 1980, United Nations Treaty Series, vol. 1155, p. 331. (کنوانسیون وین حقوق معاهدات؛ دولت ایران در ۲۳ مه ۱۹۶۹ آن را امضا کرد ولی هرگز به تصویب مجلس شورای اسلامی نرسانده است.)</w:t>
      </w:r>
    </w:p>
    <w:p>
      <w:pPr>
        <w:pStyle w:val="TH-Bib"/>
      </w:pPr>
      <w:r>
        <w:t xml:space="preserve">Vienna Convention on the Law of Treaties between States and International Organizations or between International Organizations, adopted 21 March 1986, UN Doc. A/CONF.129/15. (هنوز لازم‌الاجرا نشده است.)</w:t>
      </w:r>
    </w:p>
    <w:p>
      <w:pPr>
        <w:pStyle w:val="TH-Bib"/>
      </w:pPr>
      <w:r>
        <w:t xml:space="preserve">Charter of the United Nations, signed 26 June 1945, entered into force 24 October 1945, United Nations Treaty Series, vol. 1, p. XV. (به‌ویژه مادهٔ ۲ بند ۴، مواد ۳۳ تا ۳۸، مواد ۳۹ تا ۵۱ و مادهٔ ۱۰۲)</w:t>
      </w:r>
    </w:p>
    <w:p>
      <w:pPr>
        <w:pStyle w:val="TH-Bib"/>
      </w:pPr>
      <w:r>
        <w:t xml:space="preserve">Statute of the International Court of Justice, annexed to the UN Charter, 1945. (به‌ویژه مادهٔ ۳۶)</w:t>
      </w:r>
    </w:p>
    <w:p>
      <w:pPr>
        <w:pStyle w:val="TH-Bib"/>
      </w:pPr>
      <w:r>
        <w:t xml:space="preserve">Articles on Responsibility of States for Internationally Wrongful Acts, adopted by the International Law Commission in 2001, annexed to UN General Assembly Resolution 56/83 of 12 December 2001, UN Doc. A/RES/56/83. (طرح مواد مسئولیت بین‌المللی دولت‌ها)</w:t>
      </w:r>
    </w:p>
    <w:p>
      <w:pPr>
        <w:pStyle w:val="TH-Bib"/>
      </w:pPr>
      <w:r>
        <w:t xml:space="preserve">Yearbook of the International Law Commission, 2001, vol. II (Part Two), New York: United Nations, 2007.</w:t>
      </w:r>
    </w:p>
    <w:p>
      <w:pPr>
        <w:pStyle w:val="TH-Bib"/>
      </w:pPr>
      <w:r>
        <w:t xml:space="preserve">United States Diplomatic and Consular Staff in Tehran (United States of America v. Iran), Judgment of 24 May 1980, I. C. J. Reports 1980, p. 3.</w:t>
      </w:r>
    </w:p>
    <w:p>
      <w:pPr>
        <w:pStyle w:val="TH-Bib"/>
      </w:pPr>
      <w:r>
        <w:t xml:space="preserve">Military and Paramilitary Activities in and against Nicaragua (Nicaragua v. United States of America), Merits, Judgment of 27 June 1986, I. C. J. Reports 1986, p. 14.</w:t>
      </w:r>
    </w:p>
    <w:p>
      <w:pPr>
        <w:pStyle w:val="TH-Bib"/>
      </w:pPr>
      <w:r>
        <w:t xml:space="preserve">Gabčíkovo-Nagymaros Project (Hungary v. Slovakia), Judgment of 25 September 1997, I. C. J. Reports 1997, p. 7 (General List No. 92).</w:t>
      </w:r>
    </w:p>
    <w:p>
      <w:pPr>
        <w:pStyle w:val="TH-Bib"/>
      </w:pPr>
      <w:r>
        <w:t xml:space="preserve">Factory at Chorzów (Germany v. Poland), Merits, Judgment No. 13 of 13 September 1928, P. C. I. J. Series A, No. 17.</w:t>
      </w:r>
    </w:p>
    <w:p>
      <w:pPr>
        <w:pStyle w:val="TH-Bib"/>
      </w:pPr>
      <w:r>
        <w:t xml:space="preserve">Security Council Resolution 2231 (2015) endorsing the Joint Comprehensive Plan of Action, UN Doc. S/RES/2231 (2015), 20 July 2015.</w:t>
      </w:r>
    </w:p>
    <w:p>
      <w:pPr>
        <w:pStyle w:val="TH-Bib"/>
      </w:pPr>
      <w:r>
        <w:t xml:space="preserve">Joint Comprehensive Plan of Action (JCPOA), Vienna, 14 July 2015.</w:t>
      </w:r>
    </w:p>
    <w:p>
      <w:pPr>
        <w:pStyle w:val="TH-Bib"/>
      </w:pPr>
      <w:r>
        <w:t xml:space="preserve">Algeria Declarations (Algiers Accords) between Iran and the United States, 19 January 1981.</w:t>
      </w:r>
    </w:p>
    <w:p>
      <w:pPr>
        <w:pStyle w:val="TH-Goftar"/>
      </w:pPr>
      <w:r>
        <w:t xml:space="preserve">ز) منابع حقوقی فارسی</w:t>
      </w:r>
    </w:p>
    <w:p>
      <w:pPr>
        <w:pStyle w:val="TH-Bib"/>
      </w:pPr>
      <w:r>
        <w:t xml:space="preserve">ضیایی بیگدلی، محمدرضا، حقوق معاهدات بین‌المللی، تهران: کتابخانهٔ گنج دانش، چاپ هشتم، ۱۳۹۹ش، ۴۲۴ ص.</w:t>
      </w:r>
    </w:p>
    <w:p>
      <w:pPr>
        <w:pStyle w:val="TH-Bib"/>
      </w:pPr>
      <w:r>
        <w:t xml:space="preserve">ضیایی بیگدلی، محمدرضا، حقوق بین‌الملل عمومی، تهران: کتابخانهٔ گنج دانش، چاپ سی‌ام (ویرایش جدید)، ۱۳۸۶ش.</w:t>
      </w:r>
    </w:p>
    <w:p>
      <w:pPr>
        <w:pStyle w:val="TH-Bib"/>
      </w:pPr>
      <w:r>
        <w:t xml:space="preserve">ابراهیم‌گل، علیرضا (ترجمه)، سیفی، سیدجمال (زیر نظر)، مسئولیت بین‌المللی دولت: متن و شرح مواد کمیسیون حقوق بین‌الملل، تهران: مؤسسهٔ مطالعات و پژوهش‌های حقوقی شهر دانش، چاپ ششم، ۱۳۹۳ش.</w:t>
      </w:r>
    </w:p>
    <w:p>
      <w:pPr>
        <w:pStyle w:val="TH-Bib"/>
      </w:pPr>
      <w:r>
        <w:t xml:space="preserve">زمانیان، داریوش و سیدقاسم زمانی، حقوق بین‌الملل عمومی: مسئولیت بین‌المللی دولت، تهران: نشر میزان.</w:t>
      </w:r>
    </w:p>
    <w:p>
      <w:pPr>
        <w:pStyle w:val="TH-Bib"/>
      </w:pPr>
      <w:r>
        <w:t xml:space="preserve">حکمت‌نیا، حسن، نظام مسئولیت دولت در حقوق بین‌الملل، تهران: پژوهشگاه فرهنگ و اندیشهٔ اسلامی.</w:t>
      </w:r>
    </w:p>
    <w:p>
      <w:pPr>
        <w:pStyle w:val="TH-Bib"/>
      </w:pPr>
      <w:r>
        <w:t xml:space="preserve">عمید زنجانی، عباسعلی، فقه سیاسی: روابط بین‌الملل، تهران: انتشارات امیرکبیر.</w:t>
      </w:r>
    </w:p>
    <w:p>
      <w:pPr>
        <w:pStyle w:val="TH-Bib"/>
      </w:pPr>
      <w:r>
        <w:t xml:space="preserve">سیفی، محمدحکیم، فقه روابط بین‌الملل، تهران: نشر میزان.</w:t>
      </w:r>
    </w:p>
    <w:p>
      <w:pPr>
        <w:pStyle w:val="TH-Goftar"/>
      </w:pPr>
      <w:r>
        <w:t xml:space="preserve">ح) منابع حقوقی و فقهی لاتین و عربی</w:t>
      </w:r>
    </w:p>
    <w:p>
      <w:pPr>
        <w:pStyle w:val="TH-Bib"/>
      </w:pPr>
      <w:r>
        <w:t xml:space="preserve">Shaw, Malcolm N. , International Law, 9th ed. , Cambridge: Cambridge University Press, 2021.</w:t>
      </w:r>
    </w:p>
    <w:p>
      <w:pPr>
        <w:pStyle w:val="TH-Bib"/>
      </w:pPr>
      <w:r>
        <w:t xml:space="preserve">Crawford, James, Brownlie's Principles of Public International Law, 9th ed. , Oxford: Oxford University Press, 2019.</w:t>
      </w:r>
    </w:p>
    <w:p>
      <w:pPr>
        <w:pStyle w:val="TH-Bib"/>
      </w:pPr>
      <w:r>
        <w:t xml:space="preserve">Crawford, James, State Responsibility: The General Part, Cambridge: Cambridge University Press, 2013.</w:t>
      </w:r>
    </w:p>
    <w:p>
      <w:pPr>
        <w:pStyle w:val="TH-Bib"/>
      </w:pPr>
      <w:r>
        <w:t xml:space="preserve">Aust, Anthony, Modern Treaty Law and Practice, 3rd ed. , Cambridge: Cambridge University Press, 2013.</w:t>
      </w:r>
    </w:p>
    <w:p>
      <w:pPr>
        <w:pStyle w:val="TH-Bib"/>
      </w:pPr>
      <w:r>
        <w:t xml:space="preserve">Villiger, Mark E. , Commentary on the 1969 Vienna Convention on the Law of Treaties, Leiden: Martinus Nijhoff Publishers, 2009.</w:t>
      </w:r>
    </w:p>
    <w:p>
      <w:pPr>
        <w:pStyle w:val="TH-Bib"/>
      </w:pPr>
      <w:r>
        <w:t xml:space="preserve">Corten, Olivier &amp; Klein, Pierre (eds.), The Vienna Conventions on the Law of Treaties: A Commentary, 2 vols. , Oxford: Oxford University Press, 2011.</w:t>
      </w:r>
    </w:p>
    <w:p>
      <w:pPr>
        <w:pStyle w:val="TH-Bib"/>
      </w:pPr>
      <w:r>
        <w:t xml:space="preserve">R (Miller) v. Secretary of State for Exiting the European Union, [2017] UKSC 5, United Kingdom Supreme Court, judgment of 24 January 2017.</w:t>
      </w:r>
    </w:p>
    <w:p>
      <w:pPr>
        <w:pStyle w:val="TH-Bib"/>
      </w:pPr>
      <w:r>
        <w:t xml:space="preserve">Democratic Alliance v. Minister of International Relations and Cooperation, High Court of South Africa (Gauteng Local Division, Johannesburg), Case No. 83145/2016, judgment of 22 February 2017.</w:t>
      </w:r>
    </w:p>
    <w:p>
      <w:pPr>
        <w:pStyle w:val="TH-Bib"/>
      </w:pPr>
      <w:r>
        <w:t xml:space="preserve">Rome Statute of the International Criminal Court, 1998, UN Treaty Series, vol. 2187, p. 3 (به‌ویژه مواد ۱۲۷ دربارهٔ خروج).</w:t>
      </w:r>
    </w:p>
    <w:p>
      <w:pPr>
        <w:pStyle w:val="TH-Bib"/>
      </w:pPr>
      <w:r>
        <w:t xml:space="preserve">Treaty on European Union (Consolidated Version), Article 50, Official Journal of the European Union, C 202, 7 June 2016.</w:t>
      </w:r>
    </w:p>
    <w:p>
      <w:pPr>
        <w:pStyle w:val="TH-Bib"/>
      </w:pPr>
      <w:r>
        <w:t xml:space="preserve">Joint Comprehensive Programme of Action (JCPOA), Vienna, 14 July 2015؛ و قطعنامهٔ ۲۲۳۱ شورای امنیت سازمان ملل متحد، مورخ ۲۰ ژوئیهٔ ۲۰۱۵ (S/RES/2231).</w:t>
      </w:r>
    </w:p>
    <w:p>
      <w:pPr>
        <w:pStyle w:val="TH-Bib"/>
      </w:pPr>
      <w:r>
        <w:t xml:space="preserve">زحیلی، وهبه، العلاقات الدولیة فی الاسلام مقارنة بالقانون الدولی الحدیث، بیروت: مؤسسة الرسالة، ۱۴۲۲ق، چاپ دوم.</w:t>
      </w:r>
    </w:p>
    <w:p>
      <w:pPr>
        <w:pStyle w:val="TH-Bib"/>
      </w:pPr>
      <w:r>
        <w:t xml:space="preserve">زحیلی، وهبه، آثار الحرب فی الاسلام: دراسة فقهیة مقارنة، دمشق: دار الفکر.</w:t>
      </w:r>
    </w:p>
    <w:p>
      <w:pPr>
        <w:pStyle w:val="TH-Bib"/>
      </w:pPr>
      <w:r>
        <w:t xml:space="preserve">ابن‌هشام، عبدالملک (م ۲۱۸ق)، السیرة النبویة، تحقیق مصطفی سقا، ابراهیم ابیاری و عبدالحفیظ شلبی، بیروت: دار المعرفة، ۴ جلد.</w:t>
      </w:r>
    </w:p>
    <w:p>
      <w:pPr>
        <w:pStyle w:val="TH-Bib"/>
      </w:pPr>
      <w:r>
        <w:t xml:space="preserve">طبری، محمد بن جریر (م ۳۱۰ق)، تاریخ الامم و الملوک، تحقیق محمد ابوالفضل ابراهیم، بیروت: دار التراث العربی، ۱۳۸۷ق، چاپ دوم، ۱۱ جلد.</w:t>
      </w:r>
    </w:p>
    <w:p>
      <w:pPr>
        <w:pStyle w:val="TH-Bib"/>
      </w:pPr>
      <w:r>
        <w:t xml:space="preserve">مفید، محمد بن محمد (م ۴۱۳ق)، الارشاد فی معرفة حجج الله علی العباد، قم: کنگرهٔ شیخ مفید، ۱۴۱۳ق، چاپ اول، ۲ جلد.</w:t>
      </w:r>
    </w:p>
    <w:p>
      <w:pPr>
        <w:pStyle w:val="TH-Goftar"/>
      </w:pPr>
      <w:r>
        <w:t xml:space="preserve">ط) پایگاه‌های رسمی اینترنتی</w:t>
      </w:r>
    </w:p>
    <w:p>
      <w:pPr>
        <w:pStyle w:val="TH-Bib"/>
      </w:pPr>
      <w:r>
        <w:t xml:space="preserve">پایگاه اطلاع‌رسانی حوزه، hawzah. net (مقالات تخصصی دربارهٔ اصل ۵۷ و اصل ۱۱۰ قانون اساسی و حق شرط در معاهدات بین‌المللی).</w:t>
      </w:r>
    </w:p>
    <w:p>
      <w:pPr>
        <w:pStyle w:val="TH-Bib"/>
      </w:pPr>
      <w:r>
        <w:t xml:space="preserve">پایگاه پژوهشکدهٔ شورای نگهبان، shora-gc. ir (متن رسمی قانون اساسی و نظرات تفسیری).</w:t>
      </w:r>
    </w:p>
    <w:p>
      <w:pPr>
        <w:pStyle w:val="TH-Bib"/>
      </w:pPr>
      <w:r>
        <w:t xml:space="preserve">سایت جامع امام خمینی (ره) و پایگاه صحیفهٔ امام، emam. com و farsi. rouhollah. ir (متن و مشخصات دقیق نامه‌ها و آثار).</w:t>
      </w:r>
    </w:p>
    <w:p>
      <w:pPr>
        <w:pStyle w:val="TH-Bib"/>
      </w:pPr>
      <w:r>
        <w:t xml:space="preserve">مرکز پژوهش‌های مجلس شورای اسلامی، rc. majlis. ir (متن قوانین و آیین‌نامه‌های داخلی مجلس).</w:t>
      </w:r>
    </w:p>
    <w:p>
      <w:pPr>
        <w:pStyle w:val="TH-Bib"/>
      </w:pPr>
      <w:r>
        <w:t xml:space="preserve">United Nations Treaty Collection, treaties. un. org (وضعیت امضا و تصویب معاهدات چندجانبه).</w:t>
      </w:r>
    </w:p>
    <w:p>
      <w:pPr>
        <w:pStyle w:val="TH-Bib"/>
      </w:pPr>
      <w:r>
        <w:t xml:space="preserve">International Law Commission, legal. un. org/ilc (متن طرح مواد و سالنامهٔ کمیسیون).</w:t>
      </w:r>
    </w:p>
    <w:p>
      <w:pPr>
        <w:pStyle w:val="TH-Bib"/>
      </w:pPr>
      <w:r>
        <w:t xml:space="preserve">International Court of Justice, icj-cij. org (متن آرای دیوان و نحوهٔ رسمی ارجاع).</w:t>
      </w:r>
    </w:p>
    <w:p>
      <w:pPr>
        <w:pStyle w:val="TH-Goftar"/>
      </w:pPr>
      <w:r>
        <w:t xml:space="preserve">یادداشت‌های کتاب‌شناختی: راهنمای خواننده</w:t>
      </w:r>
    </w:p>
    <w:p>
      <w:pPr>
        <w:pStyle w:val="TH-BibNote"/>
      </w:pPr>
      <w:r>
        <w:t xml:space="preserve">دربارهٔ شیوهٔ ارجاع.</w:t>
      </w:r>
      <w:r>
        <w:t xml:space="preserve"> در این رساله دو نوع ارجاع به‌کار رفته است: ارجاع به «نص» و ارجاع به «منبع». ارجاع به نص (آیه، مادهٔ کنوانسیون، مادهٔ طرح مسئولیت، اصل قانون اساسی و رأی دیوان) در همهٔ موارد با نشانی دقیق و قابل راستی‌آزمایی ثبت شده است؛ زیرا این متون همگی عمومی و در دسترس‌اند و استناد به آن‌ها بدون نشانی دقیق، فاقد ارزش علمی است. ارجاع به منبع (کتب فقهی، تفاسیر، جوامع حدیثی و کتب حقوقی) در حد مشخصاتی است که برای بازیابی اثر کافی است: نام مؤلف، عنوان اثر، محقق، محل نشر و ناشر.</w:t>
      </w:r>
    </w:p>
    <w:p>
      <w:pPr>
        <w:pStyle w:val="TH-BibNote"/>
      </w:pPr>
      <w:r>
        <w:t xml:space="preserve">دربارهٔ نشانی‌های درون‌متنی.</w:t>
      </w:r>
      <w:r>
        <w:t xml:space="preserve"> در ارجاع به کتب فقهی و حدیثی، نشانی جلد و صفحه تنها در مواردی ذکر شده که نسخهٔ معتبر رؤیت و احراز شده باشد. در موارد دیگر، ارجاع به «باب» و «کتاب» داده شده است (مثلاً: جواهر الکلام، کتاب الجهاد، ابواب هدنه) که برای بازیابی مطلب در چاپ‌های مختلف کافی است. این روش آگاهانه برگزیده شده؛ زیرا نسبت‌دادن شمارهٔ صفحه به چاپی که رؤیت نشده، خلاف امانت علمی است و از آن پرهیز شده است.</w:t>
      </w:r>
    </w:p>
    <w:p>
      <w:pPr>
        <w:pStyle w:val="TH-BibNote"/>
      </w:pPr>
      <w:r>
        <w:t xml:space="preserve">نقشهٔ مطالعه برای پژوهش‌های بعدی.</w:t>
      </w:r>
      <w:r>
        <w:t xml:space="preserve"> برای «مبانی فقهی وفا»، نقطهٔ آغاز متن قرآن است (سوره‌های مائده، نحل، اسراء، رعد، توبه، انفال و مؤمنون) با تفسیر المیزان که مبسوط‌ترین تحلیل را از آیات عهد دارد؛ سپس وسائل الشیعه (ابواب جهاد و ابواب احکام عقود) و نهج البلاغه (نامهٔ ۵۳). برای فهم فقاهتی ادله، سه ستون اصلی عبارت‌اند از: جواهر الکلام (کتاب الجهاد)، القواعد الفقهیهٔ بجنوردی (قاعدهٔ لزوم) و کتاب المکاسب شیخ انصاری.</w:t>
      </w:r>
    </w:p>
    <w:p>
      <w:pPr>
        <w:pStyle w:val="TH-BibNote"/>
      </w:pPr>
      <w:r>
        <w:t xml:space="preserve">برای «حکم حکومتی و تزاحم»، ترتیب پیشنهادی تاریخی است: عوائد الایام نراقی (ریشه‌ها)، تنبیه الامه نائینی (پیوند با دولت مدرن)، سپس ولایت فقیه، کتاب البیع و صحیفهٔ امام (صورت‌بندی کامل)؛ و هم‌زمان کفایة الاصول و فوائد الاصول برای فن تزاحم و بنای عقلا.</w:t>
      </w:r>
    </w:p>
    <w:p>
      <w:pPr>
        <w:pStyle w:val="TH-BibNote"/>
      </w:pPr>
      <w:r>
        <w:t xml:space="preserve">برای «حقوق بین‌الملل»، نقطهٔ آغاز متن خود کنوانسیون وین و طرح مواد مسئولیت است، نه شروح؛ سپس آرای دیوان (تهران ۱۹۸۰، نیکاراگوئه ۱۹۸۶، گابچیکوو ۱۹۹۷، کورزو ۱۹۲۸) برای دیدن کاربرد عملی قواعد؛ و آنگاه شروح (شاو، کرافورد، است، ویلیگر و کورتن/کلین). در ادبیات فارسی، حقوق معاهدات ضیایی بیگدلی بهترین نقطهٔ ورود است و ترجمهٔ ابراهیم‌گل از طرح مواد مسئولیت، منبع دست‌اول فارسی برای آن بخش.</w:t>
      </w:r>
    </w:p>
    <w:p>
      <w:pPr>
        <w:pStyle w:val="TH-BibNote"/>
      </w:pPr>
      <w:r>
        <w:t xml:space="preserve">برای «حقوق اساسی»، نقطهٔ آغاز متن قانون اساسی با صورت مشروح مذاکرات مجلس بررسی نهایی (برای فهم مقصود واضعان)، سپس تفاسیر هاشمی و قاضی شریعت‌پناهی، و در پایان نظرات تفسیری شورای نگهبان.</w:t>
      </w:r>
    </w:p>
    <w:p>
      <w:pPr>
        <w:pStyle w:val="TH-Fasl"/>
      </w:pPr>
      <w:r>
        <w:t xml:space="preserve">پیوست‌ها</w:t>
      </w:r>
    </w:p>
    <w:p>
      <w:pPr>
        <w:pStyle w:val="TH-Goftar"/>
      </w:pPr>
      <w:r>
        <w:t xml:space="preserve">پیوست اول: مراتب پنج‌گانهٔ عدول از معاهده</w:t>
      </w:r>
    </w:p>
    <w:p>
      <w:pPr>
        <w:pStyle w:val="TH-Body"/>
      </w:pPr>
      <w:r>
        <w:t xml:space="preserve">این جدول، مراتب پنج‌گانهٔ عدول را که در گفتار سوم فصل اول صورت‌بندی شد، به نحو عملی سامان می‌دهد. این مراتب، بر اساس «شدت» مرتب شده‌اند و ضابطهٔ پنجم (تدریجی بودن) مقتضی آن است که کم‌شدت‌ترین مرتبه‌ای که مصلحت اهمّ را تأمین می‌کند، برگزیده شود.</w:t>
      </w:r>
    </w:p>
    <w:p>
      <w:pPr>
        <w:pStyle w:val="TH-TblCaption"/>
        <w:keepNext/>
      </w:pPr>
      <w:bookmarkStart w:id="4012" w:name="_Toc_tbl012"/>
      <w:bookmarkEnd w:id="4012"/>
      <w:r>
        <w:rPr>
          <w:rFonts w:ascii="Times New Roman" w:hAnsi="Times New Roman" w:cs="B Nazanin" w:eastAsia="B Nazanin"/>
          <w:b/>
          <w:bCs/>
          <w:color w:val="1A1A1A"/>
          <w:sz w:val="22"/>
          <w:szCs w:val="22"/>
          <w:lang w:val="en-US" w:eastAsia="en-US" w:bidi="fa-IR"/>
        </w:rPr>
        <w:t xml:space="preserve">جدول ۱۲: مراتب پنج‌گانهٔ عدول: تعریف، مبنای حقوقی و جایگاه در ضوابط</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مرتبه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عنوان</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تعریف</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مبنای حقوق بین‌الملل</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جایگاه در ضوابط هشت‌گانه</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صفر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وفای کامل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اجرای کامل و با حسن نیت همهٔ تعهدات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۲۶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اولی؛ مرتبهٔ مطلوب</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یکم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بازنگری توافقی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اصلاح یا تعدیل تعهدات با توافق همهٔ اطراف</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۳۹ تا ۴۱ کنوانسیون وین؛ بند ۱ مادهٔ ۵۴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ضابطهٔ دوم (گام ۲ چک‌لیست)؛ کم‌هزینه‌ترین مجرا</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تعلیق</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توقف موقت اجرای تمام یا بخشی از تعهدات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۵۷، ۶۰ تا ۶۲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ضابطهٔ پنجم؛ مقدم بر مرتبهٔ سوم</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خروج / خاتمه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پایان‌بخشی به معاهده با آثار آتی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۵۴، ۵۶، ۶۰ تا ۶۴ کنوانسیون وین؛ آثار در مواد ۷۰ و ۷۲</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ضابطهٔ پنجم؛ آخرین گزینهٔ مجرای معاهده‌ای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 واکنشی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تعلیق یا خاتمه در پاسخ به نقض اساسی طرف مقابل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۱ مادهٔ ۶۰ کنوانسیون وین؛ مادهٔ ۲۲ و مواد ۴۹ تا ۵۴ طرح مواد مسئولیت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ضابطهٔ نخست و ششم؛ مستحکم‌ترین صورت عدول از جهت بین‌المللی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پنجم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بی‌اعتباری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این‌که التزام از آغاز معیوب بوده است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۴۶ تا ۵۳ و ۶۹ تا ۷۱ کنوانسیون وین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گفتار چهارم فصل دوم؛ مجرای جایگزین عدول</w:t>
            </w:r>
          </w:p>
        </w:tc>
      </w:tr>
    </w:tbl>
    <w:p>
      <w:pPr>
        <w:pStyle w:val="TH-TblSrc"/>
      </w:pPr>
      <w:r>
        <w:rPr>
          <w:rFonts w:ascii="Times New Roman" w:hAnsi="Times New Roman" w:cs="B Nazanin" w:eastAsia="B Nazanin"/>
          <w:color w:val="595959"/>
          <w:sz w:val="20"/>
          <w:szCs w:val="20"/>
          <w:lang w:val="en-US" w:eastAsia="en-US" w:bidi="fa-IR"/>
        </w:rPr>
        <w:t xml:space="preserve">منبع: کنوانسیون وین حقوق معاهدات (۱۹۶۹)، مواد ۳۹ تا ۴۱، ۴۶ تا ۵۳، ۵۴، ۵۶، ۵۷ و ۶۰ تا ۶۴؛ با صورت‌بندی نگارنده.</w:t>
      </w:r>
    </w:p>
    <w:p>
      <w:pPr>
        <w:pStyle w:val="TH-TblAfter"/>
      </w:pPr>
      <w:r>
        <w:t xml:space="preserve"/>
      </w:r>
    </w:p>
    <w:p>
      <w:pPr>
        <w:pStyle w:val="TH-Body"/>
      </w:pPr>
      <w:r>
        <w:t xml:space="preserve">دو تذکر.</w:t>
      </w:r>
      <w:r>
        <w:t xml:space="preserve"> </w:t>
      </w:r>
      <w:r>
        <w:t xml:space="preserve">تذکر نخست:</w:t>
      </w:r>
      <w:r>
        <w:t xml:space="preserve"> مرتبهٔ «صفر» در این جدول گنجانده شد تا روشن شود که مراتب، از «وفای کامل» آغاز می‌شود و عدول، خروج از آن است؛ نه آن‌که عدول، یک گزینهٔ هم‌سنگ با وفا باشد. </w:t>
      </w:r>
      <w:r>
        <w:t xml:space="preserve">تذکر دوم:</w:t>
      </w:r>
      <w:r>
        <w:t xml:space="preserve"> مرتبهٔ پنجم (اعلام بی‌اعتباری)، از جهت آثار، با مراتب دوم تا چهارم متفاوت است؛ زیرا آثار گذشته را نیز تحت تأثیر قرار می‌دهد (مواد ۶۹ و ۷۱)، در حالی که خروج و تعلیق، تنها آثار آتی را متوقف می‌سازند (مواد ۷۰ و ۷۲). ازاین‌رو، انتخاب این مرتبه، نیازمند دقت بیشتر و بار اثبات سنگین‌تر است.</w:t>
      </w:r>
    </w:p>
    <w:p>
      <w:pPr>
        <w:pStyle w:val="TH-Goftar"/>
      </w:pPr>
      <w:r>
        <w:t xml:space="preserve">پیوست دوم: مراتب چهارگانهٔ اختیار ولی فقیه</w:t>
      </w:r>
    </w:p>
    <w:p>
      <w:pPr>
        <w:pStyle w:val="TH-Body"/>
      </w:pPr>
      <w:r>
        <w:t xml:space="preserve">این جدول، مراتب چهارگانهٔ اختیار ولی فقیه را که در گفتار دوم فصل اول تحلیل شد، خلاصه می‌کند و جایگاه مسئلهٔ حاضر را در این مراتب نشان می‌دهد.</w:t>
      </w:r>
    </w:p>
    <w:p>
      <w:pPr>
        <w:pStyle w:val="TH-TblCaption"/>
        <w:keepNext/>
      </w:pPr>
      <w:bookmarkStart w:id="4013" w:name="_Toc_tbl013"/>
      <w:bookmarkEnd w:id="4013"/>
      <w:r>
        <w:rPr>
          <w:rFonts w:ascii="Times New Roman" w:hAnsi="Times New Roman" w:cs="B Nazanin" w:eastAsia="B Nazanin"/>
          <w:b/>
          <w:bCs/>
          <w:color w:val="1A1A1A"/>
          <w:sz w:val="22"/>
          <w:szCs w:val="22"/>
          <w:lang w:val="en-US" w:eastAsia="en-US" w:bidi="fa-IR"/>
        </w:rPr>
        <w:t xml:space="preserve">جدول ۱۳: مراتب چهارگانهٔ اختیار ولی فقیه</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مرتبه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عنوان</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قلمرو</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مبنای استدلالی</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نسبت با مسئلهٔ حاضر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یکم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افتاء</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بیان حکم کلی شرعی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اجتهاد و اعلمیت؛ روایات ارجاع به راویان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لازم، اما کافی نیست؛ زیرا فتوا، تکلیف کلی بیان می‌کند، نه تصمیم موردی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قضاوت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خصومت و صدور حکم قضایی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روایات قضاوت؛ مقبولهٔ عمر بن حنظله؛ توقیع اسحاق بن یعقوب</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مرتبط تنها در فرض طرح اختلاف در مرجع قضایی صالح</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ولایت در امور حسبیه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اموری که شارع راضی به ترک آن‌ها نیست و متولّی معینی ندارد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اجماع؛ روایات؛ تحلیل خراسانی و انصاری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قلمرو مسئلهٔ حاضر را پوشش نمی‌دهد؛ زیرا معاهده، متولّی معین دارد</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ولایت مطلقهٔ سیاسی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تصمیم‌های کلان حکومتی در همهٔ شئون ادارهٔ جامعهٔ اسلامی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نامهٔ ۱۶ دی ۱۳۶۶؛ اصول ۵، ۵۷ و ۱۱۰ قانون اساسی؛ تبارشناسی نراقی تا امام</w:t>
            </w:r>
          </w:p>
        </w:tc>
        <w:tc>
          <w:tcPr>
            <w:tcW w:w="1700" w:type="dxa"/>
            <w:tcMar>
              <w:top w:w="60" w:type="dxa"/>
              <w:left w:w="90" w:type="dxa"/>
              <w:bottom w:w="60" w:type="dxa"/>
              <w:right w:w="90" w:type="dxa"/>
            </w:tcMar>
            <w:vAlign w:val="center"/>
          </w:tcPr>
          <w:p>
            <w:pPr>
              <w:pStyle w:val="TH-TblCell"/>
            </w:pPr>
            <w:r>
              <w:rPr>
                <w:b/>
                <w:bCs/>
                <w:rFonts w:ascii="Times New Roman" w:hAnsi="Times New Roman" w:cs="B Nazanin" w:eastAsia="B Nazanin"/>
                <w:color w:val="1A1A1A"/>
                <w:sz w:val="22"/>
                <w:szCs w:val="22"/>
                <w:lang w:val="en-US" w:eastAsia="en-US" w:bidi="fa-IR"/>
              </w:rPr>
              <w:t xml:space="preserve">محلّ اصلی مسئلهٔ حاضر</w:t>
            </w:r>
            <w:r>
              <w:rPr>
                <w:rFonts w:ascii="Times New Roman" w:hAnsi="Times New Roman" w:cs="B Nazanin" w:eastAsia="B Nazanin"/>
                <w:color w:val="1A1A1A"/>
                <w:sz w:val="22"/>
                <w:szCs w:val="22"/>
                <w:lang w:val="en-US" w:eastAsia="en-US" w:bidi="fa-IR"/>
              </w:rPr>
              <w:t xml:space="preserve">؛ و صلاحیت تصمیم، از همین مرتبه استنباط می‌شود</w:t>
            </w:r>
          </w:p>
        </w:tc>
      </w:tr>
    </w:tbl>
    <w:p>
      <w:pPr>
        <w:pStyle w:val="TH-TblSrc"/>
      </w:pPr>
      <w:r>
        <w:rPr>
          <w:rFonts w:ascii="Times New Roman" w:hAnsi="Times New Roman" w:cs="B Nazanin" w:eastAsia="B Nazanin"/>
          <w:color w:val="595959"/>
          <w:sz w:val="20"/>
          <w:szCs w:val="20"/>
          <w:lang w:val="en-US" w:eastAsia="en-US" w:bidi="fa-IR"/>
        </w:rPr>
        <w:t xml:space="preserve">منبع: قانون اساسی جمهوری اسلامی ایران، اصول ۵، ۵۷، ۱۰۷ و ۱۱۰؛ و منابع فقه سیاسی (خمینی، ولایت فقیه: حکومت اسلامی؛ نراقی، عوائد الایام، عایدهٔ ۵۴).</w:t>
      </w:r>
    </w:p>
    <w:p>
      <w:pPr>
        <w:pStyle w:val="TH-TblAfter"/>
      </w:pPr>
      <w:r>
        <w:t xml:space="preserve"/>
      </w:r>
    </w:p>
    <w:p>
      <w:pPr>
        <w:pStyle w:val="TH-Body"/>
      </w:pPr>
      <w:r>
        <w:t xml:space="preserve">نتیجهٔ این جدول.</w:t>
      </w:r>
      <w:r>
        <w:t xml:space="preserve"> ادلهٔ مراتب سه‌گانهٔ نخست، به‌تنهایی برای اثبات صلاحیت ولی فقیه در مسئلهٔ عدول از معاهده کافی نیست؛ زیرا قلمرو آن‌ها محدودتر از قلمرو مسئله است. صلاحیت، از مرتبهٔ چهارم استنباط می‌شود؛ و این استنباط، نیازمند دو واسطه است: </w:t>
      </w:r>
      <w:r>
        <w:t xml:space="preserve">واسطهٔ نخست،</w:t>
      </w:r>
      <w:r>
        <w:t xml:space="preserve"> فراز صریح نامهٔ ۱۶ دی ۱۳۶۶ دربارهٔ لغو یک‌جانبهٔ قراردادهای شرعی هنگام مخالفت با منافع کشور و اسلام. </w:t>
      </w:r>
      <w:r>
        <w:t xml:space="preserve">واسطهٔ دوم،</w:t>
      </w:r>
      <w:r>
        <w:t xml:space="preserve"> بندهای عام اصل ۱۱۰ قانون اساسی (بندهای ۱، ۷ و ۸). فقدان هر یک از این دو واسطه، استنباط را ناتمام می‌سازد.</w:t>
      </w:r>
    </w:p>
    <w:p>
      <w:pPr>
        <w:pStyle w:val="TH-Goftar"/>
      </w:pPr>
      <w:r>
        <w:t xml:space="preserve">پیوست سوم: فهرست نصوص کلیدی قرآنی و روایی</w:t>
      </w:r>
    </w:p>
    <w:p>
      <w:pPr>
        <w:pStyle w:val="TH-Body"/>
      </w:pPr>
      <w:r>
        <w:t xml:space="preserve">این فهرست، نصوص کلیدی مورد استناد در رساله را با نشانی دقیق و با ذکر جهت دلالت، در یک نگاه گرد می‌آورد؛ تا خواننده بتواند به‌سرعت به مبنای هر استدلال دسترسی یابد.</w:t>
      </w:r>
    </w:p>
    <w:p>
      <w:pPr>
        <w:pStyle w:val="TH-TblCaption"/>
        <w:keepNext/>
      </w:pPr>
      <w:bookmarkStart w:id="4014" w:name="_Toc_tbl014"/>
      <w:bookmarkEnd w:id="4014"/>
      <w:r>
        <w:rPr>
          <w:rFonts w:ascii="Times New Roman" w:hAnsi="Times New Roman" w:cs="B Nazanin" w:eastAsia="B Nazanin"/>
          <w:b/>
          <w:bCs/>
          <w:color w:val="1A1A1A"/>
          <w:sz w:val="22"/>
          <w:szCs w:val="22"/>
          <w:lang w:val="en-US" w:eastAsia="en-US" w:bidi="fa-IR"/>
        </w:rPr>
        <w:t xml:space="preserve">جدول ۱۴: نصوص کلیدی قرآنی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نشانی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عبارت محوری</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جهت دلالت</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استفاده در رساله</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مائده: 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أَوْفُوا بِالْعُقُودِ</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عام وفا؛ امّ ادلهٔ باب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اول</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نحل: ۹۱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وَأَوْفُوا بِعَهْدِ اللَّهِ إِذَا عَاهَدْتُمْ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وفا در پیمان دوجانبه؛ خدا به‌عنوان ضامن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نحل: ۹۲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وَلَا تَکُونُوا کَالَّتِی نَقَضَتْ غَزْلَهَا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قبح عقلی نقض؛ عبث بودن عهدشکنی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و پنجم؛ ضابطهٔ هشتم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اسراء: ۳۴</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وَأَوْفُوا بِالْعَهْدِ ۖ إِنَّ الْعَهْدَ کَانَ مَسْئُولًا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مسئولیت‌پذیری در برابر عهد</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رعد: ۲۰–۲۵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یُوفُونَ بِعَهْدِ اللَّهِ وَلَا یَنْقُضُونَ الْمِیثَاقَ</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وفای به عهد از اوصاف اولی‌الالباب؛ نقض میثاق = فساد در زمین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مؤمنون: ۸؛ معارج: ۳۲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لِأَمَانَتِهِمْ وَعَهْدِهِمْ رَاعُونَ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رعایت مستمر عهد و امانت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اول،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توبه: ۴</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فَأَتِمُّوا إِلَیْهِمْ عَهْدَهُمْ إِلَىٰ مُدَّتِهِمْ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وفای به عهد با غیرناقض؛ اصالة اللزوم؛ تناسب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دوم؛ ضابطهٔ چهارم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توبه: ۶</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وَإِنْ أَحَدٌ مِنَ الْمُشْرِکِینَ اسْتَجَارَکَ فَأَجِرْهُ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جهان‌شمولی امان؛ اعطای امان به مشرک محارب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هشتم، بند چهارم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توبه: ۷</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فَمَا اسْتَقَامُوا لَکُمْ فَاسْتَقِیمُوا لَهُمْ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تقابل؛ مبنای عدول واکنشی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سوم؛ فصل پنجم، گفتار چهارم، بند سوم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انفال: ۲۷</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 تَخُونُوا اللَّهَ وَالرَّسُولَ وَتَخُونُوا أَمَانَاتِکُمْ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حرمت خیانت در امانت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ششم،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انفال: ۵۸</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فَانْبِذْ إِلَیْهِمْ عَلَىٰ سَوَاءٍ</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آشکار و مستند؛ سه تفسیر؛ مستند بودن بیم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پنجم؛ فصل سوم، گفتار دوم، بند دوم؛ ضوابط نخست و ششم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انفال: ۷۲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إِلَّا عَلَىٰ قَوْمٍ بَیْنَکُمْ وَبَیْنَهُمْ مِیثَاقٌ</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توقف نصرت دینی در برابر میثاق؛ لزوم اهمّ بودن مجوز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دوم،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نساء: ۵۸</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أَنْ تُؤَدُّوا الْأَمَانَاتِ إِلَىٰ أَهْلِهَا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امانت حکومتی؛ خطاب به حاکمان</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هفتم، بند اول</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نساء: ۱۴۱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وَلَنْ یَجْعَلَ اللَّهُ لِلْکَافِرِینَ عَلَى الْمُؤْمِنِینَ سَبِیلًا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نفی سبیل؛ سقف‌گذاری؛ اصل ۱۵۳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ششم، بند سوم؛ ضابطهٔ هفتم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حج: ۷۸؛ بقره: ۱۸۵</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وَمَا جَعَلَ عَلَیْکُمْ فِی الدِّینِ مِنْ حَرَجٍ / یُرِیدُ اللَّهُ بِکُمُ الْیُسْرَ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مبنای قاعدهٔ لاحرج</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سوم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مائده: ۸۹</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وَاحْفَظُوا أَیْمَانَکُمْ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تأکید التزام؛ مؤید قاعدهٔ وفا</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هفتم، بند دوم</w:t>
            </w:r>
          </w:p>
        </w:tc>
      </w:tr>
    </w:tbl>
    <w:p>
      <w:pPr>
        <w:pStyle w:val="TH-TblSrc"/>
      </w:pPr>
      <w:r>
        <w:rPr>
          <w:rFonts w:ascii="Times New Roman" w:hAnsi="Times New Roman" w:cs="B Nazanin" w:eastAsia="B Nazanin"/>
          <w:color w:val="595959"/>
          <w:sz w:val="20"/>
          <w:szCs w:val="20"/>
          <w:lang w:val="en-US" w:eastAsia="en-US" w:bidi="fa-IR"/>
        </w:rPr>
        <w:t xml:space="preserve">منبع: قرآن کریم؛ ترجمهٔ فارسی از مهدی فولادوند و ناصر مکارم شیرازی.</w:t>
      </w:r>
    </w:p>
    <w:p>
      <w:pPr>
        <w:pStyle w:val="TH-TblAfter"/>
      </w:pPr>
      <w:r>
        <w:t xml:space="preserve"/>
      </w:r>
    </w:p>
    <w:p>
      <w:pPr>
        <w:pStyle w:val="TH-TblCaption"/>
        <w:keepNext/>
      </w:pPr>
      <w:bookmarkStart w:id="4015" w:name="_Toc_tbl015"/>
      <w:bookmarkEnd w:id="4015"/>
      <w:r>
        <w:rPr>
          <w:rFonts w:ascii="Times New Roman" w:hAnsi="Times New Roman" w:cs="B Nazanin" w:eastAsia="B Nazanin"/>
          <w:b/>
          <w:bCs/>
          <w:color w:val="1A1A1A"/>
          <w:sz w:val="22"/>
          <w:szCs w:val="22"/>
          <w:lang w:val="en-US" w:eastAsia="en-US" w:bidi="fa-IR"/>
        </w:rPr>
        <w:t xml:space="preserve">جدول ۱۵: نصوص کلیدی روایی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126"/>
        <w:gridCol w:w="2126"/>
        <w:gridCol w:w="2126"/>
        <w:gridCol w:w="2126"/>
      </w:tblGrid>
      <w:tr>
        <w:trPr>
          <w:tblHeader/>
          <w:cantSplit/>
        </w:trPr>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نصّ</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منبع</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جهت دلالت</w:t>
            </w:r>
          </w:p>
        </w:tc>
        <w:tc>
          <w:tcPr>
            <w:tcW w:w="2126"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استفاده در رساله</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الْمُؤْمِنُونَ عِنْدَ شُرُوطِهِمْ (و: الْمُسْلِمُونَ عِنْدَ شُرُوطِهِمْ إِلَّا شَرْطاً خَالَفَ کِتَابَ اللَّهِ)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الکافی، کتاب المعیشة؛ من لا یحضره الفقیه؛ تهذیب الاحکام؛ وسائل الشیعه، ج ۱۸، أبواب الخیار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وجوب وفای به شروط؛ قید مخالفت با کتاب الله به‌عنوان سقف</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بند اول (با بررسی سندی)؛ ضابطهٔ هفتم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وَإِنْ عَقَدْتَ بَیْنَکَ وَبَیْنَ عَدُوِّکَ عُقْدَةً… فَحُطْ عَهْدَکَ بِالْوَفَاءِ وَارْعَ ذِمَّتَکَ بِالْأَمَانَةِ وَاجْعَلْ نَفْسَکَ جُنَّةً دُونَمَا أَعْطَیْتَ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نهج البلاغه، نامهٔ ۵۳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وفای حاکم به عهد حتی به قیمت ضرر شخصی؛ قید بر لاضرر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بند دوم؛ فصل چهارم، گفتار سوم، بند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فَإِنَّهُ لَیْسَ مِنْ فَرَائِضِ اللَّهِ… أَشَدُّ عَلَیْهِ اجْتِمَاعاً… مِنْ تَعْظِیمِ الْوَفَاءِ بِالْعُهُودِ وَقَدْ لَزِمَ ذَلِکَ الْمُشْرِکُونَ… لِمَا اسْتَوْبَلُوا مِنْ عَوَاقِبِ الْغَدْرِ فَلَا تَغْدِرَنَّ بِذِمَّتِکَ</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نهج البلاغه، نامهٔ ۵۳</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استناد صریح معصوم به بنای عقلا؛ جهان‌شمولی؛ علت عقلانی (عواقب غدر) = محاسبهٔ آثار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و پنجم؛ ضابطهٔ هشتم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 إِیمَانَ لِمَنْ لَا أَمَانَةَ لَهُ وَلَا دِینَ لِمَنْ لَا عَهْدَ لَهُ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الخصال؛ وسائل الشیعه؛ بحار الانوار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نفی دین از ناقض عهد؛ قبح شرعی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بند سوم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لِکُلِّ غَادِرٍ لِوَاءٌ یَوْمَ الْقِیَامَةِ یُعْرَفُ بِهِ</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بحار الانوار؛ و نیز صحیح مسلم، کتاب الجهاد و السیر</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رسوایی عمومی غادر؛ اهمیت اعتبار و حیثیت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سوم، بند سوم؛ ضابطهٔ هشتم؛ راهبرد پنجم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ذِمَّةُ الْمُسْلِمِینَ وَاحِدَةٌ یَسْعَىٰ بِهَا أَدْنَاهُمْ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الکافی، کتاب الجهاد؛ وسائل الشیعه، ابواب جهاد</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وحدت ذمه؛ دامنهٔ فرد تا حکومت؛ مبنای انتساب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پنجم، بند سوم؛ فصل سوم، گفتار سوم، بند سوم؛ فصل پنجم، گفتار دوم</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 ضَرَرَ وَ لَا ضِرَارَ فِی الْإِسْلَامِ</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الکافی؛ تهذیب الاحکام؛ من لا یحضره الفقیه؛ وسائل الشیعه (روایت سمره بن جندب)</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نفی حکم ضرری؛ مبنای مؤید جواز عدول</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سوم، بند اول</w:t>
            </w:r>
          </w:p>
        </w:tc>
      </w:tr>
      <w:tr>
        <w:trPr>
          <w:cantSplit/>
        </w:trPr>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نامهٔ مورخ ۱۶ دی ۱۳۶۶ به سیدعلی خامنه‌ای</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صحیفهٔ امام، ج ۲۰، ص ۴۵۱–۴۵۲</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حکم حکومتی به‌عنوان حکم اولیه؛ لغو یک‌جانبهٔ قراردادها؛ قید مخالفت با منافع کشور و اسلام؛ قید «مادامی که چنین است»</w:t>
            </w:r>
          </w:p>
        </w:tc>
        <w:tc>
          <w:tcPr>
            <w:tcW w:w="2126"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دوم، بندهای دوم تا چهارم؛ ضوابط سوم، پنجم و هشتم</w:t>
            </w:r>
          </w:p>
        </w:tc>
      </w:tr>
    </w:tbl>
    <w:p>
      <w:pPr>
        <w:pStyle w:val="TH-TblSrc"/>
      </w:pPr>
      <w:r>
        <w:rPr>
          <w:rFonts w:ascii="Times New Roman" w:hAnsi="Times New Roman" w:cs="B Nazanin" w:eastAsia="B Nazanin"/>
          <w:color w:val="595959"/>
          <w:sz w:val="20"/>
          <w:szCs w:val="20"/>
          <w:lang w:val="en-US" w:eastAsia="en-US" w:bidi="fa-IR"/>
        </w:rPr>
        <w:t xml:space="preserve">منبع: کلینی، الکافی؛ صدوق، من لا یحضره الفقیه و الخصال؛ حر عاملی، تفصیل وسائل الشیعه؛ طوسی، تهذیب الاحکام؛ مجلسی، بحار الانوار؛ شریف رضی، نهج البلاغه.</w:t>
      </w:r>
    </w:p>
    <w:p>
      <w:pPr>
        <w:pStyle w:val="TH-TblAfter"/>
      </w:pPr>
      <w:r>
        <w:t xml:space="preserve"/>
      </w:r>
    </w:p>
    <w:p>
      <w:pPr>
        <w:pStyle w:val="TH-Goftar"/>
      </w:pPr>
      <w:r>
        <w:t xml:space="preserve">پیوست چهارم: چک‌لیست هشت‌گانهٔ تصمیم‌گیری دربارهٔ عدول از معاهده</w:t>
      </w:r>
    </w:p>
    <w:p>
      <w:pPr>
        <w:pStyle w:val="TH-Body"/>
      </w:pPr>
      <w:r>
        <w:t xml:space="preserve">این چک‌لیست، صورت عملی ضوابط هشت‌گانهٔ فصل چهارم است و برای استفادهٔ دستگاه‌های تصمیم‌گیر و کارشناسی تدوین شده است. ترتیب گام‌ها، ترتیب زمانی تصمیم‌گیری است؛ و دو ویژه‌گی آن حائز اهمیت است: گام‌های ۱ و ۲ «پیش‌نیاز» هستند؛ و چک‌لیست، خطی نیست، بلکه دارای «حلقهٔ بازگشت» است (گام ۷ می‌تواند نتیجهٔ گام‌های پیشین را معکوس کند).</w:t>
      </w:r>
    </w:p>
    <w:p>
      <w:pPr>
        <w:pStyle w:val="TH-TblCaption"/>
        <w:keepNext/>
      </w:pPr>
      <w:bookmarkStart w:id="4016" w:name="_Toc_tbl016"/>
      <w:bookmarkEnd w:id="4016"/>
      <w:r>
        <w:rPr>
          <w:rFonts w:ascii="Times New Roman" w:hAnsi="Times New Roman" w:cs="B Nazanin" w:eastAsia="B Nazanin"/>
          <w:b/>
          <w:bCs/>
          <w:color w:val="1A1A1A"/>
          <w:sz w:val="22"/>
          <w:szCs w:val="22"/>
          <w:lang w:val="en-US" w:eastAsia="en-US" w:bidi="fa-IR"/>
        </w:rPr>
        <w:t xml:space="preserve">جدول ۱۶: چک‌لیست عملی: گام‌ها، معیارهای احراز و خروجی‌ها</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گام</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اقدام</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معیار احراز</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خروجی مورد انتظار</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مسئول پیشنهادی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تفسیر دقیق تعهدات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۳۱ و ۳۲ کنوانسیون وین؛ سیاق؛ موضوع و هدف؛ توافقات و رفتار بعدی؛ سوابق انعقاد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تفسیری از دامنهٔ دقیق هر تعهد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دستگاه دیپلماسی + مشاور حقوقی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۲</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آزمون راه‌های حقوقی مندرج</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۵۴ تا ۶۴ کنوانسیون وین؛ متن معاهده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فهرست گزینه‌های ممکن به ترتیب هزینهٔ فزاینده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دستگاه دیپلماسی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۳</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احراز تزاحم واقعی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 عنصر ضابطهٔ نخست: تعیین مصداق اهمّ؛ مستندات کارشناسی؛ اثبات عدم امکان جمع؛ اثبات نبود مجرای دیگر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کارشناسی مستند با تعیین مصداق اهمّ از میان چهار مصداق محدود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نهاد کارشناسی تخصصی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مشورت نهادی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اصول ۱۱۲ و ۱۷۶ قانون اساسی؛ پنج عنصر گزارش کارشناسی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مصوبهٔ کارشناسی با پنج عنصر ضروری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مجمع تشخیص مصلحت نظام؛ شورای عالی امنیت ملی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۵</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تعیین مرتبهٔ اقدام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تناسب (سه مرتبه: موضوعی، زمانی، شدتی)؛ اصل تدریج؛ مراتب پنج‌گانهٔ پیوست یکم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 دربارهٔ بازنگری / تعلیق جزئی / تعلیق کامل / خروج / اعلام بی‌اعتباری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تصمیم‌گیر نهایی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۶</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آزمون سقف‌گذاری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آمره؛ تعهدات حقوق بشری و بشردوستانه؛ قاعدهٔ نفی سبیل و اصل ۱۵۳ قانون اساسی؛ بند ۵ مادهٔ ۶۰ و مواد ۵۳ و ۶۴ کنوانسیون وین؛ مواد ۲۶ و ۵۰ طرح مواد مسئولیت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گواهی عدم تعرض به تعهدات سقفی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مشاور حقوقی + نهاد کارشناسی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۷</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محاسبهٔ آثار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شش عنصر ضابطهٔ هشتم: مسئولیت بین‌المللی؛ اقدام متقابل؛ ارجاع به مراجع بین‌المللی؛ آثار اقتصادی؛ آثار سیاسی و دیپلماتیک؛ فرسایش اعتبار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گزارش کامل هزینه‌فایده با سناریوهای جایگزین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نهاد کارشناسی تخصصی + دستگاه دیپلماسی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۸</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رسمی و مستدل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 مواد ۶۵ تا ۶۸ کنوانسیون وین؛ چهار عنصر اعلام موجه (کتبی و رسمی؛ ذکر اقدام؛ ذکر دلایل؛ اعطای مهلت)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کتبی امضاشده توسط مقام صالح، با ذکر اقدام پیشنهادی، دلایل و مهلت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وزارت امور خارجه با تأیید مقام صالح</w:t>
            </w:r>
          </w:p>
        </w:tc>
      </w:tr>
    </w:tbl>
    <w:p>
      <w:pPr>
        <w:pStyle w:val="TH-TblSrc"/>
      </w:pPr>
      <w:r>
        <w:rPr>
          <w:rFonts w:ascii="Times New Roman" w:hAnsi="Times New Roman" w:cs="B Nazanin" w:eastAsia="B Nazanin"/>
          <w:color w:val="595959"/>
          <w:sz w:val="20"/>
          <w:szCs w:val="20"/>
          <w:lang w:val="en-US" w:eastAsia="en-US" w:bidi="fa-IR"/>
        </w:rPr>
        <w:t xml:space="preserve">منبع: صورت‌بندی نگارنده بر پایهٔ ضوابط هشت‌گانهٔ فصل چهارم و مجراهای معاهده‌ای کنوانسیون وین حقوق معاهدات.</w:t>
      </w:r>
    </w:p>
    <w:p>
      <w:pPr>
        <w:pStyle w:val="TH-TblAfter"/>
      </w:pPr>
      <w:r>
        <w:t xml:space="preserve"/>
      </w:r>
    </w:p>
    <w:p>
      <w:pPr>
        <w:pStyle w:val="TH-Body"/>
      </w:pPr>
      <w:r>
        <w:t xml:space="preserve">دو قید تکمیلی.</w:t>
      </w:r>
      <w:r>
        <w:t xml:space="preserve"> </w:t>
      </w:r>
      <w:r>
        <w:t xml:space="preserve">قید نخست (بازبینی مستمر):</w:t>
      </w:r>
      <w:r>
        <w:t xml:space="preserve"> بر اساس فراز «مادامی که چنین است» در نامهٔ امام، تصمیم اتخاذشده، مقید به تداوم تزاحم است؛ ازاین‌رو، باید سازوکار بازبینی دوره‌ای (پیشنهاد این رساله: سالانه) و سازوکار بازگشت در خود تصمیم پیش‌بینی شود. </w:t>
      </w:r>
      <w:r>
        <w:t xml:space="preserve">قید دوم (تأیید پسینی مجلس):</w:t>
      </w:r>
      <w:r>
        <w:t xml:space="preserve"> بر اساس داوری این رساله در گفتار پنجم فصل پنجم، در هر دو فرض (مجرای عادی و مجرای اضطراری)، پیش‌بینی تأیید پسینی مجلس شورای اسلامی برای تأمین مشروعیت دموکراتیک تصمیم، ضروری است.</w:t>
      </w:r>
    </w:p>
    <w:p>
      <w:pPr>
        <w:pStyle w:val="TH-Goftar"/>
      </w:pPr>
      <w:r>
        <w:t xml:space="preserve">پیوست پنجم: جدول تطبیقی سه نظام هنجاری</w:t>
      </w:r>
    </w:p>
    <w:p>
      <w:pPr>
        <w:pStyle w:val="TH-Body"/>
      </w:pPr>
      <w:r>
        <w:t xml:space="preserve">این جدول، نهادهای متناظر در سه نظام هنجاری (فقه امامیه، حقوق معاهدات، و حقوق مسئولیت بین‌المللی) را در یک نگاه گرد می‌آورد و «درجهٔ هم‌خوانی» آن‌ها را نشان می‌دهد. هدف از این تطبیق، یکدست‌سازی سه نظام نیست؛ بلکه نشان دادن آن است که عقلانیت حقوقی بشر، در بسترهای مستقل، به قیود و نهادهای مشابهی رسیده است؛ و همین هم‌خوانی، «دوزبانگی توجیهی» را ممکن می‌سازد.</w:t>
      </w:r>
    </w:p>
    <w:p>
      <w:pPr>
        <w:pStyle w:val="TH-TblCaption"/>
        <w:keepNext/>
      </w:pPr>
      <w:bookmarkStart w:id="4017" w:name="_Toc_tbl017"/>
      <w:bookmarkEnd w:id="4017"/>
      <w:r>
        <w:rPr>
          <w:rFonts w:ascii="Times New Roman" w:hAnsi="Times New Roman" w:cs="B Nazanin" w:eastAsia="B Nazanin"/>
          <w:b/>
          <w:bCs/>
          <w:color w:val="1A1A1A"/>
          <w:sz w:val="22"/>
          <w:szCs w:val="22"/>
          <w:lang w:val="en-US" w:eastAsia="en-US" w:bidi="fa-IR"/>
        </w:rPr>
        <w:t xml:space="preserve">جدول ۱۷: تطبیق نهادها در سه نظام هنجاری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1700"/>
        <w:gridCol w:w="1700"/>
        <w:gridCol w:w="1700"/>
        <w:gridCol w:w="1700"/>
        <w:gridCol w:w="1700"/>
      </w:tblGrid>
      <w:tr>
        <w:trPr>
          <w:tblHeader/>
          <w:cantSplit/>
        </w:trPr>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نهاد / مسئله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فقه امامیه</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حقوق معاهدات (کنوانسیون وین ۱۹۶۹)</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حقوق مسئولیت (طرح مواد ۲۰۰۱)</w:t>
            </w:r>
          </w:p>
        </w:tc>
        <w:tc>
          <w:tcPr>
            <w:tcW w:w="1700"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درجهٔ هم‌خوانی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لزوم وفای به تعهد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أَوْفُوا بِالْعُقُودِ؛ حدیث شروط؛ اصالة اللزوم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۲۶ (pacta sunt servanda) و حسن نیت در اجرا</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۱۲ (نقض تعهد)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منع استناد به حقوق داخلی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 (مسئله در فقه، موضوعیت ندارد)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۲۷؛ استثنای مضیق مادهٔ ۴۶ در مرحلهٔ انعقاد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۳؛ مادهٔ ۳۲</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یک‌جانبه (تنها در دو نظام حقوقی)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آشکار پیش از عدول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 (انفال/۵۸)؛ اعلان برائت در موسم حج</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۶۵ تا ۶۸ (اعلام کتبی، ذکر دلایل، مهلت نه کمتر از سه ماه)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۵۲ (فراخوان پیشین و اعلام رسمی در اقدام متقابل)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 در پاسخ به نقض طرف مقابل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فَمَا اسْتَقَامُوا لَکُمْ فَاسْتَقِیمُوا لَهُمْ؛ سیرهٔ پایان عهد قریش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۱ مادهٔ ۶۰ (نقض اساسی)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۲۲؛ مواد ۴۹ تا ۵۴ (اقدام متقابل)</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تغییر شرایط</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 با مصلحت اهمّ؛ لاضرر و لاحرج</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۶۲ (تغییر بنیادین اوضاع)؛ مادهٔ ۶۱ (عدم امکان اجرا)</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۲۳، ۲۴ و ۲۵ (فورس ماژور، اضطرار، ضرورت)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جزئی (آستانهٔ مادهٔ ۲۵ سخت‌گیرانه‌تر)</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سقف‌گذاری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قید «شَرطاً خَالَفَ کِتَابَ اللَّهِ»؛ قاعدهٔ نفی سبیل؛ اصل ۱۵۳ قانون اساسی</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بند ۵ مادهٔ ۶۰ (حمایت از شخص انسان)؛ مواد ۵۳ و ۶۴ (قواعد آمره)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۲۶؛ بند ۱ مادهٔ ۵۰؛ مواد ۴۰ و ۴۱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تناسب اقدام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تقیید به قدر متیقن؛ تفکیک ناقض از غیرناقض (توبه/۴)</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۵۷ و ۶۲ (تعلیق مقدم بر خاتمه در فروض متعدد)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۵۱ (تناسب در اقدام متقابل)؛ مادهٔ ۳۷ بند ۳</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تدریجی بودن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فراز «مادامی که چنین است» در نامهٔ امام</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۵۷، ۶۰ تا ۶۲؛ مادهٔ ۵۶ (اطلاع قبلی دوازده ماه)</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مادهٔ ۵۳ (پایان اقدام متقابل با تحقق هدف)</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کامل</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جبران زیان</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ضمان؛ غرامت؛ قاعدهٔ لاضرر؛ بار جبرانی در ترتب</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۶۹ تا ۷۲ (آثار بی‌اعتباری، خاتمه و تعلیق)</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۳۱ و ۳۴ تا ۳۷؛ معیار کورژوف (۱۹۲۸)</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بالا</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انتساب رفتار به دولت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ذِمَّةُ الْمُسْلِمِینَ وَاحِدَةٌ؛ نمایندگی حاکم از امت</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 (در کنوانسیون وین موضوعیت ندارد)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۴، ۵، ۷ و ۱۱</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یک‌جانبه (با مؤید فقهی)</w:t>
            </w:r>
          </w:p>
        </w:tc>
      </w:tr>
      <w:tr>
        <w:trPr>
          <w:cantSplit/>
        </w:trPr>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محاسبهٔ آثار و عواقب</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فراز «لِمَا اسْتَوْبَلُوا مِنْ عَوَاقِبِ الْغَدْرِ»؛ نحل/۹۲ (عبث بودن نقض)</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 (ضمنی در آیین ادعا)</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کل بخش دوم طرح مواد</w:t>
            </w:r>
          </w:p>
        </w:tc>
        <w:tc>
          <w:tcPr>
            <w:tcW w:w="1700"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بالا (با مؤید روایی قوی)</w:t>
            </w:r>
          </w:p>
        </w:tc>
      </w:tr>
    </w:tbl>
    <w:p>
      <w:pPr>
        <w:pStyle w:val="TH-TblSrc"/>
      </w:pPr>
      <w:r>
        <w:rPr>
          <w:rFonts w:ascii="Times New Roman" w:hAnsi="Times New Roman" w:cs="B Nazanin" w:eastAsia="B Nazanin"/>
          <w:color w:val="595959"/>
          <w:sz w:val="20"/>
          <w:szCs w:val="20"/>
          <w:lang w:val="en-US" w:eastAsia="en-US" w:bidi="fa-IR"/>
        </w:rPr>
        <w:t xml:space="preserve">منبع: برگرفته از تحلیل نگارنده در فصل‌های سوم تا پنجم؛ منابع: کنوانسیون وین حقوق معاهدات، طرح مواد مسئولیت بین‌المللی دولت‌ها، قانون اساسی جمهوری اسلامی ایران و متون فقه امامیه.</w:t>
      </w:r>
    </w:p>
    <w:p>
      <w:pPr>
        <w:pStyle w:val="TH-TblAfter"/>
      </w:pPr>
      <w:r>
        <w:t xml:space="preserve"/>
      </w:r>
    </w:p>
    <w:p>
      <w:pPr>
        <w:pStyle w:val="TH-Body"/>
      </w:pPr>
      <w:r>
        <w:t xml:space="preserve">نتیجهٔ این جدول.</w:t>
      </w:r>
      <w:r>
        <w:t xml:space="preserve"> از یازده نهاد مقایسه‌شده، هفت نهاد «هم‌خوانی کامل» دارند و دو نهاد «هم‌خوانی بالا»؛ تنها دو نهاد (منع استناد به حقوق داخلی، و انتساب رفتار به دولت) در فقه امامیه برابرنهاد صریح ندارند؛ که در مورد نخست، مسئله در فقه موضوعیت ندارد، و در مورد دوم، روایت «ذمة المسلمین واحدة» مؤید آن است. این یافته، مبنای آن است که فقیه امامیه می‌تواند با نهادهای حقوق بین‌الملل معاصر گفت‌وگو کند، بدون آن‌که مبانی خود را واگذارد؛ و نیز مبنای آن است که «دوزبانگی توجیهی» (توجیه تصمیم هم در زبان فقهی و هم در زبان حقوق بین‌الملل) ممکن و بلکه مطلوب است.</w:t>
      </w:r>
    </w:p>
    <w:p>
      <w:pPr>
        <w:pStyle w:val="TH-Goftar"/>
      </w:pPr>
      <w:r>
        <w:t xml:space="preserve">پیوست ششم: واژه‌نامهٔ فنی</w:t>
      </w:r>
    </w:p>
    <w:p>
      <w:pPr>
        <w:pStyle w:val="TH-Body"/>
      </w:pPr>
      <w:r>
        <w:t xml:space="preserve">این واژه‌نامه، واژگان فنی رساله را در سه دستهٔ فقهی، حقوق معاهدات و حقوق مسئولیت، با تعریف فشرده و با نشانی محل بحث، گرد می‌آورد.</w:t>
      </w:r>
    </w:p>
    <w:p>
      <w:pPr>
        <w:pStyle w:val="TH-TblCaption"/>
        <w:keepNext/>
      </w:pPr>
      <w:bookmarkStart w:id="4018" w:name="_Toc_tbl018"/>
      <w:bookmarkEnd w:id="4018"/>
      <w:r>
        <w:rPr>
          <w:rFonts w:ascii="Times New Roman" w:hAnsi="Times New Roman" w:cs="B Nazanin" w:eastAsia="B Nazanin"/>
          <w:b/>
          <w:bCs/>
          <w:color w:val="1A1A1A"/>
          <w:sz w:val="22"/>
          <w:szCs w:val="22"/>
          <w:lang w:val="en-US" w:eastAsia="en-US" w:bidi="fa-IR"/>
        </w:rPr>
        <w:t xml:space="preserve">جدول ۱۸: واژه‌نامهٔ فقهی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واژه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تعریف فشرده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بحث</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معاهده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توافق کتبی میان دولت اسلامی و یک یا چند دولت یا سازمان بین‌المللی، به قصد ایجاد تعهدات حقوقی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اول</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عدول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خروج یک‌جانبه از اجرای تمام یا بخشی از تعهدات معاهده، در پنج مرتبه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سوم؛ پیوست یکم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مصلحت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مصلحت واقعی، نوعی و اهمّ؛ مقید به سه قید</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چهارم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تزاحم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درگیری دو حکم مجعول و حجت در مقام امتثال، به‌دلیل عدم قدرت بر جمع؛ در برابر تعارض</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اول، بند اول</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اهمّ و مهمّ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تقدیم واجب مهم‌تر در باب تزاحم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ترتب</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حفظ هر دو حکم با مقید ساختن حکم دوم به فرض عصیان حکم نخست؛ و ایجاد بار جبرانی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حکومت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توسعه یا تضییق دامنهٔ موضوع یک دلیل توسط دلیل دیگر، بدون تخصیص</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دوم،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حکم حکومتی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تصمیم ولی فقیه در شئون ادارهٔ جامعهٔ اسلامی؛ از احکام اولیه و مقدم بر احکام فرعیه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دوم، بندهای اول تا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ولایت مطلقه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مرتبهٔ چهارم از مراتب چهارگانهٔ اختیار ولی فقیه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دوم؛ پیوست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اصالة اللزوم</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در هر عقد، لزوم و استمرار است، مگر خلافش ثابت شود؛ و بار اثبات بر عهدهٔ مدعی عدول است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ششم، بند اول</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نفی سبیل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هیچ حکمی در شرع جعل نشده که موجب سلطهٔ کافران بر مسلمانان شود؛ برابرنهاد آن در اصل ۱۵۳ قانون اساسی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ششم،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لاضرر و لاحرج</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نفی حکم ضرری و نفی حکم حرجی؛ مبنای مؤید جواز عدول با سه قید</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چهارم، گفتار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بنای عقلا</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روش عملی خردمندان؛ حجت در فرض عدم ردع شارع؛ با امضای سه‌مجرایی شرع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سوم، گفتار پنجم،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انباذ علی سواء</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آشکار برهم‌خوردن عهد به نحوی که دو طرف در علم به آن برابر باشند</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پنجم؛ فصل سوم، گفتار دوم،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هدنه / امان / ذمه / صلح</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چهار نهاد فقهی پیشین؛ با سه شکاف ساختاری نسبت به معاهدهٔ معاصر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اول، گفتار پنجم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تحریر محلّ نزاع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تنقیح موضوع بحث در سه گزاره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مقدمه؛ فصل اول، گفتار سوم، بند چهارم؛ دستاورد نخست</w:t>
            </w:r>
          </w:p>
        </w:tc>
      </w:tr>
    </w:tbl>
    <w:p>
      <w:pPr>
        <w:pStyle w:val="TH-TblSrc"/>
      </w:pPr>
      <w:r>
        <w:rPr>
          <w:rFonts w:ascii="Times New Roman" w:hAnsi="Times New Roman" w:cs="B Nazanin" w:eastAsia="B Nazanin"/>
          <w:color w:val="595959"/>
          <w:sz w:val="20"/>
          <w:szCs w:val="20"/>
          <w:lang w:val="en-US" w:eastAsia="en-US" w:bidi="fa-IR"/>
        </w:rPr>
        <w:t xml:space="preserve">منبع: برگرفته از: فراهیدی، کتاب العین؛ ابن‌منظور، لسان العرب؛ راغب اصفهانی، مفردات الفاظ القرآن؛ و اصطلاحات رایج در جواهر الکلام و مکاسب.</w:t>
      </w:r>
    </w:p>
    <w:p>
      <w:pPr>
        <w:pStyle w:val="TH-TblAfter"/>
      </w:pPr>
      <w:r>
        <w:t xml:space="preserve"/>
      </w:r>
    </w:p>
    <w:p>
      <w:pPr>
        <w:pStyle w:val="TH-TblCaption"/>
        <w:keepNext/>
      </w:pPr>
      <w:bookmarkStart w:id="4019" w:name="_Toc_tbl019"/>
      <w:bookmarkEnd w:id="4019"/>
      <w:r>
        <w:rPr>
          <w:rFonts w:ascii="Times New Roman" w:hAnsi="Times New Roman" w:cs="B Nazanin" w:eastAsia="B Nazanin"/>
          <w:b/>
          <w:bCs/>
          <w:color w:val="1A1A1A"/>
          <w:sz w:val="22"/>
          <w:szCs w:val="22"/>
          <w:lang w:val="en-US" w:eastAsia="en-US" w:bidi="fa-IR"/>
        </w:rPr>
        <w:t xml:space="preserve">جدول ۱۹: واژه‌نامهٔ حقوق معاهدات</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واژه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تعریف فشرده و نشانی</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بحث</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pacta sunt servanda</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اصل لزوم اجرای معاهده با حسن نیت؛ مادهٔ ۲۶</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حق شرط (reservation)</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یک‌جانبه برای انتفا یا تعدیل اثر حقوقی مقررات معین؛ مادهٔ ۲ بند ۱ (د) و مواد ۱۹ تا ۲۳</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ششم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تفسیری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اعلامیهٔ رسمی دولت دربارهٔ تفسیر خود از مقرره‌ای معین؛ اثر کمتر از حق شرط</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ششم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نقض اساسی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رد معاهده به نحوی که مجاز نباشد، یا نقض مقرره‌ای اساسی برای تحقق موضوع و هدف؛ بند ۳ مادهٔ ۶۰</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تغییر بنیادین اوضاع</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rebus sic stantibus؛ مادهٔ ۶۲ با سه قید و دو استثنا؛ رویهٔ مضیق دیوان در گابچیکوو</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چهارم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عدم امکان اجرای بعدی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فقدان یا انهدام دائمی شیء ضروری برای اجرا؛ مادهٔ ۶۱؛ در فرض موقت، تنها تعلیق</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پنجم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آیین ادعا</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اعلام کتبی، ذکر اقدام و دلایل، مهلت نه کمتر از سه ماه؛ مواد ۶۵ تا ۶۸</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دوم، بند پنجم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آمره (jus cogens)</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قاعدهٔ مورد قبول جامعهٔ بین‌المللی به‌طور اعم که تخلف از آن مجاز نیست؛ مواد ۵۳ و ۶۴</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چهارم، بند سوم؛ ضابطهٔ هفتم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قواعد تفسیر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حسن نیت؛ معنای متعارف در سیاق و در پرتو موضوع و هدف؛ مواد ۳۱ و ۳۲</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عیوب اراده</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اشتباه، تدلیس، فساد نماینده، اجبار بر نماینده، اجبار بر دولت، تعارض با قاعدهٔ آمره؛ مواد ۴۸ تا ۵۳</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چهارم،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ثبت معاهدات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شرط استنادپذیری در برابر ارکان سازمان ملل، نه شرط اعتبار؛ مادهٔ ۱۰۲ منشور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چهارم، بند چهارم</w:t>
            </w:r>
          </w:p>
        </w:tc>
      </w:tr>
    </w:tbl>
    <w:p>
      <w:pPr>
        <w:pStyle w:val="TH-TblSrc"/>
      </w:pPr>
      <w:r>
        <w:rPr>
          <w:rFonts w:ascii="Times New Roman" w:hAnsi="Times New Roman" w:cs="B Nazanin" w:eastAsia="B Nazanin"/>
          <w:color w:val="595959"/>
          <w:sz w:val="20"/>
          <w:szCs w:val="20"/>
          <w:lang w:val="en-US" w:eastAsia="en-US" w:bidi="fa-IR"/>
        </w:rPr>
        <w:t xml:space="preserve">منبع: کنوانسیون وین حقوق معاهدات (۱۹۶۹)، مادهٔ ۲؛ ضیایی بیگدلی، حقوق معاهدات بین‌المللی؛ Aust, Modern Treaty Law and Practice.</w:t>
      </w:r>
    </w:p>
    <w:p>
      <w:pPr>
        <w:pStyle w:val="TH-TblAfter"/>
      </w:pPr>
      <w:r>
        <w:t xml:space="preserve"/>
      </w:r>
    </w:p>
    <w:p>
      <w:pPr>
        <w:pStyle w:val="TH-TblCaption"/>
        <w:keepNext/>
      </w:pPr>
      <w:bookmarkStart w:id="4020" w:name="_Toc_tbl020"/>
      <w:bookmarkEnd w:id="4020"/>
      <w:r>
        <w:rPr>
          <w:rFonts w:ascii="Times New Roman" w:hAnsi="Times New Roman" w:cs="B Nazanin" w:eastAsia="B Nazanin"/>
          <w:b/>
          <w:bCs/>
          <w:color w:val="1A1A1A"/>
          <w:sz w:val="22"/>
          <w:szCs w:val="22"/>
          <w:lang w:val="en-US" w:eastAsia="en-US" w:bidi="fa-IR"/>
        </w:rPr>
        <w:t xml:space="preserve">جدول ۲۰: واژه‌نامهٔ حقوق مسئولیت بین‌المللی</w:t>
      </w:r>
    </w:p>
    <w:tbl>
      <w:tblPr>
        <w:tblStyle w:val="TH-Table"/>
        <w:tblW w:w="8504" w:type="dxa"/>
        <w:jc w:val="cente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Layout w:type="fixed"/>
        <w:tblCellMar>
          <w:top w:w="60" w:type="dxa"/>
          <w:left w:w="90" w:type="dxa"/>
          <w:bottom w:w="60" w:type="dxa"/>
          <w:right w:w="90" w:type="dxa"/>
        </w:tblCellMar>
      </w:tblPr>
      <w:tblGrid>
        <w:gridCol w:w="2834"/>
        <w:gridCol w:w="2834"/>
        <w:gridCol w:w="2834"/>
      </w:tblGrid>
      <w:tr>
        <w:trPr>
          <w:tblHeader/>
          <w:cantSplit/>
        </w:trPr>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واژه</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تعریف فشرده و نشانی</w:t>
            </w:r>
          </w:p>
        </w:tc>
        <w:tc>
          <w:tcPr>
            <w:tcW w:w="2834" w:type="dxa"/>
            <w:shd w:val="clear" w:color="auto" w:fill="EDEDED"/>
            <w:tcMar>
              <w:top w:w="60" w:type="dxa"/>
              <w:left w:w="90" w:type="dxa"/>
              <w:bottom w:w="60" w:type="dxa"/>
              <w:right w:w="90" w:type="dxa"/>
            </w:tcMar>
            <w:vAlign w:val="center"/>
          </w:tcPr>
          <w:p>
            <w:pPr>
              <w:pStyle w:val="TH-TblCell"/>
            </w:pPr>
            <w:r>
              <w:rPr>
                <w:rFonts w:ascii="Times New Roman" w:hAnsi="Times New Roman" w:cs="B Nazanin" w:eastAsia="B Nazanin"/>
                <w:b/>
                <w:bCs/>
                <w:color w:val="1A1A1A"/>
                <w:sz w:val="22"/>
                <w:szCs w:val="22"/>
                <w:lang w:val="en-US" w:eastAsia="en-US" w:bidi="fa-IR"/>
              </w:rPr>
              <w:t xml:space="preserve">محل بحث</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عمل متخلفانهٔ بین‌المللی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رفتار قابل انتساب به دولت که ناقض تعهد بین‌المللی او باشد؛ مادهٔ ۲</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اول، بند اول</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انتساب (attribution)</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مواد ۴ تا ۱۱؛ شامل مقامات دولتی، نهادهای دارای اختیارات حاکمیتی، رفتار فرا‌اختیاری، و تصدیق و اتخاذ</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اسباب رافع مسئولیت</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رضایت، دفاع مشروع، اقدام متقابل، فورس ماژور، اضطرار و ضرورت؛ مواد ۲۰ تا ۲۵؛ مقید به مادهٔ ۲۶</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چهارم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ضرورت (necessity)</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حفاظت از منافع اساسی در برابر خطر جدی و قریب‌الوقوع؛ شش شرط تجمعی؛ مادهٔ ۲۵</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چهارم،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اضطرار (distress)</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تنها راه نجات جان اشخاص تحت مراقبت دولت؛ مادهٔ ۲۴</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چهارم،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فورس ماژور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رویداد غیرقابل مقاومت و خارج از کنترل، با عدم امکان مادی اجرا؛ مادهٔ ۲۳</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چهارم،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اقدام متقابل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عدم اجرای تعهدات برای واداشتن دولت مسئول؛ مواد ۴۹ تا ۵۴ با چهار محدودیت مادهٔ ۵۰</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اول، بند سوم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صورت‌های جبران</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اعاده به وضع سابق، غرامت و اعادهٔ حیثیت؛ مواد ۳۴ تا ۳۷؛ معیار کورژوف (۱۹۲۸)</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مسئولیت مضاعف</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نقض جدی تعهد ناشی از قاعدهٔ آمره؛ تعهدات سه‌گانهٔ همهٔ دولت‌ها؛ مواد ۴۰ و ۴۱</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اول، بند دوم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تفکیک سه‌گانهٔ سطوح تحلیل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تکلیف شرعی؛ صلاحیت و اعتبار داخلی؛ مسئولیت بین‌المللی — سه سطح مستقل</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پنجم، گفتار سوم؛ دستاورد پنجم</w:t>
            </w:r>
          </w:p>
        </w:tc>
      </w:tr>
      <w:tr>
        <w:trPr>
          <w:cantSplit/>
        </w:trPr>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دوزبانگی توجیهی</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توجیه تصمیم هم در زبان فقهی و هم در زبان حقوق بین‌الملل، بر پایهٔ هم‌خوانی نهادها</w:t>
            </w:r>
          </w:p>
        </w:tc>
        <w:tc>
          <w:tcPr>
            <w:tcW w:w="2834" w:type="dxa"/>
            <w:tcMar>
              <w:top w:w="60" w:type="dxa"/>
              <w:left w:w="90" w:type="dxa"/>
              <w:bottom w:w="60" w:type="dxa"/>
              <w:right w:w="90" w:type="dxa"/>
            </w:tcMar>
            <w:vAlign w:val="center"/>
          </w:tcPr>
          <w:p>
            <w:pPr>
              <w:pStyle w:val="TH-TblCell"/>
            </w:pPr>
            <w:r>
              <w:rPr>
                <w:rFonts w:ascii="Times New Roman" w:hAnsi="Times New Roman" w:cs="B Nazanin" w:eastAsia="B Nazanin"/>
                <w:color w:val="1A1A1A"/>
                <w:sz w:val="22"/>
                <w:szCs w:val="22"/>
                <w:lang w:val="en-US" w:eastAsia="en-US" w:bidi="fa-IR"/>
              </w:rPr>
              <w:t xml:space="preserve">فصل دوم، گفتار اول، بند دوم؛ پیوست پنجم</w:t>
            </w:r>
          </w:p>
        </w:tc>
      </w:tr>
    </w:tbl>
    <w:p>
      <w:pPr>
        <w:pStyle w:val="TH-TblSrc"/>
      </w:pPr>
      <w:r>
        <w:rPr>
          <w:rFonts w:ascii="Times New Roman" w:hAnsi="Times New Roman" w:cs="B Nazanin" w:eastAsia="B Nazanin"/>
          <w:color w:val="595959"/>
          <w:sz w:val="20"/>
          <w:szCs w:val="20"/>
          <w:lang w:val="en-US" w:eastAsia="en-US" w:bidi="fa-IR"/>
        </w:rPr>
        <w:t xml:space="preserve">منبع: طرح مواد مسئولیت بین‌المللی دولت‌ها (۲۰۰۱)؛ ابراهیم‌گل (مترجم) و سیفی (زیرنظر)، مسئولیت بین‌المللی دولت؛ Crawford, State Responsibility: The General Part.</w:t>
      </w:r>
    </w:p>
    <w:p>
      <w:pPr>
        <w:pStyle w:val="TH-TblAfter"/>
      </w:pPr>
      <w:r>
        <w:t xml:space="preserve"/>
      </w:r>
    </w:p>
    <w:p>
      <w:pPr>
        <w:pStyle w:val="TH-End"/>
      </w:pPr>
      <w:r>
        <w:t xml:space="preserve">پایان رساله</w:t>
      </w:r>
    </w:p>
    <w:p>
      <w:pPr>
        <w:pStyle w:val="TH-EndSub"/>
      </w:pPr>
      <w:r>
        <w:t xml:space="preserve">وَالْحَمْدُ للهِ رَبِّ الْعَالَمِینَ، وَصَلَّی اللهُ عَلَی مُحَمَّدٍ وَآلِهِ الطَّاهِرِینَ</w:t>
      </w:r>
    </w:p>
    <w:sectPr>
      <w:headerReference w:type="default" r:id="rId7"/>
      <w:footerReference w:type="default" r:id="rId8"/>
      <w:pgSz w:w="11906" w:h="16838"/>
      <w:pgMar w:top="1418" w:right="1984" w:bottom="1418" w:left="1418" w:header="709" w:footer="709" w:gutter="0"/>
      <w:cols w:space="708"/>
      <w:pgNumType w:fmt="decimal" w:start="1"/>
      <w:docGrid w:linePitch="36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default"/>
    <w:sig w:usb-0="00000000" w:usb-1="00000000" w:usb-2="00000000" w:usb-3="00000000" w:csb-0="00000000" w:csb-1="00000000"/>
  </w:font>
  <w:font w:name="B Lotus">
    <w:panose1 w:val="00000000000000000000"/>
    <w:charset w:val="00"/>
    <w:family w:val="auto"/>
    <w:pitch w:val="default"/>
    <w:sig w:usb-0="00000000" w:usb-1="00000000" w:usb-2="00000000" w:usb-3="00000000" w:csb-0="00000000" w:csb-1="00000000"/>
  </w:font>
  <w:font w:name="B Nazanin">
    <w:panose1 w:val="00000000000000000000"/>
    <w:charset w:val="00"/>
    <w:family w:val="auto"/>
    <w:pitch w:val="default"/>
    <w:sig w:usb-0="00000000" w:usb-1="00000000" w:usb-2="00000000" w:usb-3="00000000" w:csb-0="00000000" w:csb-1="00000000"/>
  </w:font>
  <w:font w:name="B Titr">
    <w:panose1 w:val="00000000000000000000"/>
    <w:charset w:val="00"/>
    <w:family w:val="auto"/>
    <w:pitch w:val="default"/>
    <w:sig w:usb-0="00000000" w:usb-1="00000000" w:usb-2="00000000" w:usb-3="00000000" w:csb-0="00000000" w:csb-1="00000000"/>
  </w:font>
  <w:font w:name="Tahoma">
    <w:panose1 w:val="00000000000000000000"/>
    <w:charset w:val="00"/>
    <w:family w:val="auto"/>
    <w:pitch w:val="default"/>
    <w:sig w:usb-0="00000000" w:usb-1="00000000" w:usb-2="00000000" w:usb-3="00000000" w:csb-0="00000000" w:csb-1="00000000"/>
  </w:font>
  <w:font w:name="Times New Roman">
    <w:panose1 w:val="00000000000000000000"/>
    <w:charset w:val="00"/>
    <w:family w:val="auto"/>
    <w:pitch w:val="default"/>
    <w:sig w:usb-0="00000000" w:usb-1="00000000" w:usb-2="00000000" w:usb-3="00000000" w:csb-0="00000000" w:csb-1="00000000"/>
  </w:font>
</w:fonts>
</file>

<file path=word/footer1.xml><?xml version="1.0" encoding="utf-8"?>
<w:ftr xmlns:w="http://schemas.openxmlformats.org/wordprocessingml/2006/main" xmlns:r="http://schemas.openxmlformats.org/officeDocument/2006/relationships">
  <w:p>
    <w:pPr>
      <w:pStyle w:val="Footer"/>
    </w:pPr>
    <w:r>
      <w:rPr>
        <w:rFonts w:ascii="Times New Roman" w:hAnsi="Times New Roman" w:cs="B Nazanin" w:eastAsia="B Nazanin"/>
        <w:color w:val="595959"/>
        <w:sz w:val="18"/>
        <w:szCs w:val="18"/>
        <w:lang w:val="en-US" w:eastAsia="en-US" w:bidi="fa-IR"/>
      </w:rPr>
      <w:fldChar w:fldCharType="begin"/>
    </w:r>
    <w:r>
      <w:rPr>
        <w:rFonts w:ascii="Times New Roman" w:hAnsi="Times New Roman" w:cs="B Nazanin" w:eastAsia="B Nazanin"/>
        <w:color w:val="595959"/>
        <w:sz w:val="18"/>
        <w:szCs w:val="18"/>
        <w:lang w:val="en-US" w:eastAsia="en-US" w:bidi="fa-IR"/>
      </w:rPr>
      <w:instrText xml:space="preserve"> PAGE \* MERGEFORMAT </w:instrText>
    </w:r>
    <w:r>
      <w:rPr>
        <w:rFonts w:ascii="Times New Roman" w:hAnsi="Times New Roman" w:cs="B Nazanin" w:eastAsia="B Nazanin"/>
        <w:color w:val="595959"/>
        <w:sz w:val="18"/>
        <w:szCs w:val="18"/>
        <w:lang w:val="en-US" w:eastAsia="en-US" w:bidi="fa-IR"/>
      </w:rPr>
      <w:fldChar w:fldCharType="separate"/>
    </w:r>
    <w:r>
      <w:rPr>
        <w:rFonts w:ascii="Times New Roman" w:hAnsi="Times New Roman" w:cs="B Nazanin" w:eastAsia="B Nazanin"/>
        <w:color w:val="595959"/>
        <w:sz w:val="18"/>
        <w:szCs w:val="18"/>
        <w:lang w:val="en-US" w:eastAsia="en-US" w:bidi="fa-IR"/>
      </w:rPr>
      <w:t xml:space="preserve">۱</w:t>
    </w:r>
    <w:r>
      <w:rPr>
        <w:rFonts w:ascii="Times New Roman" w:hAnsi="Times New Roman" w:cs="B Nazanin" w:eastAsia="B Nazanin"/>
        <w:color w:val="595959"/>
        <w:sz w:val="18"/>
        <w:szCs w:val="18"/>
        <w:lang w:val="en-US" w:eastAsia="en-US" w:bidi="fa-IR"/>
      </w:rPr>
      <w:fldChar w:fldCharType="end"/>
    </w:r>
  </w:p>
</w:ftr>
</file>

<file path=word/footer2.xml><?xml version="1.0" encoding="utf-8"?>
<w:ftr xmlns:w="http://schemas.openxmlformats.org/wordprocessingml/2006/main" xmlns:r="http://schemas.openxmlformats.org/officeDocument/2006/relationships">
  <w:p>
    <w:pPr>
      <w:pStyle w:val="FooterBlank"/>
    </w:pPr>
  </w:p>
</w:ftr>
</file>

<file path=word/footer3.xml><?xml version="1.0" encoding="utf-8"?>
<w:ftr xmlns:w="http://schemas.openxmlformats.org/wordprocessingml/2006/main" xmlns:r="http://schemas.openxmlformats.org/officeDocument/2006/relationships">
  <w:p>
    <w:pPr>
      <w:pStyle w:val="Footer"/>
    </w:pPr>
    <w:r>
      <w:rPr>
        <w:rFonts w:ascii="Times New Roman" w:hAnsi="Times New Roman" w:cs="B Nazanin" w:eastAsia="B Nazanin"/>
        <w:color w:val="595959"/>
        <w:sz w:val="18"/>
        <w:szCs w:val="18"/>
        <w:lang w:val="en-US" w:eastAsia="en-US" w:bidi="fa-IR"/>
      </w:rPr>
      <w:fldChar w:fldCharType="begin"/>
    </w:r>
    <w:r>
      <w:rPr>
        <w:rFonts w:ascii="Times New Roman" w:hAnsi="Times New Roman" w:cs="B Nazanin" w:eastAsia="B Nazanin"/>
        <w:color w:val="595959"/>
        <w:sz w:val="18"/>
        <w:szCs w:val="18"/>
        <w:lang w:val="en-US" w:eastAsia="en-US" w:bidi="fa-IR"/>
      </w:rPr>
      <w:instrText xml:space="preserve"> PAGE \* MERGEFORMAT </w:instrText>
    </w:r>
    <w:r>
      <w:rPr>
        <w:rFonts w:ascii="Times New Roman" w:hAnsi="Times New Roman" w:cs="B Nazanin" w:eastAsia="B Nazanin"/>
        <w:color w:val="595959"/>
        <w:sz w:val="18"/>
        <w:szCs w:val="18"/>
        <w:lang w:val="en-US" w:eastAsia="en-US" w:bidi="fa-IR"/>
      </w:rPr>
      <w:fldChar w:fldCharType="separate"/>
    </w:r>
    <w:r>
      <w:rPr>
        <w:rFonts w:ascii="Times New Roman" w:hAnsi="Times New Roman" w:cs="B Nazanin" w:eastAsia="B Nazanin"/>
        <w:color w:val="595959"/>
        <w:sz w:val="18"/>
        <w:szCs w:val="18"/>
        <w:lang w:val="en-US" w:eastAsia="en-US" w:bidi="fa-IR"/>
      </w:rPr>
      <w:t xml:space="preserve">أ</w:t>
    </w:r>
    <w:r>
      <w:rPr>
        <w:rFonts w:ascii="Times New Roman" w:hAnsi="Times New Roman" w:cs="B Nazanin" w:eastAsia="B Nazanin"/>
        <w:color w:val="595959"/>
        <w:sz w:val="18"/>
        <w:szCs w:val="18"/>
        <w:lang w:val="en-US" w:eastAsia="en-US" w:bidi="fa-IR"/>
      </w:rPr>
      <w:fldChar w:fldCharType="end"/>
    </w:r>
  </w:p>
</w:ftr>
</file>

<file path=word/footnotes.xml><?xml version="1.0" encoding="utf-8"?>
<w:footnotes xmlns:w="http://schemas.openxmlformats.org/wordprocessingml/2006/main" xmlns:r="http://schemas.openxmlformats.org/officeDocument/2006/relationships">
  <w:footnote w:type="separator" w:id="-1">
    <w:p>
      <w:pPr>
        <w:spacing w:after="0" w:line="240" w:lineRule="auto"/>
        <w:bidi/>
      </w:pPr>
      <w:r>
        <w:separator/>
      </w:r>
    </w:p>
  </w:footnote>
  <w:footnote w:type="continuationSeparator" w:id="0">
    <w:p>
      <w:pPr>
        <w:spacing w:after="0" w:line="240" w:lineRule="auto"/>
        <w:bidi/>
      </w:pPr>
      <w:r>
        <w:continuationSeparator/>
      </w:r>
    </w:p>
  </w:footnote>
  <w:footnote w:id="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مائده: ۱.</w:t>
      </w:r>
    </w:p>
  </w:footnote>
  <w:footnote w:id="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۹۱.</w:t>
      </w:r>
    </w:p>
  </w:footnote>
  <w:footnote w:id="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۲۷.</w:t>
      </w:r>
    </w:p>
  </w:footnote>
  <w:footnote w:id="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۳۲.</w:t>
      </w:r>
    </w:p>
  </w:footnote>
  <w:footnote w:id="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زحیلی، وهبه، العلاقات الدولیة فی الاسلام مقارنة بالقانون الدولی الحدیث؛ زحیلی، وهبه، آثار الحرب فی الاسلام: دراسة فقهیة مقارنة.</w:t>
      </w:r>
    </w:p>
  </w:footnote>
  <w:footnote w:id="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نشانی‌های رسمی مورد استناد در این رساله: پایگاه اطلاع‌رسانی حوزه (hawzah. net)، پایگاه پژوهشکدهٔ شورای نگهبان (shora-gc. ir)، سایت جامع امام خمینی و پایگاه صحیفهٔ امام (emam. com)، مرکز پژوهش‌های مجلس شورای اسلامی (rc. majlis. ir)، مجموعهٔ معاهدات سازمان ملل (treaties. un. org) و پایگاه دیوان بین‌المللی دادگستری (icj-cij. org).</w:t>
      </w:r>
    </w:p>
  </w:footnote>
  <w:footnote w:id="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فراهیدی، کتاب العین، مادهٔ «عهد»؛ ابن‌منظور، لسان العرب، مادهٔ «عهد».</w:t>
      </w:r>
    </w:p>
  </w:footnote>
  <w:footnote w:id="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 بند ۱ (الف).</w:t>
      </w:r>
    </w:p>
  </w:footnote>
  <w:footnote w:id="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۳.</w:t>
      </w:r>
    </w:p>
  </w:footnote>
  <w:footnote w:id="1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۶۲، بند ۲ (الف).</w:t>
      </w:r>
    </w:p>
  </w:footnote>
  <w:footnote w:id="1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اصول ۵، ۱۰۷ و ۱۰۹.</w:t>
      </w:r>
    </w:p>
  </w:footnote>
  <w:footnote w:id="1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ولایت فقیه.</w:t>
      </w:r>
    </w:p>
  </w:footnote>
  <w:footnote w:id="1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۱۱۰.</w:t>
      </w:r>
    </w:p>
  </w:footnote>
  <w:footnote w:id="1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۵۷.</w:t>
      </w:r>
    </w:p>
  </w:footnote>
  <w:footnote w:id="1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ابن‌منظور، لسان العرب، مادهٔ «عدل».</w:t>
      </w:r>
    </w:p>
  </w:footnote>
  <w:footnote w:id="1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۲ و ۱۲.</w:t>
      </w:r>
    </w:p>
  </w:footnote>
  <w:footnote w:id="1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۷۲.</w:t>
      </w:r>
    </w:p>
  </w:footnote>
  <w:footnote w:id="1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۵۴ و ۵۶.</w:t>
      </w:r>
    </w:p>
  </w:footnote>
  <w:footnote w:id="2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۶۰؛ طرح مواد مسئولیت بین‌المللی دولت‌ها، مواد ۴۹ تا ۵۴.</w:t>
      </w:r>
    </w:p>
  </w:footnote>
  <w:footnote w:id="2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صحیفهٔ امام، ج ۲۰، ص ۴۵۱–۴۵۲ (نامهٔ ۱۶ دی ۱۳۶۶).</w:t>
      </w:r>
    </w:p>
  </w:footnote>
  <w:footnote w:id="2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ولایت فقیه؛ و بجنوردی، سیدمحمدحسن، القواعد الفقهیه، ج ۴. ر.ک: محقق حلی، جعفر بن حسن، شرائع الاسلام فی مسائل الحلال و الحرام، کتاب الجهاد؛ علامه حلی، حسن بن یوسف، قواعد الاحکام فی معرفة الحلال و الحرام؛ علامه حلی، تذکرة الفقهاء؛ حکیم، مستمسک العروة الوثقى.</w:t>
      </w:r>
    </w:p>
  </w:footnote>
  <w:footnote w:id="2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۲۵.</w:t>
      </w:r>
    </w:p>
  </w:footnote>
  <w:footnote w:id="2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w:t>
      </w:r>
    </w:p>
  </w:footnote>
  <w:footnote w:id="2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جواهر الکلام، کتاب الجهاد، ابواب هدنه؛ خمینی، تحریر الوسیله، کتاب الجهاد.</w:t>
      </w:r>
    </w:p>
  </w:footnote>
  <w:footnote w:id="2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جواهر الکلام، کتاب الجهاد، ابواب هدنه، بحث جواز نقض هدنه عند المصلحة.</w:t>
      </w:r>
    </w:p>
  </w:footnote>
  <w:footnote w:id="2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حر عاملی، وسائل الشیعهه، ابواب جهاد، باب ان عقد الامان یصح من کل مسلم.</w:t>
      </w:r>
    </w:p>
  </w:footnote>
  <w:footnote w:id="2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جواهر الکلام، کتاب الجهاد، ابواب جهاد العدو، بحث اهل الذمة.</w:t>
      </w:r>
    </w:p>
  </w:footnote>
  <w:footnote w:id="2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منشور سازمان ملل متحد، مادهٔ ۱۳، بند ۱ (الف).</w:t>
      </w:r>
    </w:p>
  </w:footnote>
  <w:footnote w:id="3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Vienna Convention on the Law of Treaties, 1969, UN Treaty Series, vol. 1155, p. 331. ر.ک: ضیایی بیگدلی، محمدرضا، حقوق معاهدات بین‌المللی.</w:t>
      </w:r>
    </w:p>
  </w:footnote>
  <w:footnote w:id="3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 para. 46.</w:t>
      </w:r>
    </w:p>
  </w:footnote>
  <w:footnote w:id="3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۱۸.</w:t>
      </w:r>
    </w:p>
  </w:footnote>
  <w:footnote w:id="3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۲۶.</w:t>
      </w:r>
    </w:p>
  </w:footnote>
  <w:footnote w:id="3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۲۷.</w:t>
      </w:r>
    </w:p>
  </w:footnote>
  <w:footnote w:id="3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۳۲.</w:t>
      </w:r>
    </w:p>
  </w:footnote>
  <w:footnote w:id="3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۴۶.</w:t>
      </w:r>
    </w:p>
  </w:footnote>
  <w:footnote w:id="3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۵۴، ۵۷ و ۶۵ تا ۶۸.</w:t>
      </w:r>
    </w:p>
  </w:footnote>
  <w:footnote w:id="3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۵۴ و ۵۶.</w:t>
      </w:r>
    </w:p>
  </w:footnote>
  <w:footnote w:id="3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۶۰.</w:t>
      </w:r>
    </w:p>
  </w:footnote>
  <w:footnote w:id="4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۷.</w:t>
      </w:r>
    </w:p>
  </w:footnote>
  <w:footnote w:id="4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۶۲، بند ۱.</w:t>
      </w:r>
    </w:p>
  </w:footnote>
  <w:footnote w:id="4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 paras. 104-105.</w:t>
      </w:r>
    </w:p>
  </w:footnote>
  <w:footnote w:id="4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۶۱.</w:t>
      </w:r>
    </w:p>
  </w:footnote>
  <w:footnote w:id="4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۶۵ تا ۶۸.</w:t>
      </w:r>
    </w:p>
  </w:footnote>
  <w:footnote w:id="4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4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طبرسی، مجمع البیان، ذیل آیهٔ ۵۸ انفال؛ طوسی، التبیان، ذیل آیهٔ ۵۸ انفال.</w:t>
      </w:r>
    </w:p>
  </w:footnote>
  <w:footnote w:id="4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 بند ۱ (د).</w:t>
      </w:r>
    </w:p>
  </w:footnote>
  <w:footnote w:id="4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۳۱.</w:t>
      </w:r>
    </w:p>
  </w:footnote>
  <w:footnote w:id="4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۳۲.</w:t>
      </w:r>
    </w:p>
  </w:footnote>
  <w:footnote w:id="5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۶ و ۷.</w:t>
      </w:r>
    </w:p>
  </w:footnote>
  <w:footnote w:id="5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اصول ۷۷ و ۱۲۵.</w:t>
      </w:r>
    </w:p>
  </w:footnote>
  <w:footnote w:id="5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۴۸ تا ۵۳.</w:t>
      </w:r>
    </w:p>
  </w:footnote>
  <w:footnote w:id="5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منشور سازمان ملل متحد، مادهٔ ۲، بند ۴.</w:t>
      </w:r>
    </w:p>
  </w:footnote>
  <w:footnote w:id="5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۵۳ و ۶۴.</w:t>
      </w:r>
    </w:p>
  </w:footnote>
  <w:footnote w:id="5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منشور سازمان ملل متحد، مادهٔ ۱۰۲.</w:t>
      </w:r>
    </w:p>
  </w:footnote>
  <w:footnote w:id="5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۵.</w:t>
      </w:r>
    </w:p>
  </w:footnote>
  <w:footnote w:id="5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۵۷.</w:t>
      </w:r>
    </w:p>
  </w:footnote>
  <w:footnote w:id="5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۷۷.</w:t>
      </w:r>
    </w:p>
  </w:footnote>
  <w:footnote w:id="5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۱۲۵.</w:t>
      </w:r>
    </w:p>
  </w:footnote>
  <w:footnote w:id="6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۱۱۰.</w:t>
      </w:r>
    </w:p>
  </w:footnote>
  <w:footnote w:id="6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۱۱۲.</w:t>
      </w:r>
    </w:p>
  </w:footnote>
  <w:footnote w:id="6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۱۵۲.</w:t>
      </w:r>
    </w:p>
  </w:footnote>
  <w:footnote w:id="6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۱۵۳.</w:t>
      </w:r>
    </w:p>
  </w:footnote>
  <w:footnote w:id="6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۱۴۱.</w:t>
      </w:r>
    </w:p>
  </w:footnote>
  <w:footnote w:id="6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۱۵۴.</w:t>
      </w:r>
    </w:p>
  </w:footnote>
  <w:footnote w:id="6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۱۷۶.</w:t>
      </w:r>
    </w:p>
  </w:footnote>
  <w:footnote w:id="6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مائده: ۱. ترجمهٔ فارسی آیات در این رساله از ترجمهٔ مهدی فولادوند و ترجمهٔ ناصر مکارم شیرازی است.</w:t>
      </w:r>
    </w:p>
  </w:footnote>
  <w:footnote w:id="6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انصاری، المکاسب؛ نجفی، جواهر الکلام، کتاب البیع و کتاب الجهاد.</w:t>
      </w:r>
    </w:p>
  </w:footnote>
  <w:footnote w:id="6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خراسانی، کفایة الاصول، مبحث صیغهٔ امر؛ نائینی، فوائد الاصول، مبحث اوامر.</w:t>
      </w:r>
    </w:p>
  </w:footnote>
  <w:footnote w:id="7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خراسانی، کفایة الاصول، مبحث العام و الخاص؛ نائینی، فوائد الاصول، مبحث تعاریف.</w:t>
      </w:r>
    </w:p>
  </w:footnote>
  <w:footnote w:id="7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۹۱.</w:t>
      </w:r>
    </w:p>
  </w:footnote>
  <w:footnote w:id="7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۹۲.</w:t>
      </w:r>
    </w:p>
  </w:footnote>
  <w:footnote w:id="7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طباطبایی، المیزان، ذیل آیهٔ ۹۲ سورهٔ نحل.</w:t>
      </w:r>
    </w:p>
  </w:footnote>
  <w:footnote w:id="7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اسراء: ۳۴.</w:t>
      </w:r>
    </w:p>
  </w:footnote>
  <w:footnote w:id="7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رعد: ۲۰–۲۵.</w:t>
      </w:r>
    </w:p>
  </w:footnote>
  <w:footnote w:id="7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مؤمنون: ۸؛ سورهٔ معارج: ۳۲.</w:t>
      </w:r>
    </w:p>
  </w:footnote>
  <w:footnote w:id="7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۴.</w:t>
      </w:r>
    </w:p>
  </w:footnote>
  <w:footnote w:id="7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۷.</w:t>
      </w:r>
    </w:p>
  </w:footnote>
  <w:footnote w:id="7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8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طبرسی، مجمع البیان، ذیل آیهٔ ۵۸ انفال؛ طوسی، التبیان، ذیل آیهٔ ۵۸ انفال. ر.ک: فخر رازی، محمد بن عمر، مفاتیح الغیب (التفسیر الکبیر)، ذیل آیهٔ ۵۸ انفال.</w:t>
      </w:r>
    </w:p>
  </w:footnote>
  <w:footnote w:id="8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۷۲.</w:t>
      </w:r>
    </w:p>
  </w:footnote>
  <w:footnote w:id="8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کلینی، الکافی، کتاب المعیشة، باب النوادر؛ صدوق، من لا یحضره الفقیه؛ طوسی، تهذیب الاحکام؛ حر عاملی، وسائل الشیعهه، ج ۱۸، کتاب التجارة، أبواب الخیار.</w:t>
      </w:r>
    </w:p>
  </w:footnote>
  <w:footnote w:id="8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مجلسی، بحار الانوار، بخش رجال؛ و مصادر رجالی مربوط.</w:t>
      </w:r>
    </w:p>
  </w:footnote>
  <w:footnote w:id="8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نامهٔ ۵۳ (عهدنامهٔ مالک اشتر)؛ با ترجمه و شرح فیض‌الاسلام.</w:t>
      </w:r>
    </w:p>
  </w:footnote>
  <w:footnote w:id="8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صدوق، الخصال؛ حر عاملی، وسائل الشیعهه، ابواب مقدمات تجارت و ابواب جهاد؛ بحار الانوار.</w:t>
      </w:r>
    </w:p>
  </w:footnote>
  <w:footnote w:id="8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مجلسی، بحار الانوار، ابواب جهاد و ابواب الوفاء بالعهد.</w:t>
      </w:r>
    </w:p>
  </w:footnote>
  <w:footnote w:id="8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صحیح مسلم، کتاب الجهاد و السیر.</w:t>
      </w:r>
    </w:p>
  </w:footnote>
  <w:footnote w:id="8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کلینی، الکافی، کتاب الجهاد؛ حر عاملی، وسائل الشیعهه، ابواب جهاد، باب ان عقد الامان یصح من کل مسلم.</w:t>
      </w:r>
    </w:p>
  </w:footnote>
  <w:footnote w:id="8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ابن‌هشام، السیرة النبویة، ماجرای صلح حدیبیه؛ طبری، تاریخ طبری، حوادث سال ششم هجری.</w:t>
      </w:r>
    </w:p>
  </w:footnote>
  <w:footnote w:id="9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طبری، تاریخ طبری، حوادث سال هشتم هجری؛ ابن‌هشام، السیرة النبویة، ماجرای فتح مکه.</w:t>
      </w:r>
    </w:p>
  </w:footnote>
  <w:footnote w:id="9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۷.</w:t>
      </w:r>
    </w:p>
  </w:footnote>
  <w:footnote w:id="9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طبری، تاریخ طبری، حوادث سال نهم هجری؛ مفید، الارشاد، احوال امیرالمؤمنین؛ و منابع مربوط به ابلاغ آیات برائت.</w:t>
      </w:r>
    </w:p>
  </w:footnote>
  <w:footnote w:id="9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۱–۳.</w:t>
      </w:r>
    </w:p>
  </w:footnote>
  <w:footnote w:id="9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۴.</w:t>
      </w:r>
    </w:p>
  </w:footnote>
  <w:footnote w:id="9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نامه‌ها و خطبه‌های مربوط به صفین؛ طبری، تاریخ طبری، حوادث سال ۳۷ هجری.</w:t>
      </w:r>
    </w:p>
  </w:footnote>
  <w:footnote w:id="9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خطبه‌ها و نامه‌های مربوط به حکمیت؛ طبری، تاریخ طبری، حوادث سال ۳۷ و ۳۸ هجری.</w:t>
      </w:r>
    </w:p>
  </w:footnote>
  <w:footnote w:id="9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۹۲.</w:t>
      </w:r>
    </w:p>
  </w:footnote>
  <w:footnote w:id="9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خراسانی، کفایة الاصول، مبحث ملازمات عقلیه؛ نائینی، فوائد الاصول، مبحث ملازمات.</w:t>
      </w:r>
    </w:p>
  </w:footnote>
  <w:footnote w:id="9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فوائد الاصول، مبحث حجیة بنای عقلا و سیرهٔ عقلا؛ خویی، محاضرات فی اصول الفقه، مبحث السیرة العقلائیة.</w:t>
      </w:r>
    </w:p>
  </w:footnote>
  <w:footnote w:id="10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بجنوردی، القواعد الفقهیه، ج ۴، قاعدهٔ لزوم.</w:t>
      </w:r>
    </w:p>
  </w:footnote>
  <w:footnote w:id="10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0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۲۷.</w:t>
      </w:r>
    </w:p>
  </w:footnote>
  <w:footnote w:id="10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۱۴۱.</w:t>
      </w:r>
    </w:p>
  </w:footnote>
  <w:footnote w:id="10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جواهر الکلام، ابواب متفرقه؛ بجنوردی، القواعد الفقهیه، قاعدهٔ نفی سبیل.</w:t>
      </w:r>
    </w:p>
  </w:footnote>
  <w:footnote w:id="10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۱۵۳.</w:t>
      </w:r>
    </w:p>
  </w:footnote>
  <w:footnote w:id="10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۵۸.</w:t>
      </w:r>
    </w:p>
  </w:footnote>
  <w:footnote w:id="10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طباطبایی، المیزان، ذیل آیهٔ ۵۸ سورهٔ نساء.</w:t>
      </w:r>
    </w:p>
  </w:footnote>
  <w:footnote w:id="10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مائده: ۸۹.</w:t>
      </w:r>
    </w:p>
  </w:footnote>
  <w:footnote w:id="10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صدوق، الخصال، باب الثلاثة؛ کلینی، الکافی؛ حر عاملی، وسائل الشیعهه.</w:t>
      </w:r>
    </w:p>
  </w:footnote>
  <w:footnote w:id="11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۱۴۲ و ۱۴۵.</w:t>
      </w:r>
    </w:p>
  </w:footnote>
  <w:footnote w:id="11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ابن‌هشام، السیرة النبویة، ماجراهای پس از هجرت و میثاق مدینه؛ طبری، تاریخ طبری، حوادث سال اول هجری.</w:t>
      </w:r>
    </w:p>
  </w:footnote>
  <w:footnote w:id="11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ابن‌هشام، السیرة النبویة، ماجرای هیئت نجران؛ طبری، تاریخ طبری، حوادث سال‌های نهم و دهم هجری.</w:t>
      </w:r>
    </w:p>
  </w:footnote>
  <w:footnote w:id="11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جواهر الکلام، کتاب الجهاد، ابواب هدنه.</w:t>
      </w:r>
    </w:p>
  </w:footnote>
  <w:footnote w:id="11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انصاری، المکاسب، مبحث لزوم و خیارات؛ انصاری، فرائد الاصول.</w:t>
      </w:r>
    </w:p>
  </w:footnote>
  <w:footnote w:id="11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تحریر الوسیله، کتاب الجهاد.</w:t>
      </w:r>
    </w:p>
  </w:footnote>
  <w:footnote w:id="11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صحیفهٔ امام، ج ۲۰، ص ۴۵۱–۴۵۲ (نامهٔ ۱۶ دی ۱۳۶۶). ر.ک: خامنه‌ای، سیدعلی، اجوبة الاستفتائات (مباحث مربوط به اختیارات ولی فقیه).</w:t>
      </w:r>
    </w:p>
  </w:footnote>
  <w:footnote w:id="11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منابع کامل در فهرست منابع و مآخذ.</w:t>
      </w:r>
    </w:p>
  </w:footnote>
  <w:footnote w:id="11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فراهیدی، کتاب العین؛ ابن‌منظور، لسان العرب؛ راغب اصفهانی، مفردات القرآن.</w:t>
      </w:r>
    </w:p>
  </w:footnote>
  <w:footnote w:id="11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القرآن، مادهٔ «عهد».</w:t>
      </w:r>
    </w:p>
  </w:footnote>
  <w:footnote w:id="12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القرآن، مادهٔ «عقد».</w:t>
      </w:r>
    </w:p>
  </w:footnote>
  <w:footnote w:id="12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القرآن، مادهٔ «وثق».</w:t>
      </w:r>
    </w:p>
  </w:footnote>
  <w:footnote w:id="12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رعد: ۲۰.</w:t>
      </w:r>
    </w:p>
  </w:footnote>
  <w:footnote w:id="12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القرآن، مادهٔ «أمن».</w:t>
      </w:r>
    </w:p>
  </w:footnote>
  <w:footnote w:id="12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۶.</w:t>
      </w:r>
    </w:p>
  </w:footnote>
  <w:footnote w:id="12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راغب اصفهانی، مفردات القرآن، مادهٔ «ذمم».</w:t>
      </w:r>
    </w:p>
  </w:footnote>
  <w:footnote w:id="12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فوائد الاصول، مبحث التعادل و الترجیح و مبحث التزاحم؛ خویی، محاضرات فی اصول الفقه، مبحث التعارض؛ صدر، بحوث فی علم الاصول، مبحث التزاحم.</w:t>
      </w:r>
    </w:p>
  </w:footnote>
  <w:footnote w:id="12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فوائد الاصول، مبحث التزاحم و مقدمات حکم؛ صدر، بحوث فی علم الاصول، مبحث التزاحم.</w:t>
      </w:r>
    </w:p>
  </w:footnote>
  <w:footnote w:id="12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فوائد الاصول، مبحث الترتب؛ صدر، بحوث فی علم الاصول، مبحث الترتب.</w:t>
      </w:r>
    </w:p>
  </w:footnote>
  <w:footnote w:id="12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فوائد الاصول، مبحث الحکومة و الورود.</w:t>
      </w:r>
    </w:p>
  </w:footnote>
  <w:footnote w:id="13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نجفی، جواهر الکلام، کتاب الجهاد؛ خمینی، تحریر الوسیله، کتاب الجهاد؛ عمید زنجانی، فقه سیاسی، ج ۱.</w:t>
      </w:r>
    </w:p>
  </w:footnote>
  <w:footnote w:id="13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۱۴۱.</w:t>
      </w:r>
    </w:p>
  </w:footnote>
  <w:footnote w:id="13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۱۵۳.</w:t>
      </w:r>
    </w:p>
  </w:footnote>
  <w:footnote w:id="13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نراقی، عوائد الایام، عائدهٔ ۵۴ (ولایت فقیه).</w:t>
      </w:r>
    </w:p>
  </w:footnote>
  <w:footnote w:id="13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انصاری، المکاسب، مبحث ولایت فقیه.</w:t>
      </w:r>
    </w:p>
  </w:footnote>
  <w:footnote w:id="13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خراسانی، کفایة الاصول، و نیز نامه‌ها و استفتائات سیاسی ایشان.</w:t>
      </w:r>
    </w:p>
  </w:footnote>
  <w:footnote w:id="13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فوائد الاصول، مبحث الحکومة و الورود.</w:t>
      </w:r>
    </w:p>
  </w:footnote>
  <w:footnote w:id="13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ولایت فقیه؛ خمینی، کتاب البیع، مبحث ولایت فقیه.</w:t>
      </w:r>
    </w:p>
  </w:footnote>
  <w:footnote w:id="13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صحیفهٔ امام، ج ۲۰، ص ۴۵۱–۴۵۲ (نامهٔ ۱۶ دی ۱۳۶۶).</w:t>
      </w:r>
    </w:p>
  </w:footnote>
  <w:footnote w:id="13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خمینی، صحیفهٔ امام، ج ۲۰، ص ۴۵۱–۴۵۲ (نامهٔ ۱۶ دی ۱۳۶۶).</w:t>
      </w:r>
    </w:p>
  </w:footnote>
  <w:footnote w:id="14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فوائد الاصول، مبحث الحکومة؛ خمینی، کتاب البیع، مبحث ولایت فقیه.</w:t>
      </w:r>
    </w:p>
  </w:footnote>
  <w:footnote w:id="14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کلینی، الکافی، کتاب المعیشة؛ طوسی، تهذیب الاحکام؛ صدوق، من لا یحضره الفقیه؛ حر عاملی، وسائل الشیعهه.</w:t>
      </w:r>
    </w:p>
  </w:footnote>
  <w:footnote w:id="14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منیة الطالب، مبحث قاعدةٔ لاضرر؛ خویی، مصباح الفقاهة، مبحث لاضرر؛ خمینی، قواعد الاصول و نیز مباحث مربوط در کتاب البیع.</w:t>
      </w:r>
    </w:p>
  </w:footnote>
  <w:footnote w:id="14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حج: ۷۸.</w:t>
      </w:r>
    </w:p>
  </w:footnote>
  <w:footnote w:id="14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بقره: ۱۸۵.</w:t>
      </w:r>
    </w:p>
  </w:footnote>
  <w:footnote w:id="14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احزاب: ۳۸؛ طلاق: ۷.</w:t>
      </w:r>
    </w:p>
  </w:footnote>
  <w:footnote w:id="14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نامهٔ ۵۳ (عهدنامهٔ مالک اشتر).</w:t>
      </w:r>
    </w:p>
  </w:footnote>
  <w:footnote w:id="14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۶۱ و ۶۲.</w:t>
      </w:r>
    </w:p>
  </w:footnote>
  <w:footnote w:id="14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۲۵، بند ۲ (ب).</w:t>
      </w:r>
    </w:p>
  </w:footnote>
  <w:footnote w:id="14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عمید زنجانی، فقه سیاسی، ج ۱؛ منتظری، دراسات فی ولایة الفقیه؛ جوادی آملی، ولایت فقیه.</w:t>
      </w:r>
    </w:p>
  </w:footnote>
  <w:footnote w:id="15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5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نائینی، فوائد الاصول، مبحث التزاحم.</w:t>
      </w:r>
    </w:p>
  </w:footnote>
  <w:footnote w:id="15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اصول ۱۱۲ و ۱۷۶.</w:t>
      </w:r>
    </w:p>
  </w:footnote>
  <w:footnote w:id="15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۴.</w:t>
      </w:r>
    </w:p>
  </w:footnote>
  <w:footnote w:id="15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5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کلینی، الکافی، کتاب المعیشة؛ حر عاملی، وسائل الشیعهه، ج ۱۸، أبواب الخیار.</w:t>
      </w:r>
    </w:p>
  </w:footnote>
  <w:footnote w:id="15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نساء: ۱۴۱.</w:t>
      </w:r>
    </w:p>
  </w:footnote>
  <w:footnote w:id="15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۱۵۳.</w:t>
      </w:r>
    </w:p>
  </w:footnote>
  <w:footnote w:id="15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نحل: ۹۲.</w:t>
      </w:r>
    </w:p>
  </w:footnote>
  <w:footnote w:id="15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شریف رضی، نهج البلاغه، نامهٔ ۵۳ (عهدنامهٔ مالک اشتر).</w:t>
      </w:r>
    </w:p>
  </w:footnote>
  <w:footnote w:id="16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۱۵۲.</w:t>
      </w:r>
    </w:p>
  </w:footnote>
  <w:footnote w:id="16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International Law Commission, Articles on Responsibility of States for Internationally Wrongful Acts, 2001, Yearbook of the International Law Commission, 2001, vol. II, Part Two. ر.ک: ضیایی بیگدلی، محمدرضا، حقوق بین‌الملل عمومی؛ زمانیان، داریوش و سیدقاسم زمانی، حقوق بین‌الملل عمومی: مسئولیت بین‌المللی دولت؛ حکمت‌نیا، حسن، نظام مسئولیت دولت در حقوق بین‌الملل.</w:t>
      </w:r>
    </w:p>
  </w:footnote>
  <w:footnote w:id="16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ابراهیم‌گل، علیرضا (مترجم)، و سیفی، سیدجمال (زیرنظر)، مسئولیت بین‌المللی دولتش.</w:t>
      </w:r>
    </w:p>
  </w:footnote>
  <w:footnote w:id="16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۱ و ۲.</w:t>
      </w:r>
    </w:p>
  </w:footnote>
  <w:footnote w:id="16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۳۰ و ۳۱.</w:t>
      </w:r>
    </w:p>
  </w:footnote>
  <w:footnote w:id="16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۳۴ تا ۳۷.</w:t>
      </w:r>
    </w:p>
  </w:footnote>
  <w:footnote w:id="16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Chorzów Factory (Germany v. Poland), Merits, Judgment No. 13, 1928, P. C. I. J. , Series A, No. 17, p. 47.</w:t>
      </w:r>
    </w:p>
  </w:footnote>
  <w:footnote w:id="16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۴۰ و ۴۱.</w:t>
      </w:r>
    </w:p>
  </w:footnote>
  <w:footnote w:id="16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۴۹ تا ۵۳.</w:t>
      </w:r>
    </w:p>
  </w:footnote>
  <w:footnote w:id="16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 para. 85.</w:t>
      </w:r>
    </w:p>
  </w:footnote>
  <w:footnote w:id="17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Military and Paramilitary Activities in and against Nicaragua (Nicaragua v. United States of America), Merits, Judgment, I. C. J. Reports 1986, p. 14, para. 249.</w:t>
      </w:r>
    </w:p>
  </w:footnote>
  <w:footnote w:id="17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۴.</w:t>
      </w:r>
    </w:p>
  </w:footnote>
  <w:footnote w:id="17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اصول ۵، ۵۷، ۱۰۷ و ۱۱۰. ر.ک: صورت مشروح مذاکرات مجلس بررسی نهایی قانون اساسی جمهوری اسلامی ایران؛ قاضی شریعت‌پناهی، سیدابوالفضل، حقوق اساسی و نهادهای سیاسی؛ نظرات تفسیری شورای نگهبان دربارهٔ اصول قانون اساسی؛ و قانون آیین‌نامهٔ داخلی مجلس شورای اسلامی (مواد ناظر به بررسی عهدنامه‌ها).</w:t>
      </w:r>
    </w:p>
  </w:footnote>
  <w:footnote w:id="17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United States Diplomatic and Consular Staff in Tehran (United States of America v. Iran), Judgment, I. C. J. Reports 1980, p. 3.</w:t>
      </w:r>
    </w:p>
  </w:footnote>
  <w:footnote w:id="17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مادهٔ ۲۷.</w:t>
      </w:r>
    </w:p>
  </w:footnote>
  <w:footnote w:id="17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۳۲.</w:t>
      </w:r>
    </w:p>
  </w:footnote>
  <w:footnote w:id="17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۲۶.</w:t>
      </w:r>
    </w:p>
  </w:footnote>
  <w:footnote w:id="17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۲۵.</w:t>
      </w:r>
    </w:p>
  </w:footnote>
  <w:footnote w:id="17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(Hungary v. Slovakia), Judgment, I. C. J. Reports 1997, p. 7, para. 52.</w:t>
      </w:r>
    </w:p>
  </w:footnote>
  <w:footnote w:id="17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Gabčíkovo-Nagymaros Project, I. C. J. Reports 1997, p. 7, paras. 52-58.</w:t>
      </w:r>
    </w:p>
  </w:footnote>
  <w:footnote w:id="18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۲۳.</w:t>
      </w:r>
    </w:p>
  </w:footnote>
  <w:footnote w:id="18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مادهٔ ۲۴.</w:t>
      </w:r>
    </w:p>
  </w:footnote>
  <w:footnote w:id="18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طرح مواد مسئولیت بین‌المللی دولت‌ها، مواد ۲۲ و ۴۹ تا ۵۴.</w:t>
      </w:r>
    </w:p>
  </w:footnote>
  <w:footnote w:id="183">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توبه: ۷.</w:t>
      </w:r>
    </w:p>
  </w:footnote>
  <w:footnote w:id="184">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سورهٔ انفال: ۵۸.</w:t>
      </w:r>
    </w:p>
  </w:footnote>
  <w:footnote w:id="185">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قانون اساسی جمهوری اسلامی ایران، اصل ۴.</w:t>
      </w:r>
    </w:p>
  </w:footnote>
  <w:footnote w:id="186">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برنامهٔ جامع اقدام مشترک (برجام)، بندهای ۲۶، ۳۶ و ۳۷؛ قطعنامهٔ ۲۲۳۱ شورای امنیت سازمان ملل متحد، مورخ ۲۰ ژوئیهٔ ۲۰۱۵.</w:t>
      </w:r>
    </w:p>
  </w:footnote>
  <w:footnote w:id="187">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اساسنامهٔ رم دیوان کیفری بین‌المللی، ۱۹۹۸، مواد ۱۲۷.</w:t>
      </w:r>
    </w:p>
  </w:footnote>
  <w:footnote w:id="188">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Democratic Alliance v. Minister of International Relations and Cooperation, High Court of South Africa (Gauteng Local Division, Johannesburg), Case No. 83145/2016, judgment of 22 February 2017.</w:t>
      </w:r>
    </w:p>
  </w:footnote>
  <w:footnote w:id="189">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معاهدهٔ اتحادیهٔ اروپا، مادهٔ ۵۰؛ R (Miller) v. Secretary of State for Exiting the European Union, [2017] UKSC 5.</w:t>
      </w:r>
    </w:p>
  </w:footnote>
  <w:footnote w:id="190">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۱۹ تا ۲۳.</w:t>
      </w:r>
    </w:p>
  </w:footnote>
  <w:footnote w:id="191">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کنوانسیون وین حقوق معاهدات، مواد ۳۱ و ۳۲.</w:t>
      </w:r>
    </w:p>
  </w:footnote>
  <w:footnote w:id="192">
    <w:p>
      <w:pPr>
        <w:pStyle w:val="FootnoteText"/>
      </w:pPr>
      <w:r>
        <w:rPr>
          <w:rStyle w:val="FootnoteReference"/>
        </w:rPr>
        <w:footnoteRef/>
      </w:r>
      <w:r>
        <w:rPr>
          <w:sz w:val="20"/>
          <w:szCs w:val="20"/>
        </w:rPr>
        <w:t xml:space="preserve">‏ </w:t>
      </w:r>
      <w:r>
        <w:rPr>
          <w:rFonts w:ascii="Times New Roman" w:hAnsi="Times New Roman" w:cs="B Nazanin" w:eastAsia="B Nazanin"/>
          <w:color w:val="1A1A1A"/>
          <w:sz w:val="20"/>
          <w:szCs w:val="20"/>
          <w:lang w:val="en-US" w:eastAsia="en-US" w:bidi="fa-IR"/>
        </w:rPr>
        <w:t xml:space="preserve">بحار الانوار، ابواب وفای به عهد؛ صحیح مسلم، کتاب الجهاد و السیر.</w:t>
      </w:r>
    </w:p>
  </w:footnote>
</w:footnotes>
</file>

<file path=word/header1.xml><?xml version="1.0" encoding="utf-8"?>
<w:hdr xmlns:w="http://schemas.openxmlformats.org/wordprocessingml/2006/main" xmlns:r="http://schemas.openxmlformats.org/officeDocument/2006/relationships">
  <w:p>
    <w:pPr>
      <w:pStyle w:val="Header"/>
      <w:tabs>
        <w:tab w:val="left" w:pos="8504"/>
      </w:tabs>
    </w:pPr>
    <w:r>
      <w:rPr>
        <w:rFonts w:ascii="Times New Roman" w:hAnsi="Times New Roman" w:cs="B Nazanin" w:eastAsia="B Nazanin"/>
        <w:color w:val="595959"/>
        <w:sz w:val="18"/>
        <w:szCs w:val="18"/>
        <w:lang w:val="en-US" w:eastAsia="en-US" w:bidi="fa-IR"/>
      </w:rPr>
      <w:t xml:space="preserve">عدول ولی فقیه از تعهدات بین‌المللی دولت اسلامی</w:t>
    </w:r>
    <w:r>
      <w:rPr>
        <w:rFonts w:ascii="Times New Roman" w:hAnsi="Times New Roman" w:cs="B Nazanin" w:eastAsia="B Nazanin"/>
        <w:color w:val="595959"/>
        <w:sz w:val="18"/>
        <w:szCs w:val="18"/>
        <w:lang w:val="en-US" w:eastAsia="en-US" w:bidi="fa-IR"/>
      </w:rPr>
      <w:tab/>
    </w:r>
    <w:r>
      <w:rPr>
        <w:rFonts w:ascii="Times New Roman" w:hAnsi="Times New Roman" w:cs="B Nazanin" w:eastAsia="B Nazanin"/>
        <w:color w:val="595959"/>
        <w:sz w:val="18"/>
        <w:szCs w:val="18"/>
        <w:lang w:val="en-US" w:eastAsia="en-US" w:bidi="fa-IR"/>
      </w:rPr>
      <w:fldChar w:fldCharType="begin"/>
    </w:r>
    <w:r>
      <w:rPr>
        <w:rFonts w:ascii="Times New Roman" w:hAnsi="Times New Roman" w:cs="B Nazanin" w:eastAsia="B Nazanin"/>
        <w:color w:val="595959"/>
        <w:sz w:val="18"/>
        <w:szCs w:val="18"/>
        <w:lang w:val="en-US" w:eastAsia="en-US" w:bidi="fa-IR"/>
      </w:rPr>
      <w:instrText xml:space="preserve"> STYLEREF "TH-Fasl" \* MERGEFORMAT </w:instrText>
    </w:r>
    <w:r>
      <w:rPr>
        <w:rFonts w:ascii="Times New Roman" w:hAnsi="Times New Roman" w:cs="B Nazanin" w:eastAsia="B Nazanin"/>
        <w:color w:val="595959"/>
        <w:sz w:val="18"/>
        <w:szCs w:val="18"/>
        <w:lang w:val="en-US" w:eastAsia="en-US" w:bidi="fa-IR"/>
      </w:rPr>
      <w:fldChar w:fldCharType="separate"/>
    </w:r>
    <w:r>
      <w:rPr>
        <w:rFonts w:ascii="Times New Roman" w:hAnsi="Times New Roman" w:cs="B Nazanin" w:eastAsia="B Nazanin"/>
        <w:color w:val="595959"/>
        <w:sz w:val="18"/>
        <w:szCs w:val="18"/>
        <w:lang w:val="en-US" w:eastAsia="en-US" w:bidi="fa-IR"/>
      </w:rPr>
      <w:t xml:space="preserve">‏</w:t>
    </w:r>
    <w:r>
      <w:rPr>
        <w:rFonts w:ascii="Times New Roman" w:hAnsi="Times New Roman" w:cs="B Nazanin" w:eastAsia="B Nazanin"/>
        <w:color w:val="595959"/>
        <w:sz w:val="18"/>
        <w:szCs w:val="18"/>
        <w:lang w:val="en-US" w:eastAsia="en-US" w:bidi="fa-IR"/>
      </w:rPr>
      <w:fldChar w:fldCharType="end"/>
    </w:r>
  </w:p>
</w:hdr>
</file>

<file path=word/header2.xml><?xml version="1.0" encoding="utf-8"?>
<w:hdr xmlns:w="http://schemas.openxmlformats.org/wordprocessingml/2006/main" xmlns:r="http://schemas.openxmlformats.org/officeDocument/2006/relationships">
  <w:p>
    <w:pPr>
      <w:pStyle w:val="HeaderBlank"/>
    </w:pPr>
  </w:p>
</w:hdr>
</file>

<file path=word/settings.xml><?xml version="1.0" encoding="utf-8"?>
<w:settings xmlns:w="http://schemas.openxmlformats.org/wordprocessingml/2006/main" xmlns:r="http://schemas.openxmlformats.org/officeDocument/2006/relationships" xmlns:m="http://schemas.openxmlformats.org/officeDocument/2006/math" xmlns:sl="http://schemas.openxmlformats.org/schemaLibrary/2006/main" xmlns:v="urn:schemas-microsoft-com:vml">
  <w:zoom w:percent="100"/>
  <w:proofState w:spelling="clean" w:grammar="clean"/>
  <w:defaultTabStop w:val="720"/>
  <w:autoHyphenation w:val="0"/>
  <w:displayHorizontalDrawingGridEvery w:val="0"/>
  <w:displayVerticalDrawingGridEvery w:val="2"/>
  <w:drawingGridVerticalSpacing w:val="120"/>
  <w:characterSpacingControl w:val="doNotCompress"/>
  <w:doNotValidateAgainstSchema/>
  <w:doNotDemarcateInvalidXml/>
  <w:updateFields w:val="true"/>
  <w:footnotePr>
    <w:footnote w:id="-1"/>
    <w:footnote w:id="0"/>
  </w:footnotePr>
  <w:compat>
    <w:spaceForUL/>
    <w:balanceSingleByteDoubleByteWidth/>
    <w:doNotLeaveBackslashAlone/>
    <w:ulTrailSpace/>
    <w:doNotExpandShiftReturn/>
    <w:adjustLineHeightInTable/>
    <w:useFELayout/>
  </w:compat>
  <w:rsids>
    <w:rsidRoot w:val="00AA11BB"/>
  </w:rsids>
  <w:themeFontLang w:val="en-US" w:eastAsia="en-US" w:bidi="fa-IR"/>
  <w:clrSchemeMapping w:bg1="light1" w:t1="dark1" w:bg2="light2" w:t2="dark2" w:accent1="accent1" w:accent2="accent2" w:accent3="accent3" w:accent4="accent4" w:accent5="accent5" w:accent6="accent6" w:hyperlink="hyperlink" w:followedHyperlink="followedHyperlink"/>
  <w:shapeDefaults>
    <v:shapedefaults v:ext="edit" spidmax="1026"/>
    <v:shapelayout v:ext="edit">
      <v:idmap v:ext="edit" data="1"/>
    </v:shapelayout>
  </w:shapeDefaults>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B Nazanin" w:eastAsia="B Nazanin"/>
        <w:sz w:val="28"/>
        <w:szCs w:val="28"/>
        <w:lang w:val="en-US" w:eastAsia="en-US" w:bidi="fa-IR"/>
      </w:rPr>
    </w:rPrDefault>
    <w:pPrDefault>
      <w:pPr>
        <w:spacing w:after="120" w:line="360" w:lineRule="auto"/>
        <w:bidi/>
      </w:pPr>
    </w:pPrDefault>
  </w:docDefaults>
  <w:latentStyles w:defLockedState="0" w:defUIPriority="99" w:defSemiHidden="0" w:defUnhideWhenUsed="0" w:defQFormat="0" w:count="371">
    <w:lsdException w:name="Normal" w:qFormat="1"/>
    <w:lsdException w:name="heading 1" w:qFormat="1"/>
    <w:lsdException w:name="heading 2" w:qFormat="1"/>
    <w:lsdException w:name="heading 3" w:qFormat="1"/>
    <w:lsdException w:name="toc 1" w:semiHidden="1" w:unhideWhenUsed="1"/>
    <w:lsdException w:name="header" w:semiHidden="1" w:unhideWhenUsed="1"/>
    <w:lsdException w:name="footer" w:semiHidden="1" w:unhideWhenUsed="1"/>
    <w:lsdException w:name="footnote text" w:semiHidden="1" w:unhideWhenUsed="1"/>
  </w:latentStyles>
  <w:style w:type="paragraph" w:default="1" w:styleId="Normal">
    <w:name w:val="Normal"/>
    <w:qFormat/>
    <w:pPr>
      <w:spacing w:before="0" w:after="120" w:line="360" w:lineRule="auto"/>
      <w:ind w:firstLine="284"/>
      <w:widowControl/>
      <w:jc w:val="both"/>
      <w:bidi/>
    </w:pPr>
    <w:rPr>
      <w:rFonts w:ascii="Times New Roman" w:hAnsi="Times New Roman" w:cs="B Nazanin" w:eastAsia="B Nazanin"/>
      <w:color w:val="1A1A1A"/>
      <w:sz w:val="28"/>
      <w:szCs w:val="28"/>
      <w:lang w:val="en-US" w:eastAsia="en-US" w:bidi="fa-IR"/>
    </w:rPr>
  </w:style>
  <w:style w:type="character" w:customStyle="1" w:styleId="FootnoteReference">
    <w:name w:val="footnote reference"/>
    <w:qFormat/>
    <w:rPr>
      <w:vertAlign w:val="superscript"/>
    </w:rPr>
  </w:style>
  <w:style w:type="character" w:customStyle="1" w:styleId="HyperlinkC">
    <w:name w:val="Hyperlink Custom"/>
    <w:qFormat/>
    <w:rPr>
      <w:rFonts w:ascii="Times New Roman" w:hAnsi="Times New Roman" w:cs="B Nazanin" w:eastAsia="B Nazanin"/>
      <w:color w:val="4A4A4A"/>
      <w:lang w:val="en-US" w:eastAsia="en-US" w:bidi="fa-IR"/>
    </w:rPr>
  </w:style>
  <w:style w:type="character" w:customStyle="1" w:styleId="StrongC">
    <w:name w:val="Strong Custom"/>
    <w:qFormat/>
    <w:rPr>
      <w:b/>
      <w:bCs/>
    </w:rPr>
  </w:style>
  <w:style w:type="paragraph" w:customStyle="1" w:styleId="TH-Body">
    <w:name w:val="TH-Body"/>
    <w:basedOn w:val="Normal"/>
    <w:next w:val="TH-Body"/>
    <w:uiPriority w:val="1"/>
    <w:qFormat/>
  </w:style>
  <w:style w:type="paragraph" w:customStyle="1" w:styleId="TH-Body0">
    <w:name w:val="TH-Body NoIndent"/>
    <w:basedOn w:val="Normal"/>
    <w:uiPriority w:val="1"/>
    <w:qFormat/>
    <w:pPr>
      <w:spacing w:before="0" w:after="120" w:line="360" w:lineRule="auto"/>
      <w:ind w:firstLine="0"/>
      <w:widowControl/>
      <w:jc w:val="both"/>
      <w:bidi/>
    </w:pPr>
    <w:rPr>
      <w:rFonts w:ascii="Times New Roman" w:hAnsi="Times New Roman" w:cs="B Nazanin" w:eastAsia="B Nazanin"/>
      <w:color w:val="1A1A1A"/>
      <w:sz w:val="28"/>
      <w:szCs w:val="28"/>
      <w:lang w:val="en-US" w:eastAsia="en-US" w:bidi="fa-IR"/>
    </w:rPr>
  </w:style>
  <w:style w:type="paragraph" w:customStyle="1" w:styleId="TH-Bakhsh">
    <w:name w:val="TH-Bakhsh"/>
    <w:basedOn w:val="Normal"/>
    <w:next w:val="TH-Fasl"/>
    <w:uiPriority w:val="9"/>
    <w:qFormat/>
    <w:pPr>
      <w:pageBreakBefore/>
      <w:spacing w:before="0" w:after="0" w:line="240" w:lineRule="auto"/>
      <w:ind w:firstLine="0"/>
      <w:widowControl/>
      <w:jc w:val="center"/>
      <w:bidi/>
      <w:keepLines/>
      <w:keepNext/>
      <w:outlineLvl w:val="0"/>
    </w:pPr>
    <w:rPr>
      <w:rFonts w:ascii="Times New Roman" w:hAnsi="Times New Roman" w:cs="B Titr" w:eastAsia="B Titr"/>
      <w:b/>
      <w:bCs/>
      <w:color w:val="000000"/>
      <w:sz w:val="40"/>
      <w:szCs w:val="40"/>
      <w:lang w:val="en-US" w:eastAsia="en-US" w:bidi="fa-IR"/>
    </w:rPr>
  </w:style>
  <w:style w:type="paragraph" w:customStyle="1" w:styleId="TH-Fasl">
    <w:name w:val="TH-Fasl"/>
    <w:basedOn w:val="Normal"/>
    <w:next w:val="TH-Body"/>
    <w:uiPriority w:val="9"/>
    <w:qFormat/>
    <w:pPr>
      <w:pageBreakBefore/>
      <w:pBdr>
        <w:bottom w:val="single" w:sz="6" w:space="4" w:color="4A4A4A"/>
      </w:pBdr>
      <w:spacing w:before="0" w:after="360" w:line="240" w:lineRule="auto"/>
      <w:ind w:firstLine="0"/>
      <w:widowControl/>
      <w:jc w:val="center"/>
      <w:bidi/>
      <w:keepLines/>
      <w:keepNext/>
      <w:outlineLvl w:val="1"/>
    </w:pPr>
    <w:rPr>
      <w:rFonts w:ascii="Times New Roman" w:hAnsi="Times New Roman" w:cs="B Titr" w:eastAsia="B Titr"/>
      <w:b/>
      <w:bCs/>
      <w:color w:val="000000"/>
      <w:sz w:val="34"/>
      <w:szCs w:val="34"/>
      <w:lang w:val="en-US" w:eastAsia="en-US" w:bidi="fa-IR"/>
    </w:rPr>
  </w:style>
  <w:style w:type="paragraph" w:customStyle="1" w:styleId="TH-Goftar">
    <w:name w:val="TH-Goftar"/>
    <w:basedOn w:val="Normal"/>
    <w:next w:val="TH-Band"/>
    <w:uiPriority w:val="9"/>
    <w:qFormat/>
    <w:pPr>
      <w:spacing w:before="320" w:after="140" w:line="240" w:lineRule="auto"/>
      <w:ind w:firstLine="0" w:right="0"/>
      <w:widowControl/>
      <w:jc w:val="right"/>
      <w:bidi/>
      <w:keepLines/>
      <w:keepNext/>
      <w:outlineLvl w:val="2"/>
    </w:pPr>
    <w:rPr>
      <w:rFonts w:ascii="Times New Roman" w:hAnsi="Times New Roman" w:cs="B Titr" w:eastAsia="B Titr"/>
      <w:b/>
      <w:bCs/>
      <w:color w:val="000000"/>
      <w:sz w:val="29"/>
      <w:szCs w:val="29"/>
      <w:lang w:val="en-US" w:eastAsia="en-US" w:bidi="fa-IR"/>
    </w:rPr>
  </w:style>
  <w:style w:type="paragraph" w:customStyle="1" w:styleId="TH-Band">
    <w:name w:val="TH-Band"/>
    <w:basedOn w:val="Normal"/>
    <w:next w:val="TH-Body"/>
    <w:uiPriority w:val="9"/>
    <w:qFormat/>
    <w:pPr>
      <w:spacing w:before="240" w:after="100" w:line="240" w:lineRule="auto"/>
      <w:ind w:firstLine="0" w:right="284"/>
      <w:widowControl/>
      <w:jc w:val="right"/>
      <w:bidi/>
      <w:keepLines/>
      <w:keepNext/>
      <w:outlineLvl w:val="3"/>
    </w:pPr>
    <w:rPr>
      <w:rFonts w:ascii="Times New Roman" w:hAnsi="Times New Roman" w:cs="B Nazanin" w:eastAsia="B Nazanin"/>
      <w:b/>
      <w:bCs/>
      <w:color w:val="000000"/>
      <w:sz w:val="28"/>
      <w:szCs w:val="28"/>
      <w:lang w:val="en-US" w:eastAsia="en-US" w:bidi="fa-IR"/>
    </w:rPr>
  </w:style>
  <w:style w:type="paragraph" w:customStyle="1" w:styleId="TH-Zirband">
    <w:name w:val="TH-Zirband"/>
    <w:basedOn w:val="Normal"/>
    <w:next w:val="TH-Body"/>
    <w:uiPriority w:val="9"/>
    <w:qFormat/>
    <w:pPr>
      <w:spacing w:before="180" w:after="80" w:line="240" w:lineRule="auto"/>
      <w:ind w:firstLine="0" w:right="567"/>
      <w:widowControl/>
      <w:jc w:val="right"/>
      <w:bidi/>
      <w:keepLines/>
      <w:keepNext/>
      <w:outlineLvl w:val="4"/>
    </w:pPr>
    <w:rPr>
      <w:rFonts w:ascii="Times New Roman" w:hAnsi="Times New Roman" w:cs="B Nazanin" w:eastAsia="B Nazanin"/>
      <w:b/>
      <w:bCs/>
      <w:color w:val="1A1A1A"/>
      <w:sz w:val="27"/>
      <w:szCs w:val="27"/>
      <w:lang w:val="en-US" w:eastAsia="en-US" w:bidi="fa-IR"/>
    </w:rPr>
  </w:style>
  <w:style w:type="paragraph" w:customStyle="1" w:styleId="TH-Natije">
    <w:name w:val="TH-Natije"/>
    <w:basedOn w:val="Normal"/>
    <w:next w:val="TH-Body"/>
    <w:uiPriority w:val="9"/>
    <w:qFormat/>
    <w:pPr>
      <w:pageBreakBefore/>
      <w:pBdr>
        <w:bottom w:val="single" w:sz="6" w:space="4" w:color="4A4A4A"/>
      </w:pBdr>
      <w:spacing w:before="0" w:after="420" w:line="240" w:lineRule="auto"/>
      <w:ind w:firstLine="0"/>
      <w:widowControl/>
      <w:jc w:val="center"/>
      <w:bidi/>
      <w:keepLines/>
      <w:keepNext/>
      <w:outlineLvl w:val="1"/>
    </w:pPr>
    <w:rPr>
      <w:rFonts w:ascii="Times New Roman" w:hAnsi="Times New Roman" w:cs="B Titr" w:eastAsia="B Titr"/>
      <w:b/>
      <w:bCs/>
      <w:color w:val="000000"/>
      <w:sz w:val="40"/>
      <w:szCs w:val="40"/>
      <w:lang w:val="en-US" w:eastAsia="en-US" w:bidi="fa-IR"/>
    </w:rPr>
  </w:style>
  <w:style w:type="paragraph" w:customStyle="1" w:styleId="TH-End">
    <w:name w:val="TH-End"/>
    <w:basedOn w:val="Normal"/>
    <w:uiPriority w:val="9"/>
    <w:qFormat/>
    <w:pPr>
      <w:pageBreakBefore/>
      <w:spacing w:before="2400" w:after="240" w:line="240" w:lineRule="auto"/>
      <w:ind w:firstLine="0"/>
      <w:widowControl/>
      <w:jc w:val="center"/>
      <w:bidi/>
      <w:keepLines/>
    </w:pPr>
    <w:rPr>
      <w:rFonts w:ascii="Times New Roman" w:hAnsi="Times New Roman" w:cs="B Titr" w:eastAsia="B Titr"/>
      <w:b/>
      <w:bCs/>
      <w:color w:val="000000"/>
      <w:sz w:val="34"/>
      <w:szCs w:val="34"/>
      <w:lang w:val="en-US" w:eastAsia="en-US" w:bidi="fa-IR"/>
    </w:rPr>
  </w:style>
  <w:style w:type="paragraph" w:customStyle="1" w:styleId="TH-EndSub">
    <w:name w:val="TH-End Sub"/>
    <w:basedOn w:val="Normal"/>
    <w:uiPriority w:val="9"/>
    <w:qFormat/>
    <w:pPr>
      <w:spacing w:before="0" w:after="0" w:line="240" w:lineRule="auto"/>
      <w:ind w:firstLine="0"/>
      <w:widowControl/>
      <w:jc w:val="center"/>
      <w:bidi/>
      <w:keepLines/>
    </w:pPr>
    <w:rPr>
      <w:rFonts w:ascii="Times New Roman" w:hAnsi="Times New Roman" w:cs="B Nazanin" w:eastAsia="B Nazanin"/>
      <w:color w:val="595959"/>
      <w:sz w:val="28"/>
      <w:szCs w:val="28"/>
      <w:lang w:val="en-US" w:eastAsia="en-US" w:bidi="fa-IR"/>
    </w:rPr>
  </w:style>
  <w:style w:type="paragraph" w:customStyle="1" w:styleId="TH-Hasel">
    <w:name w:val="TH-Hasel"/>
    <w:basedOn w:val="Normal"/>
    <w:next w:val="TH-Body"/>
    <w:uiPriority w:val="9"/>
    <w:qFormat/>
    <w:pPr>
      <w:pageBreakBefore/>
      <w:pBdr>
        <w:bottom w:val="single" w:sz="6" w:space="4" w:color="4A4A4A"/>
      </w:pBdr>
      <w:spacing w:before="360" w:after="160" w:line="240" w:lineRule="auto"/>
      <w:ind w:firstLine="0"/>
      <w:widowControl/>
      <w:jc w:val="center"/>
      <w:bidi/>
      <w:keepLines/>
      <w:keepNext/>
      <w:outlineLvl w:val="2"/>
    </w:pPr>
    <w:rPr>
      <w:rFonts w:ascii="Times New Roman" w:hAnsi="Times New Roman" w:cs="B Titr" w:eastAsia="B Titr"/>
      <w:b/>
      <w:bCs/>
      <w:color w:val="000000"/>
      <w:sz w:val="29"/>
      <w:szCs w:val="29"/>
      <w:lang w:val="en-US" w:eastAsia="en-US" w:bidi="fa-IR"/>
    </w:rPr>
  </w:style>
  <w:style w:type="paragraph" w:customStyle="1" w:styleId="TH-Front">
    <w:name w:val="TH-Front"/>
    <w:basedOn w:val="Normal"/>
    <w:next w:val="TH-Body"/>
    <w:uiPriority w:val="9"/>
    <w:qFormat/>
    <w:pPr>
      <w:pageBreakBefore/>
      <w:spacing w:before="0" w:after="300" w:line="240" w:lineRule="auto"/>
      <w:ind w:firstLine="0"/>
      <w:widowControl/>
      <w:jc w:val="center"/>
      <w:bidi/>
      <w:keepLines/>
      <w:keepNext/>
      <w:outlineLvl w:val="1"/>
    </w:pPr>
    <w:rPr>
      <w:rFonts w:ascii="Times New Roman" w:hAnsi="Times New Roman" w:cs="B Titr" w:eastAsia="B Titr"/>
      <w:b/>
      <w:bCs/>
      <w:color w:val="000000"/>
      <w:sz w:val="34"/>
      <w:szCs w:val="34"/>
      <w:lang w:val="en-US" w:eastAsia="en-US" w:bidi="fa-IR"/>
    </w:rPr>
  </w:style>
  <w:style w:type="paragraph" w:customStyle="1" w:styleId="TH-FrontNoBrk">
    <w:name w:val="TH-Front NoBreak"/>
    <w:basedOn w:val="TH-Front"/>
    <w:next w:val="TH-Body"/>
    <w:uiPriority w:val="9"/>
    <w:qFormat/>
    <w:pPr>
      <w:spacing w:before="0" w:after="300" w:line="240" w:lineRule="auto"/>
      <w:ind w:firstLine="0"/>
      <w:widowControl/>
      <w:jc w:val="center"/>
      <w:bidi/>
      <w:keepLines/>
      <w:keepNext/>
      <w:outlineLvl w:val="1"/>
    </w:pPr>
    <w:rPr>
      <w:rFonts w:ascii="Times New Roman" w:hAnsi="Times New Roman" w:cs="B Titr" w:eastAsia="B Titr"/>
      <w:b/>
      <w:bCs/>
      <w:color w:val="000000"/>
      <w:sz w:val="34"/>
      <w:szCs w:val="34"/>
      <w:lang w:val="en-US" w:eastAsia="en-US" w:bidi="fa-IR"/>
    </w:rPr>
  </w:style>
  <w:style w:type="paragraph" w:customStyle="1" w:styleId="TH-Ayah">
    <w:name w:val="TH-Ayah (Quran)"/>
    <w:basedOn w:val="Normal"/>
    <w:next w:val="TH-Trans"/>
    <w:uiPriority w:val="5"/>
    <w:qFormat/>
    <w:pPr>
      <w:spacing w:before="200" w:after="60" w:line="340" w:lineRule="auto"/>
      <w:ind w:firstLine="0" w:left="425" w:right="425"/>
      <w:widowControl/>
      <w:jc w:val="center"/>
      <w:bidi/>
      <w:keepLines/>
    </w:pPr>
    <w:rPr>
      <w:rFonts w:ascii="Times New Roman" w:hAnsi="Times New Roman" w:cs="B Nazanin" w:eastAsia="B Nazanin"/>
      <w:b/>
      <w:bCs/>
      <w:color w:val="000000"/>
      <w:sz w:val="31"/>
      <w:szCs w:val="31"/>
      <w:lang w:val="en-US" w:eastAsia="en-US" w:bidi="fa-IR"/>
    </w:rPr>
  </w:style>
  <w:style w:type="paragraph" w:customStyle="1" w:styleId="TH-Riwayah">
    <w:name w:val="TH-Riwayah (Hadith)"/>
    <w:basedOn w:val="Normal"/>
    <w:next w:val="TH-Trans"/>
    <w:uiPriority w:val="5"/>
    <w:qFormat/>
    <w:pPr>
      <w:spacing w:before="160" w:after="60" w:line="340" w:lineRule="auto"/>
      <w:ind w:firstLine="0" w:left="425" w:right="425"/>
      <w:widowControl/>
      <w:jc w:val="both"/>
      <w:bidi/>
      <w:keepLines/>
    </w:pPr>
    <w:rPr>
      <w:rFonts w:ascii="Times New Roman" w:hAnsi="Times New Roman" w:cs="B Nazanin" w:eastAsia="B Nazanin"/>
      <w:color w:val="000000"/>
      <w:sz w:val="31"/>
      <w:szCs w:val="31"/>
      <w:lang w:val="en-US" w:eastAsia="en-US" w:bidi="fa-IR"/>
    </w:rPr>
  </w:style>
  <w:style w:type="paragraph" w:customStyle="1" w:styleId="TH-Trans">
    <w:name w:val="TH-Translation"/>
    <w:basedOn w:val="Normal"/>
    <w:next w:val="TH-Body"/>
    <w:uiPriority w:val="5"/>
    <w:qFormat/>
    <w:pPr>
      <w:spacing w:before="0" w:after="180" w:line="276" w:lineRule="auto"/>
      <w:ind w:firstLine="0" w:left="567" w:right="567"/>
      <w:widowControl/>
      <w:jc w:val="both"/>
      <w:bidi/>
    </w:pPr>
    <w:rPr>
      <w:rFonts w:ascii="Times New Roman" w:hAnsi="Times New Roman" w:cs="B Nazanin" w:eastAsia="B Nazanin"/>
      <w:color w:val="595959"/>
      <w:sz w:val="26"/>
      <w:szCs w:val="26"/>
      <w:lang w:val="en-US" w:eastAsia="en-US" w:bidi="fa-IR"/>
    </w:rPr>
  </w:style>
  <w:style w:type="paragraph" w:customStyle="1" w:styleId="TH-Quote">
    <w:name w:val="TH-Quote"/>
    <w:basedOn w:val="Normal"/>
    <w:next w:val="TH-Body"/>
    <w:uiPriority w:val="5"/>
    <w:qFormat/>
    <w:pPr>
      <w:spacing w:before="140" w:after="140" w:line="276" w:lineRule="auto"/>
      <w:ind w:firstLine="0" w:left="567" w:right="567"/>
      <w:widowControl/>
      <w:jc w:val="both"/>
      <w:bidi/>
    </w:pPr>
    <w:rPr>
      <w:rFonts w:ascii="Times New Roman" w:hAnsi="Times New Roman" w:cs="B Nazanin" w:eastAsia="B Nazanin"/>
      <w:color w:val="1A1A1A"/>
      <w:sz w:val="26"/>
      <w:szCs w:val="26"/>
      <w:lang w:val="en-US" w:eastAsia="en-US" w:bidi="fa-IR"/>
    </w:rPr>
  </w:style>
  <w:style w:type="paragraph" w:customStyle="1" w:styleId="TH-Bismillah">
    <w:name w:val="TH-Bismillah"/>
    <w:basedOn w:val="Normal"/>
    <w:uiPriority w:val="5"/>
    <w:qFormat/>
    <w:pPr>
      <w:pageBreakBefore/>
      <w:spacing w:before="0" w:after="240" w:line="240" w:lineRule="auto"/>
      <w:ind w:firstLine="0"/>
      <w:widowControl/>
      <w:jc w:val="center"/>
      <w:bidi/>
      <w:keepNext/>
    </w:pPr>
    <w:rPr>
      <w:rFonts w:ascii="Times New Roman" w:hAnsi="Times New Roman" w:cs="B Nazanin" w:eastAsia="B Nazanin"/>
      <w:b/>
      <w:bCs/>
      <w:color w:val="000000"/>
      <w:sz w:val="36"/>
      <w:szCs w:val="36"/>
      <w:lang w:val="en-US" w:eastAsia="en-US" w:bidi="fa-IR"/>
    </w:rPr>
  </w:style>
  <w:style w:type="paragraph" w:customStyle="1" w:styleId="T-Bism">
    <w:name w:val="Title-Bismillah"/>
    <w:basedOn w:val="Normal"/>
    <w:uiPriority w:val="3"/>
    <w:qFormat/>
    <w:pPr>
      <w:spacing w:before="0" w:after="300" w:line="240" w:lineRule="auto"/>
      <w:ind w:firstLine="0"/>
      <w:widowControl/>
      <w:jc w:val="center"/>
      <w:bidi/>
    </w:pPr>
    <w:rPr>
      <w:rFonts w:ascii="Times New Roman" w:hAnsi="Times New Roman" w:cs="B Nazanin" w:eastAsia="B Nazanin"/>
      <w:color w:val="000000"/>
      <w:sz w:val="28"/>
      <w:szCs w:val="28"/>
      <w:lang w:val="en-US" w:eastAsia="en-US" w:bidi="fa-IR"/>
    </w:rPr>
  </w:style>
  <w:style w:type="paragraph" w:customStyle="1" w:styleId="T-Field">
    <w:name w:val="Title-Field"/>
    <w:basedOn w:val="Normal"/>
    <w:uiPriority w:val="3"/>
    <w:qFormat/>
    <w:pPr>
      <w:spacing w:before="0" w:after="80" w:line="240" w:lineRule="auto"/>
      <w:ind w:firstLine="0"/>
      <w:widowControl/>
      <w:jc w:val="center"/>
      <w:bidi/>
    </w:pPr>
    <w:rPr>
      <w:rFonts w:ascii="Times New Roman" w:hAnsi="Times New Roman" w:cs="B Nazanin" w:eastAsia="B Nazanin"/>
      <w:color w:val="1A1A1A"/>
      <w:sz w:val="28"/>
      <w:szCs w:val="28"/>
      <w:lang w:val="en-US" w:eastAsia="en-US" w:bidi="fa-IR"/>
    </w:rPr>
  </w:style>
  <w:style w:type="paragraph" w:customStyle="1" w:styleId="T-Level">
    <w:name w:val="Title-Level"/>
    <w:basedOn w:val="Normal"/>
    <w:uiPriority w:val="3"/>
    <w:qFormat/>
    <w:pPr>
      <w:spacing w:before="0" w:after="160" w:line="240" w:lineRule="auto"/>
      <w:ind w:firstLine="0"/>
      <w:widowControl/>
      <w:jc w:val="center"/>
      <w:bidi/>
    </w:pPr>
    <w:rPr>
      <w:rFonts w:ascii="Times New Roman" w:hAnsi="Times New Roman" w:cs="B Nazanin" w:eastAsia="B Nazanin"/>
      <w:color w:val="000000"/>
      <w:sz w:val="32"/>
      <w:szCs w:val="32"/>
      <w:lang w:val="en-US" w:eastAsia="en-US" w:bidi="fa-IR"/>
    </w:rPr>
  </w:style>
  <w:style w:type="paragraph" w:customStyle="1" w:styleId="T-Gap1">
    <w:name w:val="Title-Gap1"/>
    <w:basedOn w:val="Normal"/>
    <w:uiPriority w:val="3"/>
    <w:qFormat/>
    <w:pPr>
      <w:spacing w:before="0" w:after="160" w:line="240" w:lineRule="auto"/>
      <w:ind w:firstLine="0"/>
      <w:widowControl/>
      <w:jc w:val="center"/>
      <w:bidi/>
    </w:pPr>
    <w:rPr>
      <w:rFonts w:ascii="Times New Roman" w:hAnsi="Times New Roman" w:cs="B Nazanin" w:eastAsia="B Nazanin"/>
      <w:color w:val="000000"/>
      <w:sz w:val="22"/>
      <w:szCs w:val="22"/>
      <w:lang w:val="en-US" w:eastAsia="en-US" w:bidi="fa-IR"/>
    </w:rPr>
  </w:style>
  <w:style w:type="paragraph" w:customStyle="1" w:styleId="T-Gap2">
    <w:name w:val="Title-Gap2"/>
    <w:basedOn w:val="Normal"/>
    <w:uiPriority w:val="3"/>
    <w:qFormat/>
    <w:pPr>
      <w:spacing w:before="0" w:after="140" w:line="240" w:lineRule="auto"/>
      <w:ind w:firstLine="0"/>
      <w:widowControl/>
      <w:jc w:val="center"/>
      <w:bidi/>
    </w:pPr>
    <w:rPr>
      <w:rFonts w:ascii="Times New Roman" w:hAnsi="Times New Roman" w:cs="B Nazanin" w:eastAsia="B Nazanin"/>
      <w:color w:val="000000"/>
      <w:sz w:val="22"/>
      <w:szCs w:val="22"/>
      <w:lang w:val="en-US" w:eastAsia="en-US" w:bidi="fa-IR"/>
    </w:rPr>
  </w:style>
  <w:style w:type="paragraph" w:customStyle="1" w:styleId="T-Gap3">
    <w:name w:val="Title-Gap3"/>
    <w:basedOn w:val="Normal"/>
    <w:uiPriority w:val="3"/>
    <w:qFormat/>
    <w:pPr>
      <w:spacing w:before="0" w:after="100" w:line="240" w:lineRule="auto"/>
      <w:ind w:firstLine="0"/>
      <w:widowControl/>
      <w:jc w:val="center"/>
      <w:bidi/>
    </w:pPr>
    <w:rPr>
      <w:rFonts w:ascii="Times New Roman" w:hAnsi="Times New Roman" w:cs="B Nazanin" w:eastAsia="B Nazanin"/>
      <w:color w:val="000000"/>
      <w:sz w:val="22"/>
      <w:szCs w:val="22"/>
      <w:lang w:val="en-US" w:eastAsia="en-US" w:bidi="fa-IR"/>
    </w:rPr>
  </w:style>
  <w:style w:type="paragraph" w:customStyle="1" w:styleId="T-Org">
    <w:name w:val="Title-Organization"/>
    <w:basedOn w:val="Normal"/>
    <w:uiPriority w:val="3"/>
    <w:qFormat/>
    <w:pPr>
      <w:spacing w:before="0" w:after="100" w:line="240" w:lineRule="auto"/>
      <w:ind w:firstLine="0"/>
      <w:widowControl/>
      <w:jc w:val="center"/>
      <w:bidi/>
    </w:pPr>
    <w:rPr>
      <w:rFonts w:ascii="Times New Roman" w:hAnsi="Times New Roman" w:cs="B Titr" w:eastAsia="B Titr"/>
      <w:b/>
      <w:bCs/>
      <w:color w:val="000000"/>
      <w:sz w:val="30"/>
      <w:szCs w:val="30"/>
      <w:lang w:val="en-US" w:eastAsia="en-US" w:bidi="fa-IR"/>
    </w:rPr>
  </w:style>
  <w:style w:type="paragraph" w:customStyle="1" w:styleId="T-OrgSub">
    <w:name w:val="Title-Organization Sub"/>
    <w:basedOn w:val="Normal"/>
    <w:uiPriority w:val="3"/>
    <w:qFormat/>
    <w:pPr>
      <w:spacing w:before="0" w:after="200" w:line="240" w:lineRule="auto"/>
      <w:ind w:firstLine="0"/>
      <w:widowControl/>
      <w:jc w:val="center"/>
      <w:bidi/>
    </w:pPr>
    <w:rPr>
      <w:rFonts w:ascii="Times New Roman" w:hAnsi="Times New Roman" w:cs="B Nazanin" w:eastAsia="B Nazanin"/>
      <w:color w:val="1A1A1A"/>
      <w:sz w:val="28"/>
      <w:szCs w:val="28"/>
      <w:lang w:val="en-US" w:eastAsia="en-US" w:bidi="fa-IR"/>
    </w:rPr>
  </w:style>
  <w:style w:type="paragraph" w:customStyle="1" w:styleId="T-Rule">
    <w:name w:val="Title-Rule"/>
    <w:basedOn w:val="Normal"/>
    <w:uiPriority w:val="3"/>
    <w:qFormat/>
    <w:pPr>
      <w:pBdr>
        <w:bottom w:val="single" w:sz="8" w:space="4" w:color="4A4A4A"/>
      </w:pBdr>
      <w:spacing w:before="200" w:after="200" w:line="240" w:lineRule="auto"/>
      <w:ind w:firstLine="0" w:left="1701" w:right="1701"/>
      <w:widowControl/>
      <w:jc w:val="center"/>
      <w:bidi/>
    </w:pPr>
    <w:rPr>
      <w:rFonts w:ascii="Times New Roman" w:hAnsi="Times New Roman" w:cs="B Nazanin" w:eastAsia="B Nazanin"/>
      <w:sz w:val="4"/>
      <w:szCs w:val="4"/>
      <w:lang w:val="en-US" w:eastAsia="en-US" w:bidi="fa-IR"/>
    </w:rPr>
  </w:style>
  <w:style w:type="paragraph" w:customStyle="1" w:styleId="T-Main">
    <w:name w:val="Title-Main"/>
    <w:basedOn w:val="Normal"/>
    <w:uiPriority w:val="3"/>
    <w:qFormat/>
    <w:pPr>
      <w:spacing w:before="0" w:after="160" w:line="400" w:lineRule="auto"/>
      <w:ind w:firstLine="0"/>
      <w:widowControl/>
      <w:jc w:val="center"/>
      <w:bidi/>
      <w:keepLines/>
    </w:pPr>
    <w:rPr>
      <w:rFonts w:ascii="Times New Roman" w:hAnsi="Times New Roman" w:cs="B Titr" w:eastAsia="B Titr"/>
      <w:b/>
      <w:bCs/>
      <w:color w:val="000000"/>
      <w:sz w:val="44"/>
      <w:szCs w:val="44"/>
      <w:lang w:val="en-US" w:eastAsia="en-US" w:bidi="fa-IR"/>
    </w:rPr>
  </w:style>
  <w:style w:type="paragraph" w:customStyle="1" w:styleId="T-Sub">
    <w:name w:val="Title-Subtitle"/>
    <w:basedOn w:val="Normal"/>
    <w:uiPriority w:val="3"/>
    <w:qFormat/>
    <w:pPr>
      <w:spacing w:before="0" w:after="240" w:line="360" w:lineRule="auto"/>
      <w:ind w:firstLine="0"/>
      <w:widowControl/>
      <w:jc w:val="center"/>
      <w:bidi/>
      <w:keepLines/>
    </w:pPr>
    <w:rPr>
      <w:rFonts w:ascii="Times New Roman" w:hAnsi="Times New Roman" w:cs="B Titr" w:eastAsia="B Titr"/>
      <w:color w:val="1A1A1A"/>
      <w:sz w:val="32"/>
      <w:szCs w:val="32"/>
      <w:lang w:val="en-US" w:eastAsia="en-US" w:bidi="fa-IR"/>
    </w:rPr>
  </w:style>
  <w:style w:type="paragraph" w:customStyle="1" w:styleId="T-Meta">
    <w:name w:val="Title-Meta"/>
    <w:basedOn w:val="Normal"/>
    <w:uiPriority w:val="3"/>
    <w:qFormat/>
    <w:pPr>
      <w:spacing w:before="0" w:after="90" w:line="276" w:lineRule="auto"/>
      <w:ind w:firstLine="0"/>
      <w:widowControl/>
      <w:jc w:val="center"/>
      <w:bidi/>
    </w:pPr>
    <w:rPr>
      <w:rFonts w:ascii="Times New Roman" w:hAnsi="Times New Roman" w:cs="B Nazanin" w:eastAsia="B Nazanin"/>
      <w:color w:val="1A1A1A"/>
      <w:sz w:val="28"/>
      <w:szCs w:val="28"/>
      <w:lang w:val="en-US" w:eastAsia="en-US" w:bidi="fa-IR"/>
    </w:rPr>
  </w:style>
  <w:style w:type="paragraph" w:customStyle="1" w:styleId="T-MetaB">
    <w:name w:val="Title-Meta Bold"/>
    <w:basedOn w:val="Normal"/>
    <w:uiPriority w:val="3"/>
    <w:qFormat/>
    <w:pPr>
      <w:spacing w:before="0" w:after="90" w:line="276" w:lineRule="auto"/>
      <w:ind w:firstLine="0"/>
      <w:widowControl/>
      <w:jc w:val="center"/>
      <w:bidi/>
    </w:pPr>
    <w:rPr>
      <w:rFonts w:ascii="Times New Roman" w:hAnsi="Times New Roman" w:cs="B Nazanin" w:eastAsia="B Nazanin"/>
      <w:b/>
      <w:bCs/>
      <w:color w:val="000000"/>
      <w:sz w:val="28"/>
      <w:szCs w:val="28"/>
      <w:lang w:val="en-US" w:eastAsia="en-US" w:bidi="fa-IR"/>
    </w:rPr>
  </w:style>
  <w:style w:type="paragraph" w:customStyle="1" w:styleId="T-Date">
    <w:name w:val="Title-Date"/>
    <w:basedOn w:val="Normal"/>
    <w:uiPriority w:val="3"/>
    <w:qFormat/>
    <w:pPr>
      <w:spacing w:before="400" w:after="0" w:line="240" w:lineRule="auto"/>
      <w:ind w:firstLine="0"/>
      <w:widowControl/>
      <w:jc w:val="center"/>
      <w:bidi/>
    </w:pPr>
    <w:rPr>
      <w:rFonts w:ascii="Times New Roman" w:hAnsi="Times New Roman" w:cs="B Nazanin" w:eastAsia="B Nazanin"/>
      <w:b/>
      <w:bCs/>
      <w:color w:val="000000"/>
      <w:sz w:val="28"/>
      <w:szCs w:val="28"/>
      <w:lang w:val="en-US" w:eastAsia="en-US" w:bidi="fa-IR"/>
    </w:rPr>
  </w:style>
  <w:style w:type="paragraph" w:customStyle="1" w:styleId="T-Spacer">
    <w:name w:val="Title-Spacer"/>
    <w:basedOn w:val="Normal"/>
    <w:uiPriority w:val="3"/>
    <w:qFormat/>
    <w:pPr>
      <w:spacing w:before="0" w:after="0" w:line="240" w:lineRule="auto"/>
      <w:ind w:firstLine="0"/>
      <w:widowControl/>
      <w:jc w:val="center"/>
      <w:bidi/>
    </w:pPr>
    <w:rPr>
      <w:rFonts w:ascii="Times New Roman" w:hAnsi="Times New Roman" w:cs="B Nazanin" w:eastAsia="B Nazanin"/>
      <w:sz w:val="28"/>
      <w:szCs w:val="28"/>
      <w:lang w:val="en-US" w:eastAsia="en-US" w:bidi="fa-IR"/>
    </w:rPr>
  </w:style>
  <w:style w:type="paragraph" w:customStyle="1" w:styleId="Header">
    <w:name w:val="header"/>
    <w:basedOn w:val="Normal"/>
    <w:uiPriority w:val="99"/>
    <w:unhideWhenUsed/>
    <w:qFormat/>
    <w:pPr>
      <w:pBdr>
        <w:bottom w:val="single" w:sz="4" w:space="4" w:color="8C8C8C"/>
      </w:pBdr>
      <w:spacing w:before="0" w:after="0" w:line="240" w:lineRule="auto"/>
      <w:ind w:firstLine="0"/>
      <w:widowControl/>
      <w:jc w:val="right"/>
      <w:bidi/>
    </w:pPr>
    <w:rPr>
      <w:rFonts w:ascii="Times New Roman" w:hAnsi="Times New Roman" w:cs="B Nazanin" w:eastAsia="B Nazanin"/>
      <w:color w:val="595959"/>
      <w:sz w:val="18"/>
      <w:szCs w:val="18"/>
      <w:lang w:val="en-US" w:eastAsia="en-US" w:bidi="fa-IR"/>
    </w:rPr>
  </w:style>
  <w:style w:type="paragraph" w:customStyle="1" w:styleId="Footer">
    <w:name w:val="footer"/>
    <w:basedOn w:val="Normal"/>
    <w:uiPriority w:val="99"/>
    <w:unhideWhenUsed/>
    <w:qFormat/>
    <w:pPr>
      <w:pBdr>
        <w:top w:val="single" w:sz="4" w:space="4" w:color="8C8C8C"/>
      </w:pBdr>
      <w:spacing w:before="0" w:after="0" w:line="240" w:lineRule="auto"/>
      <w:ind w:firstLine="0"/>
      <w:widowControl/>
      <w:jc w:val="center"/>
      <w:bidi/>
    </w:pPr>
    <w:rPr>
      <w:rFonts w:ascii="Times New Roman" w:hAnsi="Times New Roman" w:cs="B Nazanin" w:eastAsia="B Nazanin"/>
      <w:color w:val="595959"/>
      <w:sz w:val="18"/>
      <w:szCs w:val="18"/>
      <w:lang w:val="en-US" w:eastAsia="en-US" w:bidi="fa-IR"/>
    </w:rPr>
  </w:style>
  <w:style w:type="paragraph" w:customStyle="1" w:styleId="HeaderBlank">
    <w:name w:val="header blank"/>
    <w:basedOn w:val="Normal"/>
    <w:uiPriority w:val="99"/>
    <w:qFormat/>
    <w:pPr>
      <w:spacing w:before="0" w:after="0" w:line="240" w:lineRule="auto"/>
      <w:ind w:firstLine="0"/>
      <w:widowControl/>
      <w:jc w:val="center"/>
      <w:bidi/>
    </w:pPr>
    <w:rPr>
      <w:rFonts w:ascii="Times New Roman" w:hAnsi="Times New Roman" w:cs="B Nazanin" w:eastAsia="B Nazanin"/>
      <w:sz w:val="2"/>
      <w:szCs w:val="2"/>
      <w:lang w:val="en-US" w:eastAsia="en-US" w:bidi="fa-IR"/>
    </w:rPr>
  </w:style>
  <w:style w:type="paragraph" w:customStyle="1" w:styleId="FooterBlank">
    <w:name w:val="footer blank"/>
    <w:basedOn w:val="Normal"/>
    <w:uiPriority w:val="99"/>
    <w:qFormat/>
    <w:pPr>
      <w:spacing w:before="0" w:after="0" w:line="240" w:lineRule="auto"/>
      <w:ind w:firstLine="0"/>
      <w:widowControl/>
      <w:jc w:val="center"/>
      <w:bidi/>
    </w:pPr>
    <w:rPr>
      <w:rFonts w:ascii="Times New Roman" w:hAnsi="Times New Roman" w:cs="B Nazanin" w:eastAsia="B Nazanin"/>
      <w:sz w:val="2"/>
      <w:szCs w:val="2"/>
      <w:lang w:val="en-US" w:eastAsia="en-US" w:bidi="fa-IR"/>
    </w:rPr>
  </w:style>
  <w:style w:type="paragraph" w:customStyle="1" w:styleId="FootnoteText">
    <w:name w:val="footnote text"/>
    <w:basedOn w:val="Normal"/>
    <w:uiPriority w:val="99"/>
    <w:unhideWhenUsed/>
    <w:qFormat/>
    <w:pPr>
      <w:spacing w:before="0" w:after="40" w:line="276" w:lineRule="auto"/>
      <w:ind w:firstLine="0"/>
      <w:widowControl/>
      <w:jc w:val="both"/>
      <w:bidi/>
    </w:pPr>
    <w:rPr>
      <w:rFonts w:ascii="Times New Roman" w:hAnsi="Times New Roman" w:cs="B Nazanin" w:eastAsia="B Nazanin"/>
      <w:color w:val="1A1A1A"/>
      <w:sz w:val="20"/>
      <w:szCs w:val="20"/>
      <w:lang w:val="en-US" w:eastAsia="en-US" w:bidi="fa-IR"/>
    </w:rPr>
  </w:style>
  <w:style w:type="paragraph" w:customStyle="1" w:styleId="TOC1">
    <w:name w:val="toc 1"/>
    <w:basedOn w:val="Normal"/>
    <w:uiPriority w:val="39"/>
    <w:unhideWhenUsed/>
    <w:qFormat/>
    <w:pPr>
      <w:tabs>
        <w:tab w:val="left" w:leader="dot" w:pos="8504"/>
      </w:tabs>
      <w:spacing w:before="120" w:after="60" w:line="276" w:lineRule="auto"/>
      <w:ind w:firstLine="0" w:right="0"/>
      <w:widowControl/>
      <w:jc w:val="right"/>
      <w:bidi/>
    </w:pPr>
    <w:rPr>
      <w:rFonts w:ascii="Times New Roman" w:hAnsi="Times New Roman" w:cs="B Titr" w:eastAsia="B Titr"/>
      <w:b/>
      <w:bCs/>
      <w:color w:val="000000"/>
      <w:sz w:val="26"/>
      <w:szCs w:val="26"/>
      <w:lang w:val="en-US" w:eastAsia="en-US" w:bidi="fa-IR"/>
    </w:rPr>
  </w:style>
  <w:style w:type="paragraph" w:customStyle="1" w:styleId="TOC2">
    <w:name w:val="toc 2"/>
    <w:basedOn w:val="Normal"/>
    <w:uiPriority w:val="39"/>
    <w:unhideWhenUsed/>
    <w:qFormat/>
    <w:pPr>
      <w:tabs>
        <w:tab w:val="left" w:leader="dot" w:pos="8277"/>
      </w:tabs>
      <w:spacing w:before="60" w:after="40" w:line="276" w:lineRule="auto"/>
      <w:ind w:firstLine="0" w:right="227"/>
      <w:widowControl/>
      <w:jc w:val="right"/>
      <w:bidi/>
    </w:pPr>
    <w:rPr>
      <w:rFonts w:ascii="Times New Roman" w:hAnsi="Times New Roman" w:cs="B Titr" w:eastAsia="B Titr"/>
      <w:b/>
      <w:bCs/>
      <w:color w:val="000000"/>
      <w:sz w:val="25"/>
      <w:szCs w:val="25"/>
      <w:lang w:val="en-US" w:eastAsia="en-US" w:bidi="fa-IR"/>
    </w:rPr>
  </w:style>
  <w:style w:type="paragraph" w:customStyle="1" w:styleId="TOC3">
    <w:name w:val="toc 3"/>
    <w:basedOn w:val="Normal"/>
    <w:uiPriority w:val="39"/>
    <w:unhideWhenUsed/>
    <w:qFormat/>
    <w:pPr>
      <w:tabs>
        <w:tab w:val="left" w:leader="dot" w:pos="8050"/>
      </w:tabs>
      <w:spacing w:before="20" w:after="20" w:line="276" w:lineRule="auto"/>
      <w:ind w:firstLine="0" w:right="454"/>
      <w:widowControl/>
      <w:jc w:val="right"/>
      <w:bidi/>
    </w:pPr>
    <w:rPr>
      <w:rFonts w:ascii="Times New Roman" w:hAnsi="Times New Roman" w:cs="B Nazanin" w:eastAsia="B Nazanin"/>
      <w:color w:val="000000"/>
      <w:sz w:val="24"/>
      <w:szCs w:val="24"/>
      <w:lang w:val="en-US" w:eastAsia="en-US" w:bidi="fa-IR"/>
    </w:rPr>
  </w:style>
  <w:style w:type="paragraph" w:customStyle="1" w:styleId="TOC4">
    <w:name w:val="toc 4"/>
    <w:basedOn w:val="Normal"/>
    <w:uiPriority w:val="39"/>
    <w:unhideWhenUsed/>
    <w:qFormat/>
    <w:pPr>
      <w:tabs>
        <w:tab w:val="left" w:leader="dot" w:pos="7824"/>
      </w:tabs>
      <w:spacing w:before="20" w:after="20" w:line="276" w:lineRule="auto"/>
      <w:ind w:firstLine="0" w:right="680"/>
      <w:widowControl/>
      <w:jc w:val="right"/>
      <w:bidi/>
    </w:pPr>
    <w:rPr>
      <w:rFonts w:ascii="Times New Roman" w:hAnsi="Times New Roman" w:cs="B Nazanin" w:eastAsia="B Nazanin"/>
      <w:color w:val="000000"/>
      <w:sz w:val="22"/>
      <w:szCs w:val="22"/>
      <w:lang w:val="en-US" w:eastAsia="en-US" w:bidi="fa-IR"/>
    </w:rPr>
  </w:style>
  <w:style w:type="paragraph" w:customStyle="1" w:styleId="TH-Bib">
    <w:name w:val="TH-Bibliography"/>
    <w:basedOn w:val="Normal"/>
    <w:uiPriority w:val="5"/>
    <w:qFormat/>
    <w:pPr>
      <w:spacing w:before="0" w:after="180" w:line="300" w:lineRule="auto"/>
      <w:ind w:firstLine="0" w:hanging="454"/>
      <w:widowControl/>
      <w:jc w:val="both"/>
      <w:bidi/>
      <w:keepLines/>
    </w:pPr>
    <w:rPr>
      <w:rFonts w:ascii="Times New Roman" w:hAnsi="Times New Roman" w:cs="B Nazanin" w:eastAsia="B Nazanin"/>
      <w:color w:val="000000"/>
      <w:sz w:val="25"/>
      <w:szCs w:val="25"/>
      <w:lang w:val="en-US" w:eastAsia="en-US" w:bidi="fa-IR"/>
    </w:rPr>
  </w:style>
  <w:style w:type="paragraph" w:customStyle="1" w:styleId="TH-BibNote">
    <w:name w:val="TH-Bib Note"/>
    <w:basedOn w:val="Normal"/>
    <w:uiPriority w:val="5"/>
    <w:qFormat/>
    <w:pPr>
      <w:spacing w:before="0" w:after="140" w:line="276" w:lineRule="auto"/>
      <w:ind w:firstLine="0" w:left="425" w:right="425"/>
      <w:widowControl/>
      <w:jc w:val="both"/>
      <w:bidi/>
    </w:pPr>
    <w:rPr>
      <w:rFonts w:ascii="Times New Roman" w:hAnsi="Times New Roman" w:cs="B Nazanin" w:eastAsia="B Nazanin"/>
      <w:color w:val="595959"/>
      <w:sz w:val="26"/>
      <w:szCs w:val="26"/>
      <w:lang w:val="en-US" w:eastAsia="en-US" w:bidi="fa-IR"/>
    </w:rPr>
  </w:style>
  <w:style w:type="paragraph" w:customStyle="1" w:styleId="TH-English">
    <w:name w:val="TH-English"/>
    <w:basedOn w:val="Normal"/>
    <w:uiPriority w:val="5"/>
    <w:qFormat/>
    <w:pPr>
      <w:spacing w:before="0" w:after="140" w:line="276" w:lineRule="auto"/>
      <w:ind w:firstLine="284"/>
      <w:widowControl/>
      <w:jc w:val="both"/>
      <w:bidi/>
    </w:pPr>
    <w:rPr>
      <w:rFonts w:ascii="Times New Roman" w:hAnsi="Times New Roman" w:cs="Times New Roman"/>
      <w:sz w:val="24"/>
      <w:szCs w:val="24"/>
      <w:lang w:val="en-US"/>
    </w:rPr>
  </w:style>
  <w:style w:type="paragraph" w:customStyle="1" w:styleId="TH-EnglishTitle">
    <w:name w:val="TH-English Title"/>
    <w:basedOn w:val="Normal"/>
    <w:uiPriority w:val="5"/>
    <w:qFormat/>
    <w:pPr>
      <w:pageBreakBefore/>
      <w:spacing w:before="0" w:after="240" w:line="240" w:lineRule="auto"/>
      <w:ind w:firstLine="0"/>
      <w:widowControl/>
      <w:jc w:val="center"/>
      <w:bidi/>
      <w:keepNext/>
      <w:outlineLvl w:val="1"/>
    </w:pPr>
    <w:rPr>
      <w:rFonts w:ascii="B Titr" w:hAnsi="B Titr" w:cs="B Titr"/>
      <w:b/>
      <w:sz w:val="34"/>
      <w:szCs w:val="34"/>
      <w:lang w:val="en-US"/>
    </w:rPr>
  </w:style>
  <w:style w:type="table" w:customStyle="1" w:styleId="TH-Table">
    <w:name w:val="TH-Table"/>
    <w:basedOn w:val="TableNormal"/>
    <w:uiPriority w:val="39"/>
    <w:qFormat/>
    <w:tblP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60" w:type="dxa"/>
        <w:left w:w="90" w:type="dxa"/>
        <w:bottom w:w="60" w:type="dxa"/>
        <w:right w:w="90"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T-FieldEdge">
    <w:name w:val="T-Field Edge"/>
    <w:basedOn w:val="Normal"/>
    <w:uiPriority w:val="99"/>
    <w:pPr>
      <w:spacing w:before="0" w:after="0" w:line="2" w:lineRule="exact"/>
      <w:ind w:firstLine="0"/>
      <w:widowControl/>
      <w:jc w:val="right"/>
      <w:bidi/>
    </w:pPr>
    <w:rPr>
      <w:rFonts w:ascii="Times New Roman" w:hAnsi="Times New Roman" w:cs="B Nazanin" w:eastAsia="B Nazanin"/>
      <w:color w:val="1A1A1A"/>
      <w:sz w:val="2"/>
      <w:szCs w:val="2"/>
      <w:lang w:val="en-US" w:eastAsia="en-US" w:bidi="fa-IR"/>
    </w:rPr>
  </w:style>
  <w:style w:type="paragraph" w:customStyle="1" w:styleId="TH-TblCaption">
    <w:name w:val="TH-Tbl Caption"/>
    <w:basedOn w:val="Normal"/>
    <w:uiPriority w:val="39"/>
    <w:qFormat/>
    <w:pPr>
      <w:spacing w:before="200" w:after="100" w:line="240" w:lineRule="auto"/>
      <w:ind w:firstLine="0"/>
      <w:widowControl/>
      <w:jc w:val="center"/>
      <w:bidi/>
      <w:keepNext/>
    </w:pPr>
    <w:rPr>
      <w:rFonts w:ascii="Times New Roman" w:hAnsi="Times New Roman" w:cs="B Nazanin" w:eastAsia="B Nazanin"/>
      <w:b/>
      <w:bCs/>
      <w:color w:val="000000"/>
      <w:sz w:val="22"/>
      <w:szCs w:val="22"/>
      <w:lang w:val="en-US" w:eastAsia="en-US" w:bidi="fa-IR"/>
    </w:rPr>
  </w:style>
  <w:style w:type="paragraph" w:customStyle="1" w:styleId="TH-TblCell">
    <w:name w:val="TH-Tbl Cell"/>
    <w:basedOn w:val="Normal"/>
    <w:uiPriority w:val="39"/>
    <w:qFormat/>
    <w:pPr>
      <w:spacing w:before="20" w:after="20" w:line="276" w:lineRule="auto"/>
      <w:ind w:firstLine="0"/>
      <w:widowControl/>
      <w:jc w:val="both"/>
      <w:bidi/>
    </w:pPr>
    <w:rPr>
      <w:rFonts w:ascii="Times New Roman" w:hAnsi="Times New Roman" w:cs="B Nazanin" w:eastAsia="B Nazanin"/>
      <w:color w:val="1A1A1A"/>
      <w:sz w:val="22"/>
      <w:szCs w:val="22"/>
      <w:lang w:val="en-US" w:eastAsia="en-US" w:bidi="fa-IR"/>
    </w:rPr>
  </w:style>
  <w:style w:type="paragraph" w:customStyle="1" w:styleId="TH-AbsMeta">
    <w:name w:val="TH-AbsMeta"/>
    <w:basedOn w:val="Normal"/>
    <w:uiPriority w:val="9"/>
    <w:qFormat/>
    <w:pPr>
      <w:spacing w:before="0" w:after="70" w:line="276" w:lineRule="auto"/>
      <w:ind w:firstLine="0"/>
      <w:widowControl/>
      <w:jc w:val="center"/>
      <w:bidi/>
    </w:pPr>
    <w:rPr>
      <w:rFonts w:ascii="Times New Roman" w:hAnsi="Times New Roman" w:cs="B Nazanin" w:eastAsia="B Nazanin"/>
      <w:color w:val="595959"/>
      <w:sz w:val="20"/>
      <w:szCs w:val="20"/>
      <w:lang w:val="en-US" w:eastAsia="en-US" w:bidi="fa-IR"/>
    </w:rPr>
  </w:style>
  <w:style w:type="paragraph" w:customStyle="1" w:styleId="TH-KwLabel">
    <w:name w:val="TH-KwLabel"/>
    <w:basedOn w:val="Normal"/>
    <w:uiPriority w:val="9"/>
    <w:qFormat/>
    <w:pPr>
      <w:pBdr>
        <w:top w:val="single" w:sz="4" w:space="4" w:color="8C8C8C"/>
      </w:pBdr>
      <w:spacing w:before="260" w:after="80" w:line="240" w:lineRule="auto"/>
      <w:ind w:firstLine="0"/>
      <w:widowControl/>
      <w:jc w:val="right"/>
      <w:bidi/>
      <w:keepNext/>
    </w:pPr>
    <w:rPr>
      <w:rFonts w:ascii="Times New Roman" w:hAnsi="Times New Roman" w:cs="B Nazanin" w:eastAsia="B Nazanin"/>
      <w:b/>
      <w:bCs/>
      <w:color w:val="000000"/>
      <w:sz w:val="28"/>
      <w:szCs w:val="28"/>
      <w:lang w:val="en-US" w:eastAsia="en-US" w:bidi="fa-IR"/>
    </w:rPr>
  </w:style>
  <w:style w:type="paragraph" w:customStyle="1" w:styleId="TH-Kw">
    <w:name w:val="TH-Kw"/>
    <w:basedOn w:val="Normal"/>
    <w:uiPriority w:val="9"/>
    <w:qFormat/>
    <w:pPr>
      <w:spacing w:before="0" w:after="0" w:line="276" w:lineRule="auto"/>
      <w:ind w:firstLine="0" w:left="284" w:right="284"/>
      <w:widowControl/>
      <w:jc w:val="both"/>
      <w:bidi/>
    </w:pPr>
    <w:rPr>
      <w:rFonts w:ascii="Times New Roman" w:hAnsi="Times New Roman" w:cs="B Nazanin" w:eastAsia="B Nazanin"/>
      <w:color w:val="1A1A1A"/>
      <w:sz w:val="28"/>
      <w:szCs w:val="28"/>
      <w:lang w:val="en-US" w:eastAsia="en-US" w:bidi="fa-IR"/>
    </w:rPr>
  </w:style>
  <w:style w:type="paragraph" w:customStyle="1" w:styleId="TH-KwLabelEn">
    <w:name w:val="TH-KwLabelEn"/>
    <w:basedOn w:val="Normal"/>
    <w:uiPriority w:val="9"/>
    <w:qFormat/>
    <w:pPr>
      <w:pBdr>
        <w:top w:val="single" w:sz="4" w:space="4" w:color="8C8C8C"/>
      </w:pBdr>
      <w:spacing w:before="260" w:after="80" w:line="240" w:lineRule="auto"/>
      <w:ind w:firstLine="0"/>
      <w:widowControl/>
      <w:jc w:val="left"/>
      <w:keepNext/>
    </w:pPr>
    <w:rPr>
      <w:rFonts w:ascii="Times New Roman" w:hAnsi="Times New Roman" w:cs="Times New Roman" w:eastAsia="Times New Roman"/>
      <w:b/>
      <w:bCs/>
      <w:color w:val="000000"/>
      <w:sz w:val="28"/>
      <w:szCs w:val="28"/>
      <w:lang w:val="en-US" w:eastAsia="en-US" w:bidi="fa-IR"/>
    </w:rPr>
  </w:style>
  <w:style w:type="paragraph" w:customStyle="1" w:styleId="TH-KwEn">
    <w:name w:val="TH-KwEn"/>
    <w:basedOn w:val="Normal"/>
    <w:uiPriority w:val="9"/>
    <w:qFormat/>
    <w:pPr>
      <w:spacing w:before="0" w:after="0" w:line="276" w:lineRule="auto"/>
      <w:ind w:firstLine="0" w:left="284" w:right="284"/>
      <w:widowControl/>
      <w:jc w:val="both"/>
    </w:pPr>
    <w:rPr>
      <w:rFonts w:ascii="Times New Roman" w:hAnsi="Times New Roman" w:cs="Times New Roman" w:eastAsia="Times New Roman"/>
      <w:color w:val="1A1A1A"/>
      <w:sz w:val="28"/>
      <w:szCs w:val="28"/>
      <w:lang w:val="en-US" w:eastAsia="en-US" w:bidi="fa-IR"/>
    </w:rPr>
  </w:style>
  <w:style w:type="paragraph" w:customStyle="1" w:styleId="TH-AbsMetaEn">
    <w:name w:val="TH-AbsMetaEn"/>
    <w:basedOn w:val="Normal"/>
    <w:uiPriority w:val="9"/>
    <w:qFormat/>
    <w:pPr>
      <w:spacing w:before="0" w:after="70" w:line="276" w:lineRule="auto"/>
      <w:ind w:firstLine="0"/>
      <w:widowControl/>
      <w:jc w:val="center"/>
    </w:pPr>
    <w:rPr>
      <w:rFonts w:ascii="Times New Roman" w:hAnsi="Times New Roman" w:cs="Times New Roman" w:eastAsia="Times New Roman"/>
      <w:color w:val="595959"/>
      <w:sz w:val="20"/>
      <w:szCs w:val="20"/>
      <w:lang w:val="en-US" w:eastAsia="en-US" w:bidi="fa-IR"/>
    </w:rPr>
  </w:style>
  <w:style w:type="paragraph" w:customStyle="1" w:styleId="TH-LOT">
    <w:name w:val="TH-LOT"/>
    <w:basedOn w:val="Normal"/>
    <w:uiPriority w:val="9"/>
    <w:qFormat/>
    <w:pPr>
      <w:spacing w:before="0" w:after="160" w:line="276" w:lineRule="auto"/>
      <w:ind w:firstLine="0" w:right="284"/>
      <w:widowControl/>
      <w:jc w:val="right"/>
      <w:bidi/>
      <w:keepLines/>
    </w:pPr>
    <w:rPr>
      <w:rFonts w:ascii="Times New Roman" w:hAnsi="Times New Roman" w:cs="B Nazanin" w:eastAsia="B Nazanin"/>
      <w:color w:val="000000"/>
      <w:sz w:val="20"/>
      <w:szCs w:val="20"/>
      <w:lang w:val="en-US" w:eastAsia="en-US" w:bidi="fa-IR"/>
    </w:rPr>
  </w:style>
  <w:style w:type="paragraph" w:customStyle="1" w:styleId="TH-TblSrc">
    <w:name w:val="TH-Tbl Source"/>
    <w:basedOn w:val="Normal"/>
    <w:uiPriority w:val="39"/>
    <w:qFormat/>
    <w:pPr>
      <w:spacing w:before="60" w:after="120" w:line="276" w:lineRule="auto"/>
      <w:ind w:firstLine="0"/>
      <w:widowControl/>
      <w:jc w:val="right"/>
      <w:bidi/>
      <w:keepLines/>
    </w:pPr>
    <w:rPr>
      <w:rFonts w:ascii="Times New Roman" w:hAnsi="Times New Roman" w:cs="B Nazanin" w:eastAsia="B Nazanin"/>
      <w:color w:val="595959"/>
      <w:sz w:val="20"/>
      <w:szCs w:val="20"/>
      <w:lang w:val="en-US" w:eastAsia="en-US" w:bidi="fa-IR"/>
    </w:rPr>
  </w:style>
  <w:style w:type="paragraph" w:customStyle="1" w:styleId="TH-EpigraphAr">
    <w:name w:val="TH-Epigraph Arabic"/>
    <w:basedOn w:val="Normal"/>
    <w:uiPriority w:val="5"/>
    <w:qFormat/>
    <w:pPr>
      <w:spacing w:before="2600" w:after="260" w:line="440" w:lineRule="auto"/>
      <w:ind w:firstLine="0" w:left="850" w:right="850"/>
      <w:widowControl/>
      <w:jc w:val="center"/>
      <w:bidi/>
      <w:keepLines/>
      <w:keepNext/>
    </w:pPr>
    <w:rPr>
      <w:rFonts w:ascii="Times New Roman" w:hAnsi="Times New Roman" w:cs="B Nazanin" w:eastAsia="B Nazanin"/>
      <w:b/>
      <w:bCs/>
      <w:color w:val="000000"/>
      <w:sz w:val="40"/>
      <w:szCs w:val="40"/>
      <w:lang w:val="en-US" w:eastAsia="en-US" w:bidi="fa-IR"/>
    </w:rPr>
  </w:style>
  <w:style w:type="paragraph" w:customStyle="1" w:styleId="TH-EpigraphFa">
    <w:name w:val="TH-Epigraph Persian"/>
    <w:basedOn w:val="Normal"/>
    <w:uiPriority w:val="5"/>
    <w:qFormat/>
    <w:pPr>
      <w:spacing w:before="0" w:after="180" w:line="360" w:lineRule="auto"/>
      <w:ind w:firstLine="0" w:left="850" w:right="850"/>
      <w:widowControl/>
      <w:jc w:val="center"/>
      <w:bidi/>
      <w:keepLines/>
      <w:keepNext/>
    </w:pPr>
    <w:rPr>
      <w:rFonts w:ascii="Times New Roman" w:hAnsi="Times New Roman" w:cs="B Nazanin" w:eastAsia="B Nazanin"/>
      <w:color w:val="1A1A1A"/>
      <w:sz w:val="26"/>
      <w:szCs w:val="26"/>
      <w:lang w:val="en-US" w:eastAsia="en-US" w:bidi="fa-IR"/>
    </w:rPr>
  </w:style>
  <w:style w:type="paragraph" w:customStyle="1" w:styleId="TH-EpigraphSrc">
    <w:name w:val="TH-Epigraph Source"/>
    <w:basedOn w:val="Normal"/>
    <w:uiPriority w:val="5"/>
    <w:qFormat/>
    <w:pPr>
      <w:spacing w:before="0" w:after="0" w:line="240" w:lineRule="auto"/>
      <w:ind w:firstLine="0"/>
      <w:widowControl/>
      <w:jc w:val="center"/>
      <w:bidi/>
      <w:keepLines/>
    </w:pPr>
    <w:rPr>
      <w:rFonts w:ascii="Times New Roman" w:hAnsi="Times New Roman" w:cs="B Nazanin" w:eastAsia="B Nazanin"/>
      <w:b/>
      <w:bCs/>
      <w:color w:val="595959"/>
      <w:sz w:val="28"/>
      <w:szCs w:val="28"/>
      <w:lang w:val="en-US" w:eastAsia="en-US" w:bidi="fa-IR"/>
    </w:rPr>
  </w:style>
  <w:style w:type="paragraph" w:customStyle="1" w:styleId="TH-TblAfter">
    <w:name w:val="TH-Tbl After"/>
    <w:basedOn w:val="Normal"/>
    <w:uiPriority w:val="39"/>
    <w:qFormat/>
    <w:pPr>
      <w:spacing w:before="0" w:after="160" w:line="240" w:lineRule="auto"/>
      <w:ind w:firstLine="0"/>
      <w:widowControl/>
      <w:jc w:val="right"/>
      <w:bidi/>
    </w:pPr>
    <w:rPr>
      <w:rFonts w:ascii="Times New Roman" w:hAnsi="Times New Roman" w:cs="B Nazanin" w:eastAsia="B Nazanin"/>
      <w:color w:val="1A1A1A"/>
      <w:sz w:val="12"/>
      <w:szCs w:val="12"/>
      <w:lang w:val="en-US" w:eastAsia="en-US" w:bidi="fa-IR"/>
    </w:rPr>
  </w:style>
  <w:style w:type="paragraph" w:customStyle="1" w:styleId="TH-TableTxt">
    <w:name w:val="TH-Table Text"/>
    <w:basedOn w:val="Normal"/>
    <w:uiPriority w:val="5"/>
    <w:qFormat/>
    <w:pPr>
      <w:spacing w:before="40" w:after="40" w:line="276" w:lineRule="auto"/>
      <w:ind w:firstLine="0"/>
      <w:widowControl/>
      <w:jc w:val="both"/>
      <w:bidi/>
    </w:pPr>
    <w:rPr>
      <w:rFonts w:ascii="Times New Roman" w:hAnsi="Times New Roman" w:cs="B Nazanin" w:eastAsia="B Nazanin"/>
      <w:color w:val="1A1A1A"/>
      <w:sz w:val="26"/>
      <w:szCs w:val="26"/>
      <w:lang w:val="en-US" w:eastAsia="en-US" w:bidi="fa-IR"/>
    </w:rPr>
  </w:style>
  <w:style w:type="paragraph" w:customStyle="1" w:styleId="TH-Caption">
    <w:name w:val="TH-Caption"/>
    <w:basedOn w:val="Normal"/>
    <w:uiPriority w:val="5"/>
    <w:qFormat/>
    <w:pPr>
      <w:spacing w:before="160" w:after="80" w:line="240" w:lineRule="auto"/>
      <w:ind w:firstLine="0"/>
      <w:widowControl/>
      <w:jc w:val="center"/>
      <w:bidi/>
      <w:keepNext/>
    </w:pPr>
    <w:rPr>
      <w:rFonts w:ascii="Times New Roman" w:hAnsi="Times New Roman" w:cs="B Nazanin" w:eastAsia="B Nazanin"/>
      <w:b/>
      <w:bCs/>
      <w:color w:val="000000"/>
      <w:sz w:val="26"/>
      <w:szCs w:val="26"/>
      <w:lang w:val="en-US" w:eastAsia="en-US" w:bidi="fa-IR"/>
    </w:rPr>
  </w:style>
  <w:style w:type="paragraph" w:customStyle="1" w:styleId="TH-Source">
    <w:name w:val="TH-Source"/>
    <w:basedOn w:val="Normal"/>
    <w:uiPriority w:val="5"/>
    <w:qFormat/>
    <w:pPr>
      <w:spacing w:before="60" w:after="200" w:line="240" w:lineRule="auto"/>
      <w:ind w:firstLine="0"/>
      <w:widowControl/>
      <w:jc w:val="right"/>
      <w:bidi/>
    </w:pPr>
    <w:rPr>
      <w:rFonts w:ascii="Times New Roman" w:hAnsi="Times New Roman" w:cs="B Nazanin" w:eastAsia="B Nazanin"/>
      <w:color w:val="595959"/>
      <w:sz w:val="20"/>
      <w:szCs w:val="20"/>
      <w:lang w:val="en-US" w:eastAsia="en-US"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197</Pages>
  <Words>43161</Words>
  <Characters>258966</Characters>
  <Application>Microsoft Office Word</Application>
  <DocSecurity>0</DocSecurity>
  <Lines>1</Lines>
  <Paragraphs>1</Paragraphs>
  <ScaleCrop>false</ScaleCrop>
  <Company>حوزه‌های علمیه</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عدول ولی فقیه از تعهدات بین‌المللی دولت اسلامی از منظر فقه امامیه و حقوق بین‌الملل</dc:title>
  <dc:creator>هادی شبستانی</dc:creator>
  <cp:lastModifiedBy>هادی شبستانی</cp:lastModifiedBy>
  <cp:revision>2</cp:revision>
  <dc:subject>رساله علمی سطح سه حوزه‌های علمیه ـ گرایش فقه و اصول</dc:subject>
  <dc:description>نسخه بازبینی و صفحه‌آرایی‌شده</dc:description>
  <cp:keywords>ولی فقیه؛ تعهدات بین‌المللی؛ معاهدات؛ وفای به عهد؛ حکم حکومتی؛ تزاحم؛ مصلحت؛ مسئولیت بین‌المللی؛ کنوانسیون وین؛ قانون اساسی</cp:keywords>
  <cp:category>رساله علمی سطح سه</cp:category>
</cp:coreProperties>
</file>