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widowControl/>
        <w:bidi w:val="1"/>
        <w:spacing w:before="0" w:after="120" w:line="276" w:lineRule="auto"/>
        <w:jc w:val="center"/>
      </w:pPr>
      <w:r>
        <w:rPr>
          <w:rFonts w:ascii="B Titr" w:hAnsi="B Titr" w:cs="B Titr" w:eastAsia="B Titr"/>
          <w:b w:val="0"/>
          <w:i w:val="0"/>
          <w:sz w:val="32"/>
          <w:szCs w:val="32"/>
        </w:rPr>
        <w:t>حوزه علمیه …</w:t>
      </w:r>
    </w:p>
    <w:p>
      <w:pPr>
        <w:widowControl/>
        <w:bidi w:val="1"/>
        <w:spacing w:before="0" w:after="120" w:line="276" w:lineRule="auto"/>
        <w:jc w:val="center"/>
      </w:pPr>
      <w:r>
        <w:rPr>
          <w:rFonts w:ascii="B Titr" w:hAnsi="B Titr" w:cs="B Titr" w:eastAsia="B Titr"/>
          <w:b/>
          <w:i w:val="0"/>
          <w:sz w:val="40"/>
          <w:szCs w:val="40"/>
        </w:rPr>
        <w:t>رساله علمی سطح سه</w:t>
      </w:r>
    </w:p>
    <w:p>
      <w:pPr>
        <w:widowControl/>
        <w:bidi w:val="1"/>
        <w:spacing w:before="0" w:after="120" w:line="276" w:lineRule="auto"/>
        <w:jc w:val="center"/>
      </w:pPr>
    </w:p>
    <w:p>
      <w:pPr>
        <w:widowControl/>
        <w:bidi w:val="1"/>
        <w:spacing w:before="0" w:after="120" w:line="276" w:lineRule="auto"/>
        <w:jc w:val="center"/>
      </w:pPr>
      <w:r>
        <w:rPr>
          <w:rFonts w:ascii="B Titr" w:hAnsi="B Titr" w:cs="B Titr" w:eastAsia="B Titr"/>
          <w:b/>
          <w:i w:val="0"/>
          <w:sz w:val="40"/>
          <w:szCs w:val="40"/>
        </w:rPr>
        <w:t>قلمرو اختیارات ولی فقیه در تعلیق و نقض یک‌جانبه معاهدات بین‌المللی</w:t>
      </w:r>
    </w:p>
    <w:p>
      <w:pPr>
        <w:widowControl/>
        <w:bidi w:val="1"/>
        <w:spacing w:before="0" w:after="120" w:line="276" w:lineRule="auto"/>
        <w:jc w:val="center"/>
      </w:pPr>
      <w:r>
        <w:rPr>
          <w:rFonts w:ascii="B Titr" w:hAnsi="B Titr" w:cs="B Titr" w:eastAsia="B Titr"/>
          <w:b/>
          <w:i w:val="0"/>
          <w:sz w:val="36"/>
          <w:szCs w:val="36"/>
        </w:rPr>
        <w:t>(مطالعه فقهی ـ حقوقی)</w:t>
      </w:r>
    </w:p>
    <w:p>
      <w:pPr>
        <w:widowControl/>
        <w:bidi w:val="1"/>
        <w:spacing w:before="0" w:after="120" w:line="276" w:lineRule="auto"/>
        <w:jc w:val="center"/>
      </w:pPr>
    </w:p>
    <w:p>
      <w:pPr>
        <w:widowControl/>
        <w:bidi w:val="1"/>
        <w:spacing w:before="0" w:after="120" w:line="276" w:lineRule="auto"/>
        <w:jc w:val="center"/>
      </w:pPr>
      <w:r>
        <w:rPr>
          <w:rFonts w:ascii="B Lotus" w:hAnsi="B Lotus" w:cs="B Lotus" w:eastAsia="B Lotus"/>
          <w:b/>
          <w:i w:val="0"/>
          <w:sz w:val="32"/>
          <w:szCs w:val="32"/>
        </w:rPr>
        <w:t>نگارنده: هادی شبستانی</w:t>
      </w:r>
    </w:p>
    <w:p>
      <w:pPr>
        <w:widowControl/>
        <w:bidi w:val="1"/>
        <w:spacing w:before="0" w:after="120" w:line="276" w:lineRule="auto"/>
        <w:jc w:val="center"/>
      </w:pPr>
      <w:r>
        <w:rPr>
          <w:rFonts w:ascii="B Lotus" w:hAnsi="B Lotus" w:cs="B Lotus" w:eastAsia="B Lotus"/>
          <w:b w:val="0"/>
          <w:i w:val="0"/>
          <w:sz w:val="28"/>
          <w:szCs w:val="28"/>
        </w:rPr>
        <w:t>استاد راهنما: …………………</w:t>
      </w:r>
    </w:p>
    <w:p>
      <w:pPr>
        <w:widowControl/>
        <w:bidi w:val="1"/>
        <w:spacing w:before="0" w:after="120" w:line="276" w:lineRule="auto"/>
        <w:jc w:val="center"/>
      </w:pPr>
      <w:r>
        <w:rPr>
          <w:rFonts w:ascii="B Lotus" w:hAnsi="B Lotus" w:cs="B Lotus" w:eastAsia="B Lotus"/>
          <w:b w:val="0"/>
          <w:i w:val="0"/>
          <w:sz w:val="28"/>
          <w:szCs w:val="28"/>
        </w:rPr>
        <w:t>استاد مشاور: …………………</w:t>
      </w:r>
    </w:p>
    <w:p>
      <w:pPr>
        <w:widowControl/>
        <w:bidi w:val="1"/>
        <w:spacing w:before="0" w:after="120" w:line="276" w:lineRule="auto"/>
        <w:jc w:val="center"/>
      </w:pPr>
      <w:r>
        <w:rPr>
          <w:rFonts w:ascii="B Lotus" w:hAnsi="B Lotus" w:cs="B Lotus" w:eastAsia="B Lotus"/>
          <w:b w:val="0"/>
          <w:i w:val="0"/>
          <w:sz w:val="28"/>
          <w:szCs w:val="28"/>
        </w:rPr>
        <w:t>رشته: …………………</w:t>
      </w:r>
    </w:p>
    <w:p>
      <w:pPr>
        <w:widowControl/>
        <w:bidi w:val="1"/>
        <w:spacing w:before="0" w:after="120" w:line="276" w:lineRule="auto"/>
        <w:jc w:val="center"/>
      </w:pPr>
    </w:p>
    <w:p>
      <w:pPr>
        <w:widowControl/>
        <w:bidi w:val="1"/>
        <w:spacing w:before="0" w:after="120" w:line="276" w:lineRule="auto"/>
        <w:jc w:val="center"/>
      </w:pPr>
      <w:r>
        <w:rPr>
          <w:rFonts w:ascii="B Lotus" w:hAnsi="B Lotus" w:cs="B Lotus" w:eastAsia="B Lotus"/>
          <w:b w:val="0"/>
          <w:i w:val="0"/>
          <w:sz w:val="28"/>
          <w:szCs w:val="28"/>
        </w:rPr>
        <w:t>۱۴۰۵</w:t>
      </w:r>
    </w:p>
    <w:p>
      <w:r>
        <w:br w:type="page"/>
      </w:r>
    </w:p>
    <w:p/>
    <w:p/>
    <w:p/>
    <w:p/>
    <w:p/>
    <w:p>
      <w:pPr>
        <w:widowControl/>
        <w:bidi w:val="1"/>
        <w:spacing w:before="0" w:after="120" w:line="276"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76" w:lineRule="auto"/>
        <w:jc w:val="center"/>
      </w:pPr>
      <w:r>
        <w:rPr>
          <w:rFonts w:ascii="B Titr" w:hAnsi="B Titr" w:cs="B Titr" w:eastAsia="B Titr"/>
          <w:b/>
          <w:i w:val="0"/>
          <w:sz w:val="36"/>
          <w:szCs w:val="36"/>
        </w:rPr>
        <w:t>تقدیم</w:t>
      </w:r>
    </w:p>
    <w:p>
      <w:pPr>
        <w:widowControl/>
        <w:bidi w:val="1"/>
        <w:spacing w:before="0" w:after="120" w:line="276" w:lineRule="auto"/>
        <w:jc w:val="center"/>
      </w:pPr>
      <w:r>
        <w:rPr>
          <w:rFonts w:ascii="B Lotus" w:hAnsi="B Lotus" w:cs="B Lotus" w:eastAsia="B Lotus"/>
          <w:b w:val="0"/>
          <w:i w:val="0"/>
          <w:sz w:val="28"/>
          <w:szCs w:val="28"/>
        </w:rPr>
        <w:t>این رساله را به ساحت مقدس حضرت بقیة‌الله الاعظم (عجل‌الله‌تعالی‌فرجه‌الشریف) و به ارواح طیبه شهدای اسلام و انقلاب اسلامی، به‌ویژه معمار کبیر انقلاب اسلامی حضرت امام خمینی (رحمة‌الله‌علیه)، و به پدر و مادر بزرگوارم که همواره مشوق این‌جانب در راه تحصیل علم بوده‌اند، تقدیم می‌کنم.</w:t>
      </w:r>
    </w:p>
    <w:p>
      <w:pPr>
        <w:widowControl/>
        <w:bidi w:val="1"/>
        <w:spacing w:before="120" w:after="240" w:line="276" w:lineRule="auto"/>
        <w:jc w:val="center"/>
      </w:pPr>
      <w:r>
        <w:rPr>
          <w:rFonts w:ascii="B Titr" w:hAnsi="B Titr" w:cs="B Titr" w:eastAsia="B Titr"/>
          <w:b/>
          <w:i w:val="0"/>
          <w:sz w:val="36"/>
          <w:szCs w:val="36"/>
        </w:rPr>
        <w:t>سپاس</w:t>
      </w:r>
    </w:p>
    <w:p>
      <w:pPr>
        <w:widowControl/>
        <w:bidi w:val="1"/>
        <w:spacing w:before="0" w:after="120" w:line="276" w:lineRule="auto"/>
        <w:jc w:val="center"/>
      </w:pPr>
      <w:r>
        <w:rPr>
          <w:rFonts w:ascii="B Lotus" w:hAnsi="B Lotus" w:cs="B Lotus" w:eastAsia="B Lotus"/>
          <w:b w:val="0"/>
          <w:i w:val="0"/>
          <w:sz w:val="28"/>
          <w:szCs w:val="28"/>
        </w:rPr>
        <w:t>بر خود لازم می‌دانم از استاد بزرگوار راهنما و استاد ارجمند مشاور که با راهنمایی‌ها و تذکرات دقیق خویش، نگارنده را در سامان‌دادن به این پژوهش یاری رساندند، و نیز از همه اساتید، دوستان و خانواده محترم که در مراحل مختلف این تحقیق همراه و پشتیبان بودند، صمیمانه سپاسگزاری کنم. بی‌تردید کاستی‌های احتمالی این رساله بر عهده نگارنده است.</w:t>
      </w:r>
    </w:p>
    <w:p>
      <w:pPr>
        <w:widowControl/>
        <w:bidi w:val="1"/>
        <w:spacing w:before="120" w:after="240" w:line="276" w:lineRule="auto"/>
        <w:jc w:val="center"/>
      </w:pPr>
      <w:r>
        <w:rPr>
          <w:rFonts w:ascii="B Titr" w:hAnsi="B Titr" w:cs="B Titr" w:eastAsia="B Titr"/>
          <w:b/>
          <w:i w:val="0"/>
          <w:sz w:val="36"/>
          <w:szCs w:val="36"/>
        </w:rPr>
        <w:t>چکیده</w:t>
      </w:r>
    </w:p>
    <w:p>
      <w:pPr>
        <w:widowControl/>
        <w:bidi w:val="1"/>
        <w:spacing w:before="0" w:after="120" w:line="276" w:lineRule="auto"/>
        <w:jc w:val="both"/>
      </w:pPr>
      <w:r>
        <w:rPr>
          <w:rFonts w:ascii="B Lotus" w:hAnsi="B Lotus" w:cs="B Lotus" w:eastAsia="B Lotus"/>
          <w:b w:val="0"/>
          <w:i w:val="0"/>
          <w:sz w:val="28"/>
          <w:szCs w:val="28"/>
        </w:rPr>
        <w:t>پژوهش حاضر با عنوان «قلمرو اختیارات ولی فقیه در تعلیق و نقض یک‌جانبه معاهدات بین‌المللی (مطالعه فقهی ـ حقوقی)» به یکی از مسائل کمتربررسی‌شده در پیوندگاه فقه سیاسی و حقوق بین‌الملل می‌پردازد. مسئله اصلی این است که با وجود ادله پرشمار وجوب وفای به عهد، آیا ولی فقیه می‌تواند در مقام حاکم اسلامی، اجرای یک معاهده بین‌المللی را به‌صورت یک‌جانبه به حالت تعلیق درآورد یا آن را نقض کند؟ اگر چنین اختیاری وجود دارد، قلمرو و ضوابط آن چیست و چه آثاری بر مسئولیت بین‌المللی دولت جمهوری اسلامی ایران دارد؟ اهمیت این مسئله از آن‌جاست که از یک‌سو، پایبندی به عهد از اصول مسلم شرعی و عقلایی است و از سوی دیگر، اداره نظام اسلامی در شرایط پیچیده بین‌المللی گاه اقتضای تصمیم‌هایی فراتر از روال عادی را دارد. سؤال اصلی پژوهش، قلمرو و ضوابط این اختیار است و دو سؤال فرعی، آثار آن بر مسئولیت بین‌المللی دولت و نسبت مصلحت نظام با عدول از تعهدات را بررسی می‌کنند. پیشینه مسئله به سیره معصومان (علیهم‌السلام)، به‌ویژه صلح حدیبیه و عهدنامه مالک اشتر، و ابواب عهد و امان در فقه بازمی‌گردد و پیشینه پژوهش شامل آثاری درباره قراردادهای بین‌المللی در اسلام، حق شرط و ولایت مطلقه فقیه در قانون اساسی است که هیچ‌یک مسئله حاضر را به‌صورت مستقل بررسی نکرده‌اند. فرضیه پژوهش آن است که اختیار ولی فقیه در این حوزه، اختیاری مقید و مشروط به ضوابط شرعی و از سنخ حکم حکومتی است که در چارچوب تزاحم میان وجوب وفا و مصالح اهم نظام شکل می‌گیرد و جواز فقهی آن، رافع مسئولیت بین‌المللی دولت نیست. روش پژوهش، کتابخانه‌ای با ابزار فیش‌برداری و تحلیل توصیفی ـ استنباطی است و منابع آن شامل قرآن، سنت، کتب فقهی و اصولی، قانون اساسی جمهوری اسلامی ایران، کنوانسیون وین حقوق معاهدات و اسناد مسئولیت بین‌المللی دولت‌هاست. نتایج پژوهش نشان می‌دهد که تعلیق و نقض، دو مفهوم متمایز با احکام متفاوت‌اند؛ رابطه وجوب وفا با اختیار حاکم از نوع تزاحم است نه تعارض؛ و تصمیم ولی فقیه هرچند در نظام داخلی مشروع باشد، در سطح بین‌المللی به دولت منتسب شده و ممکن است موجب مسئولیت بین‌المللی شود. نوآوری پژوهش در ارائه چارچوبی منسجم از ضوابط هشت‌گانه عدول از تعهد و تفکیک سه‌گانه «جواز فقهی، مشروعیت داخلی و مسئولیت بین‌المللی» است.</w:t>
      </w:r>
    </w:p>
    <w:p>
      <w:pPr>
        <w:widowControl/>
        <w:bidi w:val="1"/>
        <w:spacing w:before="240" w:after="120" w:line="276"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معاهدات بین‌المللی، تعلیق معاهده، نقض معاهده، وفای به عهد، حکم حکومتی، مصلحت نظام، مسئولیت بین‌المللی دولت، کنوانسیون وین حقوق معاهدات، قانون اساسی جمهوری اسلامی ایران</w:t>
      </w:r>
    </w:p>
    <w:p>
      <w:pPr>
        <w:widowControl/>
        <w:bidi w:val="1"/>
        <w:spacing w:before="120" w:after="240" w:line="276" w:lineRule="auto"/>
        <w:jc w:val="center"/>
      </w:pPr>
      <w:r>
        <w:rPr>
          <w:rFonts w:ascii="B Titr" w:hAnsi="B Titr" w:cs="B Titr" w:eastAsia="B Titr"/>
          <w:b/>
          <w:i w:val="0"/>
          <w:sz w:val="36"/>
          <w:szCs w:val="36"/>
        </w:rPr>
        <w:t>فهرست علائم اختصاری</w:t>
      </w:r>
    </w:p>
    <w:tbl>
      <w:tblPr>
        <w:tblStyle w:val="TableGrid"/>
        <w:tblW w:type="auto" w:w="0"/>
        <w:jc w:val="center"/>
        <w:tblLook w:firstColumn="1" w:firstRow="1" w:lastColumn="0" w:lastRow="0" w:noHBand="0" w:noVBand="1" w:val="04A0"/>
        <w:bidiVisual/>
      </w:tblPr>
      <w:tblGrid>
        <w:gridCol w:w="4535"/>
        <w:gridCol w:w="4535"/>
      </w:tblGrid>
      <w:tr>
        <w:tc>
          <w:tcPr>
            <w:tcW w:type="dxa" w:w="4535"/>
            <w:shd w:val="clear" w:fill="D9D9D9"/>
          </w:tcPr>
          <w:p>
            <w:pPr>
              <w:widowControl/>
              <w:bidi w:val="1"/>
              <w:spacing w:before="40" w:after="40" w:line="276" w:lineRule="auto"/>
              <w:jc w:val="center"/>
            </w:pPr>
            <w:r/>
            <w:r>
              <w:rPr>
                <w:rFonts w:ascii="B Lotus" w:hAnsi="B Lotus" w:cs="B Lotus" w:eastAsia="B Lotus"/>
                <w:b/>
                <w:i w:val="0"/>
                <w:sz w:val="24"/>
                <w:szCs w:val="24"/>
              </w:rPr>
              <w:t>علامت اختصاری</w:t>
            </w:r>
          </w:p>
        </w:tc>
        <w:tc>
          <w:tcPr>
            <w:tcW w:type="dxa" w:w="4535"/>
            <w:shd w:val="clear" w:fill="D9D9D9"/>
          </w:tcPr>
          <w:p>
            <w:pPr>
              <w:widowControl/>
              <w:bidi w:val="1"/>
              <w:spacing w:before="40" w:after="40" w:line="276" w:lineRule="auto"/>
              <w:jc w:val="center"/>
            </w:pPr>
            <w:r/>
            <w:r>
              <w:rPr>
                <w:rFonts w:ascii="B Lotus" w:hAnsi="B Lotus" w:cs="B Lotus" w:eastAsia="B Lotus"/>
                <w:b/>
                <w:i w:val="0"/>
                <w:sz w:val="24"/>
                <w:szCs w:val="24"/>
              </w:rPr>
              <w:t>معادل کامل</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ق.ا</w:t>
            </w:r>
          </w:p>
        </w:tc>
        <w:tc>
          <w:tcPr>
            <w:tcW w:type="dxa" w:w="4535"/>
          </w:tcPr>
          <w:p>
            <w:pPr>
              <w:widowControl/>
              <w:bidi w:val="1"/>
              <w:spacing w:before="40" w:after="40" w:line="276" w:lineRule="auto"/>
              <w:jc w:val="center"/>
            </w:pPr>
            <w:r/>
            <w:r>
              <w:rPr>
                <w:rFonts w:ascii="B Lotus" w:hAnsi="B Lotus" w:cs="B Lotus" w:eastAsia="B Lotus"/>
                <w:b w:val="0"/>
                <w:i w:val="0"/>
                <w:sz w:val="24"/>
                <w:szCs w:val="24"/>
              </w:rPr>
              <w:t>قانون اساسی جمهوری اسلامی ایران</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کنوانسیون وین</w:t>
            </w:r>
          </w:p>
        </w:tc>
        <w:tc>
          <w:tcPr>
            <w:tcW w:type="dxa" w:w="4535"/>
          </w:tcPr>
          <w:p>
            <w:pPr>
              <w:widowControl/>
              <w:bidi w:val="1"/>
              <w:spacing w:before="40" w:after="40" w:line="276" w:lineRule="auto"/>
              <w:jc w:val="center"/>
            </w:pPr>
            <w:r/>
            <w:r>
              <w:rPr>
                <w:rFonts w:ascii="B Lotus" w:hAnsi="B Lotus" w:cs="B Lotus" w:eastAsia="B Lotus"/>
                <w:b w:val="0"/>
                <w:i w:val="0"/>
                <w:sz w:val="24"/>
                <w:szCs w:val="24"/>
              </w:rPr>
              <w:t>کنوانسیون وین حقوق معاهدات (۱۹۶۹ میلادی)</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طرح مسئولیت</w:t>
            </w:r>
          </w:p>
        </w:tc>
        <w:tc>
          <w:tcPr>
            <w:tcW w:type="dxa" w:w="4535"/>
          </w:tcPr>
          <w:p>
            <w:pPr>
              <w:widowControl/>
              <w:bidi w:val="1"/>
              <w:spacing w:before="40" w:after="40" w:line="276" w:lineRule="auto"/>
              <w:jc w:val="center"/>
            </w:pPr>
            <w:r/>
            <w:r>
              <w:rPr>
                <w:rFonts w:ascii="B Lotus" w:hAnsi="B Lotus" w:cs="B Lotus" w:eastAsia="B Lotus"/>
                <w:b w:val="0"/>
                <w:i w:val="0"/>
                <w:sz w:val="24"/>
                <w:szCs w:val="24"/>
              </w:rPr>
              <w:t>طرح مواد کمیسیون حقوق بین‌الملل درباره مسئولیت بین‌المللی دولت‌ها (۲۰۰۱ میلادی)</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دیوان</w:t>
            </w:r>
          </w:p>
        </w:tc>
        <w:tc>
          <w:tcPr>
            <w:tcW w:type="dxa" w:w="4535"/>
          </w:tcPr>
          <w:p>
            <w:pPr>
              <w:widowControl/>
              <w:bidi w:val="1"/>
              <w:spacing w:before="40" w:after="40" w:line="276" w:lineRule="auto"/>
              <w:jc w:val="center"/>
            </w:pPr>
            <w:r/>
            <w:r>
              <w:rPr>
                <w:rFonts w:ascii="B Lotus" w:hAnsi="B Lotus" w:cs="B Lotus" w:eastAsia="B Lotus"/>
                <w:b w:val="0"/>
                <w:i w:val="0"/>
                <w:sz w:val="24"/>
                <w:szCs w:val="24"/>
              </w:rPr>
              <w:t>دیوان بین‌المللی دادگستری</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منشور</w:t>
            </w:r>
          </w:p>
        </w:tc>
        <w:tc>
          <w:tcPr>
            <w:tcW w:type="dxa" w:w="4535"/>
          </w:tcPr>
          <w:p>
            <w:pPr>
              <w:widowControl/>
              <w:bidi w:val="1"/>
              <w:spacing w:before="40" w:after="40" w:line="276" w:lineRule="auto"/>
              <w:jc w:val="center"/>
            </w:pPr>
            <w:r/>
            <w:r>
              <w:rPr>
                <w:rFonts w:ascii="B Lotus" w:hAnsi="B Lotus" w:cs="B Lotus" w:eastAsia="B Lotus"/>
                <w:b w:val="0"/>
                <w:i w:val="0"/>
                <w:sz w:val="24"/>
                <w:szCs w:val="24"/>
              </w:rPr>
              <w:t>منشور سازمان ملل متحد</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ر.ک</w:t>
            </w:r>
          </w:p>
        </w:tc>
        <w:tc>
          <w:tcPr>
            <w:tcW w:type="dxa" w:w="4535"/>
          </w:tcPr>
          <w:p>
            <w:pPr>
              <w:widowControl/>
              <w:bidi w:val="1"/>
              <w:spacing w:before="40" w:after="40" w:line="276" w:lineRule="auto"/>
              <w:jc w:val="center"/>
            </w:pPr>
            <w:r/>
            <w:r>
              <w:rPr>
                <w:rFonts w:ascii="B Lotus" w:hAnsi="B Lotus" w:cs="B Lotus" w:eastAsia="B Lotus"/>
                <w:b w:val="0"/>
                <w:i w:val="0"/>
                <w:sz w:val="24"/>
                <w:szCs w:val="24"/>
              </w:rPr>
              <w:t>رجوع کنید (ارجاع غیرنقلی به منبع)</w:t>
            </w:r>
          </w:p>
        </w:tc>
      </w:tr>
      <w:tr>
        <w:tc>
          <w:tcPr>
            <w:tcW w:type="dxa" w:w="4535"/>
          </w:tcPr>
          <w:p>
            <w:pPr>
              <w:widowControl/>
              <w:bidi w:val="1"/>
              <w:spacing w:before="40" w:after="40" w:line="276" w:lineRule="auto"/>
              <w:jc w:val="center"/>
            </w:pPr>
            <w:r/>
            <w:r>
              <w:rPr>
                <w:rFonts w:ascii="B Lotus" w:hAnsi="B Lotus" w:cs="B Lotus" w:eastAsia="B Lotus"/>
                <w:b w:val="0"/>
                <w:i w:val="0"/>
                <w:sz w:val="24"/>
                <w:szCs w:val="24"/>
              </w:rPr>
              <w:t>همان</w:t>
            </w:r>
          </w:p>
        </w:tc>
        <w:tc>
          <w:tcPr>
            <w:tcW w:type="dxa" w:w="4535"/>
          </w:tcPr>
          <w:p>
            <w:pPr>
              <w:widowControl/>
              <w:bidi w:val="1"/>
              <w:spacing w:before="40" w:after="40" w:line="276" w:lineRule="auto"/>
              <w:jc w:val="center"/>
            </w:pPr>
            <w:r/>
            <w:r>
              <w:rPr>
                <w:rFonts w:ascii="B Lotus" w:hAnsi="B Lotus" w:cs="B Lotus" w:eastAsia="B Lotus"/>
                <w:b w:val="0"/>
                <w:i w:val="0"/>
                <w:sz w:val="24"/>
                <w:szCs w:val="24"/>
              </w:rPr>
              <w:t>همان منبعِ یادشده در پاورقی نزدیکِ پیشین</w:t>
            </w:r>
          </w:p>
        </w:tc>
      </w:tr>
    </w:tbl>
    <w:p>
      <w:pPr>
        <w:spacing w:after="40"/>
      </w:pPr>
    </w:p>
    <w:p>
      <w:pPr>
        <w:widowControl/>
        <w:bidi w:val="1"/>
        <w:spacing w:before="120" w:after="240" w:line="276" w:lineRule="auto"/>
        <w:jc w:val="center"/>
      </w:pPr>
      <w:r>
        <w:rPr>
          <w:rFonts w:ascii="B Titr" w:hAnsi="B Titr" w:cs="B Titr" w:eastAsia="B Titr"/>
          <w:b/>
          <w:i w:val="0"/>
          <w:sz w:val="36"/>
          <w:szCs w:val="36"/>
        </w:rPr>
        <w:t>الملخص</w:t>
      </w:r>
    </w:p>
    <w:p>
      <w:pPr>
        <w:widowControl/>
        <w:bidi w:val="1"/>
        <w:spacing w:before="0" w:after="120" w:line="276" w:lineRule="auto"/>
        <w:jc w:val="both"/>
      </w:pPr>
      <w:r>
        <w:rPr>
          <w:rFonts w:ascii="B Lotus" w:hAnsi="B Lotus" w:cs="B Lotus" w:eastAsia="B Lotus"/>
          <w:b w:val="0"/>
          <w:i w:val="0"/>
          <w:sz w:val="28"/>
          <w:szCs w:val="28"/>
        </w:rPr>
        <w:t>تتناول هذه الرسالة موضوع «نطاق صلاحیات الولی الفقیه فی تعلیق المعاهدات الدولیة أو نقضها من جانب واحد (دراسة فقهیة ـ حقوقیة)»، وهو من المسائل الأقل بحثاً عند ملتقى الفقه السیاسی والقانون الدولی. والسؤال الرئیس هو: ما نطاق وضوابط صلاحیات الولی الفقیه فی تعلیق المعاهدات الدولیة أو نقضها من جانب واحد؟ ویتفرع عنه سؤالان: ما آثار قرار الولی الفقیه على المسؤولیة الدولیة لدولة الجمهوریة الإسلامیة الإیرانیة؟ وإلى أی مدى تجوّز مصلحة النظام العدول عن الالتزامات الدولیة وما ضوابطها الفقهیة؟ وتنطلق الدراسة من أن الوفاء بالعهد أصل قرآنی وروائی وعقلی مسلّم، وأن للحاکم الإسلامی فی عین الحال صلاحیة إدارة النظام على أساس المصلحة. وخلصت الرسالة إلى أن العلاقة بین أدلة الوفاء وأدلة صلاحیة الحاکم هی من باب «التزاحم» لا التعارض، وأن القرار الحکومی المبنی على المصلحة الواقعیة الأهم جائز ضمن ثمانیة ضوابط مستخرجة، وأن الجواز الفقهی لا یرفع المسؤولیة الدولیة للدولة. واعتمدت الدراسة المنهج المکتبی التحلیلی الاستنباطی، ومصادرها: القرآن والسنة والکتب الفقهیة والأصولیة والدستور الإیرانی واتفاقیة فیینا لقانون المعاهدات ووثائق المسؤولیة الدولیة.</w:t>
      </w:r>
    </w:p>
    <w:p>
      <w:r>
        <w:br w:type="page"/>
      </w:r>
    </w:p>
    <w:p>
      <w:pPr>
        <w:widowControl/>
        <w:bidi w:val="1"/>
        <w:spacing w:before="120" w:after="240" w:line="276" w:lineRule="auto"/>
        <w:jc w:val="center"/>
      </w:pPr>
      <w:r>
        <w:rPr>
          <w:rFonts w:ascii="B Titr" w:hAnsi="B Titr" w:cs="B Titr" w:eastAsia="B Titr"/>
          <w:b/>
          <w:i w:val="0"/>
          <w:sz w:val="36"/>
          <w:szCs w:val="36"/>
        </w:rPr>
        <w:t>فهرست مطالب</w:t>
      </w:r>
    </w:p>
    <w:p>
      <w:pPr>
        <w:widowControl/>
        <w:bidi w:val="1"/>
        <w:spacing w:before="0" w:after="120" w:line="27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76"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مقدمه</w:t>
      </w:r>
    </w:p>
    <w:p>
      <w:pPr>
        <w:pStyle w:val="TH-Band"/>
        <w:widowControl/>
        <w:bidi w:val="1"/>
        <w:spacing w:before="200" w:after="120" w:line="276" w:lineRule="auto"/>
        <w:jc w:val="right"/>
      </w:pPr>
      <w:r>
        <w:rPr>
          <w:rFonts w:ascii="B Traffic" w:hAnsi="B Traffic" w:cs="B Traffic" w:eastAsia="B Traffic"/>
          <w:b/>
          <w:i w:val="0"/>
          <w:sz w:val="28"/>
          <w:szCs w:val="28"/>
        </w:rPr>
        <w:t>۱. تبیین مسئله</w:t>
      </w:r>
    </w:p>
    <w:p>
      <w:pPr>
        <w:pStyle w:val="TH-Body"/>
        <w:widowControl/>
        <w:bidi w:val="1"/>
        <w:spacing w:before="0" w:after="120" w:line="276" w:lineRule="auto"/>
        <w:jc w:val="both"/>
      </w:pPr>
      <w:r>
        <w:rPr>
          <w:rFonts w:ascii="B Lotus" w:hAnsi="B Lotus" w:cs="B Lotus" w:eastAsia="B Lotus"/>
          <w:b w:val="0"/>
          <w:i w:val="0"/>
          <w:sz w:val="28"/>
          <w:szCs w:val="28"/>
        </w:rPr>
        <w:t>موضوع این پژوهش، «اختیارات ولی فقیه در قبال معاهدات بین‌المللی» است؛ اما مسئله واقعی آن، محدودتر و دقیق‌تر از این عنوان کلی است. مسئله این پژوهش نه انعقاد معاهده است، نه مذاکره و تصویب آن، و نه حتی تفسیر مفاد آن؛ بلکه پرسش از سرنوشت یک تعهد بین‌المللیِ منعقدشده در برابر اراده حاکم اسلامی است: آیا ولی فقیه می‌تواند اجرای معاهده‌ای را که دولت جمهوری اسلامی ایران به‌طور معتبر پذیرفته است، به‌صورت یک‌جانبه به حالت تعلیق درآورد یا آن را نقض کند؟ و اگر چنین اختیاری وجود دارد، در چه قلمرویی و با چه ضوابطی؟</w:t>
      </w:r>
    </w:p>
    <w:p>
      <w:pPr>
        <w:pStyle w:val="TH-Body"/>
        <w:widowControl/>
        <w:bidi w:val="1"/>
        <w:spacing w:before="0" w:after="120" w:line="276" w:lineRule="auto"/>
        <w:jc w:val="both"/>
      </w:pPr>
      <w:r>
        <w:rPr>
          <w:rFonts w:ascii="B Lotus" w:hAnsi="B Lotus" w:cs="B Lotus" w:eastAsia="B Lotus"/>
          <w:b w:val="0"/>
          <w:i w:val="0"/>
          <w:sz w:val="28"/>
          <w:szCs w:val="28"/>
        </w:rPr>
        <w:t>ابهام موجود از تقاطع دو دسته ادله و دو نظام حقوقی متفاوت پدید می‌آید. از یک‌سو، وجوب وفای به عهد از اصول مسلم شرعی است؛ قرآن کریم با تعابیر گوناگون مؤمنان را به وفای به عقود و عهود فرمان داده است (مائده، ۱؛ نحل، ۹۱؛ اسراء، ۳۴)</w:t>
      </w:r>
      <w:r>
        <w:rPr>
          <w:rFonts w:ascii="B Lotus" w:hAnsi="B Lotus" w:cs="B Lotus" w:eastAsia="B Lotus"/>
          <w:b w:val="0"/>
          <w:i w:val="0"/>
          <w:sz w:val="28"/>
          <w:szCs w:val="28"/>
          <w:vertAlign w:val="superscript"/>
        </w:rPr>
        <w:footnoteReference w:id="2"/>
      </w:r>
      <w:r>
        <w:rPr>
          <w:rFonts w:ascii="B Lotus" w:hAnsi="B Lotus" w:cs="B Lotus" w:eastAsia="B Lotus"/>
          <w:b w:val="0"/>
          <w:i w:val="0"/>
          <w:sz w:val="28"/>
          <w:szCs w:val="28"/>
        </w:rPr>
        <w:t xml:space="preserve"> و سیره معصومان (علیهم‌السلام)، به‌ویژه در صلح حدیبیه و عهدنامه مالک اشتر، بر پایبندی به پیمان حتی با دشمن تأکید دارد. از سوی دیگر، حاکم اسلامی در مقام اداره نظام، مأمور حفظ مصالح امت و صیانت از نظام اسلامی است و فقه امامیه برای چنین مأموریتی، ابزارهایی همچون حکم حکومتی، تشخیص مصلحت، و قاعده تزاحم و اهم و مهم را به رسمیت شناخته است. محل اختلاف و گره اصلی مسئله دقیقاً همین‌جاست: آیا این دو دسته ادله با یکدیگر «تعارض» دارند یا رابطه آن‌ها از نوع دیگری (تزاحم، حکومت، تخصیص یا تقیید) است؟ و در صورت پذیرش اختیار حاکم، آیا این اختیار، مطلق است یا مقید به ضوابطی خاص؟</w:t>
      </w:r>
    </w:p>
    <w:p>
      <w:pPr>
        <w:pStyle w:val="TH-Body"/>
        <w:widowControl/>
        <w:bidi w:val="1"/>
        <w:spacing w:before="0" w:after="120" w:line="276" w:lineRule="auto"/>
        <w:jc w:val="both"/>
      </w:pPr>
      <w:r>
        <w:rPr>
          <w:rFonts w:ascii="B Lotus" w:hAnsi="B Lotus" w:cs="B Lotus" w:eastAsia="B Lotus"/>
          <w:b w:val="0"/>
          <w:i w:val="0"/>
          <w:sz w:val="28"/>
          <w:szCs w:val="28"/>
        </w:rPr>
        <w:t>سؤال اصلی پژوهش دو جزء به‌هم‌پیوسته دارد: جزء نخست، «قلمرو» است؛ یعنی این اختیار ـ اگر ثابت شود ـ چه مواردی را در بر می‌گیرد و از چه مواردی بیرون است (تفکیک تعلیق از نقض، تفکیک معاهدات از یکدیگر، و تفکیک وضعیت‌های عادی از اضطراری). جزء دوم، «ضوابط» است؛ یعنی اعمال این اختیار به چه شرایطی (احراز مصلحت، مرجع تشخیص، تناسب، اعلام و مانند آن) منوط است. دو سؤال فرعی، هر یک یکی از دو بُعد درونی و بیرونی این مسئله را می‌کاوند: سؤال فرعی دوم به مبنای درونی جواز می‌پردازد (نقش مصلحت نظام و ضوابط فقهی آن) و سؤال فرعی اول به آثار بیرونی تصمیم می‌پردازد (مسئولیت بین‌المللی دولت). نسبت سؤالات فرعی با سؤال اصلی، نسبت «مبنا» و «اثر» با «حکم» است: بدون فهم مبنا، حکم بی‌پشتوانه می‌ماند و بدون فهم اثر، حکم ناقص می‌ماند.</w:t>
      </w:r>
    </w:p>
    <w:p>
      <w:pPr>
        <w:pStyle w:val="TH-Body"/>
        <w:widowControl/>
        <w:bidi w:val="1"/>
        <w:spacing w:before="0" w:after="120" w:line="276" w:lineRule="auto"/>
        <w:jc w:val="both"/>
      </w:pPr>
      <w:r>
        <w:rPr>
          <w:rFonts w:ascii="B Lotus" w:hAnsi="B Lotus" w:cs="B Lotus" w:eastAsia="B Lotus"/>
          <w:b w:val="0"/>
          <w:i w:val="0"/>
          <w:sz w:val="28"/>
          <w:szCs w:val="28"/>
        </w:rPr>
        <w:t>قلمرو پژوهش از چهار جهت محدود شده است: قلمرو زمانی، دوران معاصر و پس از تشکیل جمهوری اسلامی ایران است؛ زیرا مسئله، ناظر به نهاد «ولی فقیه» در نظام حقوقی موجود است. قلمرو مکانی، جمهوری اسلامی ایران است. قلمرو فقهی، فقه امامیه است؛ هرچند در موارد لازم، اشاره تطبیقی کوتاه به دیدگاه‌های فقه عامه نیز خواهد شد. قلمرو حقوقی، حقوق بین‌الملل معاهدات (با محوریت کنوانسیون وین حقوق معاهدات) و حقوق اساسی جمهوری اسلامی ایران است.</w:t>
      </w:r>
    </w:p>
    <w:p>
      <w:pPr>
        <w:pStyle w:val="TH-Body"/>
        <w:widowControl/>
        <w:bidi w:val="1"/>
        <w:spacing w:before="0" w:after="120" w:line="276" w:lineRule="auto"/>
        <w:jc w:val="both"/>
      </w:pPr>
      <w:r>
        <w:rPr>
          <w:rFonts w:ascii="B Lotus" w:hAnsi="B Lotus" w:cs="B Lotus" w:eastAsia="B Lotus"/>
          <w:b w:val="0"/>
          <w:i w:val="0"/>
          <w:sz w:val="28"/>
          <w:szCs w:val="28"/>
        </w:rPr>
        <w:t>بر همین اساس، مطالبی چند از دایره مسئله بیرون‌اند و در این رساله بررسی نمی‌شوند: مباحث انعقاد، مذاکره و تصویب معاهدات؛ مبحث حق شرط؛ قواعد تفسیر معاهدات؛ مسئولیت کیفری بین‌المللی اشخاص؛ تحلیل تفصیلی تحریم‌های اقتصادی؛ اثبات اصل ولایت فقیه (که از پیش‌فرض‌های پژوهش است نه مسئله آن)؛ و تاریخچه معاهدات دولت ایران. هرگاه در متن رساله به این مباحث اشاره‌ای شود، صرفاً به‌اندازه ضرورت فهم مسئله و بدون ورود تفصیلی خواهد بود.</w:t>
      </w:r>
    </w:p>
    <w:p>
      <w:pPr>
        <w:pStyle w:val="TH-Body"/>
        <w:widowControl/>
        <w:bidi w:val="1"/>
        <w:spacing w:before="0" w:after="120" w:line="276" w:lineRule="auto"/>
        <w:jc w:val="both"/>
      </w:pPr>
      <w:r>
        <w:rPr>
          <w:rFonts w:ascii="B Lotus" w:hAnsi="B Lotus" w:cs="B Lotus" w:eastAsia="B Lotus"/>
          <w:b w:val="0"/>
          <w:i w:val="0"/>
          <w:sz w:val="28"/>
          <w:szCs w:val="28"/>
        </w:rPr>
        <w:t>درباره عنوان نیز یادآوری یک نکته لازم است. عنوان مصوب، «قلمرو اختیارات ولی فقیه در تعلیق یا نقض یکجانبه معاهدات بین‌المللی» است. از آن‌جا که یکی از یافته‌های مفهوم‌شناختی این پژوهش آن است که «تعلیق» و «نقض» دو مفهوم متمایز با احکام متفاوت‌اند و حرف ربط «یا» میان آن‌ها القای تردید یا ترادف می‌کند، عنوان نهایی با اصلاحی اندک به‌صورت «قلمرو اختیارات ولی فقیه در تعلیق و نقض یک‌جانبه معاهدات بین‌المللی (مطالعه فقهی ـ حقوقی)» تنظیم شد؛ بی‌آن‌که در مسئله و سؤالات تغییری پدید آید. افزودن قید «مطالعه فقهی ـ حقوقی» نیز برای تصریح به رویکرد دوگانه پژوهش (فقه امامیه و حقوق بین‌الملل) ضرورت داشت.</w:t>
      </w:r>
    </w:p>
    <w:p>
      <w:pPr>
        <w:pStyle w:val="TH-Band"/>
        <w:widowControl/>
        <w:bidi w:val="1"/>
        <w:spacing w:before="200" w:after="120" w:line="276" w:lineRule="auto"/>
        <w:jc w:val="right"/>
      </w:pPr>
      <w:r>
        <w:rPr>
          <w:rFonts w:ascii="B Traffic" w:hAnsi="B Traffic" w:cs="B Traffic" w:eastAsia="B Traffic"/>
          <w:b/>
          <w:i w:val="0"/>
          <w:sz w:val="28"/>
          <w:szCs w:val="28"/>
        </w:rPr>
        <w:t>۲. اهمیت و ضرورت پژوهش</w:t>
      </w:r>
    </w:p>
    <w:p>
      <w:pPr>
        <w:pStyle w:val="TH-Body"/>
        <w:widowControl/>
        <w:bidi w:val="1"/>
        <w:spacing w:before="0" w:after="120" w:line="276" w:lineRule="auto"/>
        <w:jc w:val="both"/>
      </w:pPr>
      <w:r>
        <w:rPr>
          <w:rFonts w:ascii="B Lotus" w:hAnsi="B Lotus" w:cs="B Lotus" w:eastAsia="B Lotus"/>
          <w:b w:val="0"/>
          <w:i w:val="0"/>
          <w:sz w:val="28"/>
          <w:szCs w:val="28"/>
        </w:rPr>
        <w:t>ضرورت این پژوهش از سه جهت قابل توضیح است. جهت نخست، ضرورت نظری است: مسئله نسبت میان «وفای به عهد» و «اختیار حاکم اسلامی» از مسائل بنیادین فقه سیاسی است که پاسخ آن، تکلیف بسیاری از فروع دیگر (از قراردادهای داخلی دولت اسلامی تا موضع‌گیری در برابر نهادهای بین‌المللی) را روشن می‌کند. با این حال، چنان‌که در پیشینه پژوهش خواهد آمد، این مسئله به‌صورت مستقل و مسئله‌محور، کمتر بررسی شده و ادبیات موجود غالباً یا ناظر به اثبات اصل وفای به عهد است یا ناظر به اثبات اصل ولایت؛ و پیوند این دو در قالب مسئله‌ای مشخص، مغفول مانده است.</w:t>
      </w:r>
    </w:p>
    <w:p>
      <w:pPr>
        <w:pStyle w:val="TH-Body"/>
        <w:widowControl/>
        <w:bidi w:val="1"/>
        <w:spacing w:before="0" w:after="120" w:line="276" w:lineRule="auto"/>
        <w:jc w:val="both"/>
      </w:pPr>
      <w:r>
        <w:rPr>
          <w:rFonts w:ascii="B Lotus" w:hAnsi="B Lotus" w:cs="B Lotus" w:eastAsia="B Lotus"/>
          <w:b w:val="0"/>
          <w:i w:val="0"/>
          <w:sz w:val="28"/>
          <w:szCs w:val="28"/>
        </w:rPr>
        <w:t>جهت دوم، ضرورت عملی است: جمهوری اسلامی ایران در چهار دهه گذشته بارها در برابر این پرسش عملی قرار گرفته که آیا می‌تواند از اجرای تعهدات بین‌المللی خود عدول کند و اگر آری، با چه مبنا و چه هزینه‌ای. تجربه‌هایی مانند مناقشات مربوط به قراردادهای بین‌المللی و تعهدات هسته‌ای نشان می‌دهد که فقدان چارچوبی فقهی ـ حقوقی و مدون برای چنین تصمیم‌هایی، هم تصمیم‌گیری را دشوار می‌کند و هم هزینه‌های حقوقی و سیاسی آن را افزایش می‌دهد. این رساله می‌کوشد با ارائه «ضوابط» مشخص، به عقلانی‌ترشدن چنین تصمیم‌هایی کمک کند.</w:t>
      </w:r>
    </w:p>
    <w:p>
      <w:pPr>
        <w:pStyle w:val="TH-Body"/>
        <w:widowControl/>
        <w:bidi w:val="1"/>
        <w:spacing w:before="0" w:after="120" w:line="276" w:lineRule="auto"/>
        <w:jc w:val="both"/>
      </w:pPr>
      <w:r>
        <w:rPr>
          <w:rFonts w:ascii="B Lotus" w:hAnsi="B Lotus" w:cs="B Lotus" w:eastAsia="B Lotus"/>
          <w:b w:val="0"/>
          <w:i w:val="0"/>
          <w:sz w:val="28"/>
          <w:szCs w:val="28"/>
        </w:rPr>
        <w:t>جهت سوم، ضرورت آموزشی و گفتمانی است: در فضای عمومی و حتی در برخی نوشته‌های شبه‌علمی، دو تصویر افراطی از مسئله ارائه می‌شود؛ از یک‌سو تصویر «جواز مطلق نقض عهد به نام مصلحت» و از سوی دیگر تصویر «ممنوعیت مطلق هرگونه عدول از تعهد». هر دو تصویر، هم با ادله فقهی ناسازگار است و هم با واقعیات حقوق بین‌الملل. تبیین علمی میانه‌روی فقه امامیه در این مسئله، خود خدمتی به گفتمان علمی کشور است.</w:t>
      </w:r>
    </w:p>
    <w:p>
      <w:pPr>
        <w:pStyle w:val="TH-Band"/>
        <w:widowControl/>
        <w:bidi w:val="1"/>
        <w:spacing w:before="200" w:after="120" w:line="276" w:lineRule="auto"/>
        <w:jc w:val="right"/>
      </w:pPr>
      <w:r>
        <w:rPr>
          <w:rFonts w:ascii="B Traffic" w:hAnsi="B Traffic" w:cs="B Traffic" w:eastAsia="B Traffic"/>
          <w:b/>
          <w:i w:val="0"/>
          <w:sz w:val="28"/>
          <w:szCs w:val="28"/>
        </w:rPr>
        <w:t>۳. سؤال اصلی</w:t>
      </w:r>
    </w:p>
    <w:p>
      <w:pPr>
        <w:pStyle w:val="TH-Body"/>
        <w:widowControl/>
        <w:bidi w:val="1"/>
        <w:spacing w:before="0" w:after="120" w:line="276" w:lineRule="auto"/>
        <w:jc w:val="both"/>
      </w:pPr>
      <w:r>
        <w:rPr>
          <w:rFonts w:ascii="B Lotus" w:hAnsi="B Lotus" w:cs="B Lotus" w:eastAsia="B Lotus"/>
          <w:b w:val="0"/>
          <w:i w:val="0"/>
          <w:sz w:val="28"/>
          <w:szCs w:val="28"/>
        </w:rPr>
        <w:t>قلمرو و ضوابط اختیارات ولی فقیه در تعلیق یا نقض یک‌جانبه معاهدات بین‌المللی چیست؟</w:t>
      </w:r>
    </w:p>
    <w:p>
      <w:pPr>
        <w:pStyle w:val="TH-Band"/>
        <w:widowControl/>
        <w:bidi w:val="1"/>
        <w:spacing w:before="200" w:after="120" w:line="276" w:lineRule="auto"/>
        <w:jc w:val="right"/>
      </w:pPr>
      <w:r>
        <w:rPr>
          <w:rFonts w:ascii="B Traffic" w:hAnsi="B Traffic" w:cs="B Traffic" w:eastAsia="B Traffic"/>
          <w:b/>
          <w:i w:val="0"/>
          <w:sz w:val="28"/>
          <w:szCs w:val="28"/>
        </w:rPr>
        <w:t>۴. سؤالات فرعی</w:t>
      </w:r>
    </w:p>
    <w:p>
      <w:pPr>
        <w:pStyle w:val="TH-Body"/>
        <w:widowControl/>
        <w:bidi w:val="1"/>
        <w:spacing w:before="0" w:after="120" w:line="276" w:lineRule="auto"/>
        <w:jc w:val="both"/>
      </w:pPr>
      <w:r>
        <w:rPr>
          <w:rFonts w:ascii="B Lotus" w:hAnsi="B Lotus" w:cs="B Lotus" w:eastAsia="B Lotus"/>
          <w:b w:val="0"/>
          <w:i w:val="0"/>
          <w:sz w:val="28"/>
          <w:szCs w:val="28"/>
        </w:rPr>
        <w:t>سؤال فرعی اول: تصمیم ولی فقیه مبنی بر تعلیق یا نقض یک‌جانبه معاهدات بین‌المللی چه آثاری بر مسئولیت بین‌المللی دولت جمهوری اسلامی ایران دارد؟</w:t>
      </w:r>
    </w:p>
    <w:p>
      <w:pPr>
        <w:pStyle w:val="TH-Body"/>
        <w:widowControl/>
        <w:bidi w:val="1"/>
        <w:spacing w:before="0" w:after="120" w:line="276" w:lineRule="auto"/>
        <w:jc w:val="both"/>
      </w:pPr>
      <w:r>
        <w:rPr>
          <w:rFonts w:ascii="B Lotus" w:hAnsi="B Lotus" w:cs="B Lotus" w:eastAsia="B Lotus"/>
          <w:b w:val="0"/>
          <w:i w:val="0"/>
          <w:sz w:val="28"/>
          <w:szCs w:val="28"/>
        </w:rPr>
        <w:t>سؤال فرعی دوم: مصلحت نظام تا چه اندازه می‌تواند مجوز عدول از تعهدات بین‌المللی باشد و ضوابط فقهی آن کدام است؟</w:t>
      </w:r>
    </w:p>
    <w:p>
      <w:pPr>
        <w:pStyle w:val="TH-Band"/>
        <w:widowControl/>
        <w:bidi w:val="1"/>
        <w:spacing w:before="200" w:after="120" w:line="276" w:lineRule="auto"/>
        <w:jc w:val="right"/>
      </w:pPr>
      <w:r>
        <w:rPr>
          <w:rFonts w:ascii="B Traffic" w:hAnsi="B Traffic" w:cs="B Traffic" w:eastAsia="B Traffic"/>
          <w:b/>
          <w:i w:val="0"/>
          <w:sz w:val="28"/>
          <w:szCs w:val="28"/>
        </w:rPr>
        <w:t>۵. پیشینه مسئله</w:t>
      </w:r>
    </w:p>
    <w:p>
      <w:pPr>
        <w:pStyle w:val="TH-Body"/>
        <w:widowControl/>
        <w:bidi w:val="1"/>
        <w:spacing w:before="0" w:after="120" w:line="276" w:lineRule="auto"/>
        <w:jc w:val="both"/>
      </w:pPr>
      <w:r>
        <w:rPr>
          <w:rFonts w:ascii="B Lotus" w:hAnsi="B Lotus" w:cs="B Lotus" w:eastAsia="B Lotus"/>
          <w:b w:val="0"/>
          <w:i w:val="0"/>
          <w:sz w:val="28"/>
          <w:szCs w:val="28"/>
        </w:rPr>
        <w:t>پیشینه مسئله ـ به معنای سابقه طرح اصل مسئله در منابع دینی و فقهی ـ بسیار کهن است. نخستین لایه این پیشینه، سیره عملی پیامبر اکرم (صلی‌الله‌علیه‌وآله) است؛ به‌ویژه صلح حدیبیه که در آن، پیامبر (ص) با وجود شرایط دشوار و اعتراض برخی اصحاب، به مفاد پیمان ـ از جمله بازگرداندن پناهندگان ـ پایبند ماند و این پایبندی را تکلیفی الهی دانست. دومین لایه، عهدنامه مالک اشتر (نامه ۵۳ نهج‌البلاغه) است که در آن، امیرالمؤمنین (علیه‌السلام) وفای به عهد را حتی در برابر دشمن، فریضه‌ای الهی می‌شمارد که هیچ عذری در برابر آن پذیرفته نیست. سومین لایه، ابواب «عهد»، «امان»، «صلح» و «هدنه» در کتب فقهی متقدم و متأخر است؛ از مبسوط شیخ طوسی و شرائع الاسلام محقق حلی تا جواهر الکلام صاحب جواهر، که در آن‌ها احکام پیمان با غیرمسلمانان و شرایط جواز و لزوم آن بررسی شده است. چهارمین لایه، مباحث اصولی و فقهی مرتبط است: قاعده «المسلمون عند شروطهم» در مکاسب شیخ انصاری و مصباح‌الفقاهه، قواعد لاضرر و لاحرج، و قاعده تزاحم و اهم و مهم در کتب اصولی. پنجمین لایه، ادبیات ولایت فقیه در دوران معاصر است؛ از تنبیه‌الامه میرزای نائینی تا کتاب‌البیع و ولایت فقیه امام خمینی (رحمة‌الله‌علیه) که در آن‌ها، گستره اختیارات حاکم اسلامی در عصر غیبت تبیین شده است.</w:t>
      </w:r>
      <w:r>
        <w:rPr>
          <w:rFonts w:ascii="B Lotus" w:hAnsi="B Lotus" w:cs="B Lotus" w:eastAsia="B Lotus"/>
          <w:b w:val="0"/>
          <w:i w:val="0"/>
          <w:sz w:val="28"/>
          <w:szCs w:val="28"/>
          <w:vertAlign w:val="superscript"/>
        </w:rPr>
        <w:footnoteReference w:id="3"/>
      </w:r>
    </w:p>
    <w:p>
      <w:pPr>
        <w:pStyle w:val="TH-Band"/>
        <w:widowControl/>
        <w:bidi w:val="1"/>
        <w:spacing w:before="200" w:after="120" w:line="276" w:lineRule="auto"/>
        <w:jc w:val="right"/>
      </w:pPr>
      <w:r>
        <w:rPr>
          <w:rFonts w:ascii="B Traffic" w:hAnsi="B Traffic" w:cs="B Traffic" w:eastAsia="B Traffic"/>
          <w:b/>
          <w:i w:val="0"/>
          <w:sz w:val="28"/>
          <w:szCs w:val="28"/>
        </w:rPr>
        <w:t>۶. پیشینه پژوهش</w:t>
      </w:r>
    </w:p>
    <w:p>
      <w:pPr>
        <w:pStyle w:val="TH-Body"/>
        <w:widowControl/>
        <w:bidi w:val="1"/>
        <w:spacing w:before="0" w:after="120" w:line="276" w:lineRule="auto"/>
        <w:jc w:val="both"/>
      </w:pPr>
      <w:r>
        <w:rPr>
          <w:rFonts w:ascii="B Lotus" w:hAnsi="B Lotus" w:cs="B Lotus" w:eastAsia="B Lotus"/>
          <w:b w:val="0"/>
          <w:i w:val="0"/>
          <w:sz w:val="28"/>
          <w:szCs w:val="28"/>
        </w:rPr>
        <w:t>پیشینه پژوهش ـ به معنای آثار مستقلی که به مسئله یا مسائل نزدیک به آن پرداخته‌اند ـ در حد جست‌وجوهای انجام‌شده برای این رساله، شامل موارد زیر است:</w:t>
      </w:r>
    </w:p>
    <w:p>
      <w:pPr>
        <w:pStyle w:val="TH-Body"/>
        <w:widowControl/>
        <w:bidi w:val="1"/>
        <w:spacing w:before="0" w:after="120" w:line="276" w:lineRule="auto"/>
        <w:jc w:val="both"/>
      </w:pPr>
      <w:r>
        <w:rPr>
          <w:rFonts w:ascii="B Lotus" w:hAnsi="B Lotus" w:cs="B Lotus" w:eastAsia="B Lotus"/>
          <w:b w:val="0"/>
          <w:i w:val="0"/>
          <w:sz w:val="28"/>
          <w:szCs w:val="28"/>
        </w:rPr>
        <w:t>یکم. مقاله «قراردادهای بین‌المللی در اسلام» که در پرتال جامع علوم انسانی نمایه شده است.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مسئله این مقاله، بررسی مشروعیت و شرایط قراردادهای بین‌المللی دولت اسلامی است و در آن به آیات صلح، شرایط موضوع قرارداد و سیره معصومان استناد شده است. این اثر از جهت مبانی، به پژوهش حاضر نزدیک است، اما مسئله آن «انعقاد» قرارداد است نه «تعلیق یا نقض» آن، و به نقش ولی فقیه در مرحله پساانعقاد نپرداخته است.</w:t>
      </w:r>
    </w:p>
    <w:p>
      <w:pPr>
        <w:pStyle w:val="TH-Body"/>
        <w:widowControl/>
        <w:bidi w:val="1"/>
        <w:spacing w:before="0" w:after="120" w:line="276" w:lineRule="auto"/>
        <w:jc w:val="both"/>
      </w:pPr>
      <w:r>
        <w:rPr>
          <w:rFonts w:ascii="B Lotus" w:hAnsi="B Lotus" w:cs="B Lotus" w:eastAsia="B Lotus"/>
          <w:b w:val="0"/>
          <w:i w:val="0"/>
          <w:sz w:val="28"/>
          <w:szCs w:val="28"/>
        </w:rPr>
        <w:t>دوم. مقاله «حق شرط در معاهدات بین‌المللی» منتشرشده در پایگاه اطلاع‌رسانی حوزه.</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این مقاله با استناد به آیه «اوفوا بالعقود» و عهدنامه مالک اشتر، اصل وفای به عهد را تبیین کرده و سپس به مسئله حق شرط پرداخته است. نقطه اشتراک آن با پژوهش حاضر، تبیین مبنای وفای به عهد است؛ اما مسئله آن (حق شرط در هنگام پذیرش معاهده) با مسئله این رساله (عدول پس از پذیرش) متفاوت است.</w:t>
      </w:r>
    </w:p>
    <w:p>
      <w:pPr>
        <w:pStyle w:val="TH-Body"/>
        <w:widowControl/>
        <w:bidi w:val="1"/>
        <w:spacing w:before="0" w:after="120" w:line="276" w:lineRule="auto"/>
        <w:jc w:val="both"/>
      </w:pPr>
      <w:r>
        <w:rPr>
          <w:rFonts w:ascii="B Lotus" w:hAnsi="B Lotus" w:cs="B Lotus" w:eastAsia="B Lotus"/>
          <w:b w:val="0"/>
          <w:i w:val="0"/>
          <w:sz w:val="28"/>
          <w:szCs w:val="28"/>
        </w:rPr>
        <w:t>سوم. دو مقاله «ولایت مطلقه فقیه در قانون اساسی» و «مفهوم ولایت مطلقه فقیه در قانون اساسی جمهوری اسلامی ایران» در پایگاه اطلاع‌رسانی حوزه.</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 دو اثر به اختلاف‌نظر درباره حصر یا عدم حصر اختیارات رهبری در یازده بند اصل ۱۱۰ قانون اساسی پرداخته‌اند و از این جهت، مستقیماً با یکی از گره‌های پژوهش حاضر (تحلیل اصل ۱۱۰) مرتبط‌اند؛ اما هیچ‌یک مسئله معاهدات بین‌المللی را بررسی نکرده‌اند.</w:t>
      </w:r>
    </w:p>
    <w:p>
      <w:pPr>
        <w:pStyle w:val="TH-Body"/>
        <w:widowControl/>
        <w:bidi w:val="1"/>
        <w:spacing w:before="0" w:after="120" w:line="276" w:lineRule="auto"/>
        <w:jc w:val="both"/>
      </w:pPr>
      <w:r>
        <w:rPr>
          <w:rFonts w:ascii="B Lotus" w:hAnsi="B Lotus" w:cs="B Lotus" w:eastAsia="B Lotus"/>
          <w:b w:val="0"/>
          <w:i w:val="0"/>
          <w:sz w:val="28"/>
          <w:szCs w:val="28"/>
        </w:rPr>
        <w:t>چهارم. مدخل «وفای به عهد در نهج‌البلاغه» در دانشنامه امامت‌پدیا.</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این مدخل، جنبه دانشنامه‌ای و گردآوری دارد و به تحلیل فقهی ـ حقوقی مسئله وارد نشده است.</w:t>
      </w:r>
    </w:p>
    <w:p>
      <w:pPr>
        <w:pStyle w:val="TH-Body"/>
        <w:widowControl/>
        <w:bidi w:val="1"/>
        <w:spacing w:before="0" w:after="120" w:line="276" w:lineRule="auto"/>
        <w:jc w:val="both"/>
      </w:pPr>
      <w:r>
        <w:rPr>
          <w:rFonts w:ascii="B Lotus" w:hAnsi="B Lotus" w:cs="B Lotus" w:eastAsia="B Lotus"/>
          <w:b w:val="0"/>
          <w:i w:val="0"/>
          <w:sz w:val="28"/>
          <w:szCs w:val="28"/>
        </w:rPr>
        <w:t>پنجم. کتب مرجع در حوزه‌های مرتبط، از جمله «فقه سیاسی» استاد عباسعلی عمید زنجانی، «حقوق اساسی و نهادهای سیاسی» دکتر سیدابوالفضل قاضی شریعت‌پناهی، «حقوق اساسی جمهوری اسلامی ایران» دکتر سیدمحمد هاشمی، و «حقوق بین‌الملل عمومی» دکتر محمدرضا ضیایی بیگدلی.</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هر یک از این آثار، بخشی از مسئله (مبانی فقه سیاسی، نظام حقوق اساسی، یا قواعد حقوق معاهدات) را پوشش می‌دهند، اما هیچ‌یک مسئله خاص این رساله ـ یعنی قلمرو اختیار ولی فقیه در تعلیق و نقض یک‌جانبه ـ را به‌صورت مستقل و مسئله‌محور بررسی نکرده‌اند.</w:t>
      </w:r>
    </w:p>
    <w:p>
      <w:pPr>
        <w:pStyle w:val="TH-Band"/>
        <w:widowControl/>
        <w:bidi w:val="1"/>
        <w:spacing w:before="200" w:after="120" w:line="276" w:lineRule="auto"/>
        <w:jc w:val="right"/>
      </w:pPr>
      <w:r>
        <w:rPr>
          <w:rFonts w:ascii="B Traffic" w:hAnsi="B Traffic" w:cs="B Traffic" w:eastAsia="B Traffic"/>
          <w:b/>
          <w:i w:val="0"/>
          <w:sz w:val="28"/>
          <w:szCs w:val="28"/>
        </w:rPr>
        <w:t>۷. نقد اشتراک و افتراق تحقیقات قبلی</w:t>
      </w:r>
    </w:p>
    <w:p>
      <w:pPr>
        <w:pStyle w:val="TH-Body"/>
        <w:widowControl/>
        <w:bidi w:val="1"/>
        <w:spacing w:before="0" w:after="120" w:line="276" w:lineRule="auto"/>
        <w:jc w:val="both"/>
      </w:pPr>
      <w:r>
        <w:rPr>
          <w:rFonts w:ascii="B Lotus" w:hAnsi="B Lotus" w:cs="B Lotus" w:eastAsia="B Lotus"/>
          <w:b w:val="0"/>
          <w:i w:val="0"/>
          <w:sz w:val="28"/>
          <w:szCs w:val="28"/>
        </w:rPr>
        <w:t>نقطه اشتراک همه آثار پیشین با پژوهش حاضر، در «مبانی» است: اصل وفای به عهد، سیره معصومان، و کلیات ولایت فقیه. اما نقطه افتراق بنیادین، در «مسئله» است: هیچ‌یک از آثار یادشده، پرسش خاص این رساله را ـ یعنی نسبت‌سنجی میان وجوب وفا و اختیار حاکم در مرحله تعلیق و نقض یک‌جانبه، با تفکیک سه سطح جواز فقهی، مشروعیت داخلی و مسئولیت بین‌المللی ـ در کانون توجه قرار نداده‌اند. به بیان دیگر، ادبیات موجود یا «وفامحور» است (آثار دسته اول، دوم و چهارم) یا «ولایت‌محور» است (آثار دسته سوم و بخشی از کتب مرجع)؛ و حلقه مفقوده، پژوهشی «مسئله‌محور» است که این دو قطب را در قالب مسئله‌ای مشخص به یکدیگر پیوند زند. پژوهش حاضر می‌کوشد همین حلقه مفقوده را پر کند. نگارنده در عین حال تصریح می‌کند که بررسی پیشینه، محدود به جست‌وجوهای انجام‌شده بوده و تکمیل آن با جست‌وجوی کتابخانه‌ای در پایگاه‌هایی مانند نورمگز، پرتال علوم انسانی، ایرانداک و کتابخانه پژوهشگاه حوزه و دانشگاه، کاری شایسته و مکمل است.</w:t>
      </w:r>
    </w:p>
    <w:p>
      <w:pPr>
        <w:pStyle w:val="TH-Band"/>
        <w:widowControl/>
        <w:bidi w:val="1"/>
        <w:spacing w:before="200" w:after="120" w:line="276" w:lineRule="auto"/>
        <w:jc w:val="right"/>
      </w:pPr>
      <w:r>
        <w:rPr>
          <w:rFonts w:ascii="B Traffic" w:hAnsi="B Traffic" w:cs="B Traffic" w:eastAsia="B Traffic"/>
          <w:b/>
          <w:i w:val="0"/>
          <w:sz w:val="28"/>
          <w:szCs w:val="28"/>
        </w:rPr>
        <w:t>۸. فرضیه پژوهش</w:t>
      </w:r>
    </w:p>
    <w:p>
      <w:pPr>
        <w:pStyle w:val="TH-Body"/>
        <w:widowControl/>
        <w:bidi w:val="1"/>
        <w:spacing w:before="0" w:after="120" w:line="276" w:lineRule="auto"/>
        <w:jc w:val="both"/>
      </w:pPr>
      <w:r>
        <w:rPr>
          <w:rFonts w:ascii="B Lotus" w:hAnsi="B Lotus" w:cs="B Lotus" w:eastAsia="B Lotus"/>
          <w:b w:val="0"/>
          <w:i w:val="0"/>
          <w:sz w:val="28"/>
          <w:szCs w:val="28"/>
        </w:rPr>
        <w:t>فرضیه این پژوهش ـ که در سطح سه، جنبه راهنما دارد نه ادعای اثبات‌شده ـ چنین است: اختیار ولی فقیه در تعلیق یا نقض یک‌جانبه معاهدات بین‌المللی، اختیاری «مقید و مشروط» است نه مطلق؛ مبنای آن، تزاحم میان وجوب وفای به عهد و مصالح اهم نظام اسلامی است؛ صورت‌بندی فقهی آن از سنخ «حکم حکومتی» است؛ و جواز فقهی آن، رافع «مسئولیت بین‌المللی» دولت جمهوری اسلامی ایران نیست. به بیان فشرده‌تر: تعلیقِ موقتِ مصلحت‌سنجیده، در فرض تزاحم واقعی و با رعایت ضوابط، جایز است؛ اما نقضِ دائم و بی‌ضابطه، با ادله وجوب وفا ناسازگار است؛ و در هر دو صورت، آثار حقوق بین‌المللی تصمیم بر عهده دولت باقی می‌ماند.</w:t>
      </w:r>
    </w:p>
    <w:p>
      <w:pPr>
        <w:pStyle w:val="TH-Band"/>
        <w:widowControl/>
        <w:bidi w:val="1"/>
        <w:spacing w:before="200" w:after="120" w:line="276" w:lineRule="auto"/>
        <w:jc w:val="right"/>
      </w:pPr>
      <w:r>
        <w:rPr>
          <w:rFonts w:ascii="B Traffic" w:hAnsi="B Traffic" w:cs="B Traffic" w:eastAsia="B Traffic"/>
          <w:b/>
          <w:i w:val="0"/>
          <w:sz w:val="28"/>
          <w:szCs w:val="28"/>
        </w:rPr>
        <w:t>۹. پیش‌فرض‌ها</w:t>
      </w:r>
    </w:p>
    <w:p>
      <w:pPr>
        <w:pStyle w:val="TH-Body"/>
        <w:widowControl/>
        <w:bidi w:val="1"/>
        <w:spacing w:before="0" w:after="120" w:line="276" w:lineRule="auto"/>
        <w:jc w:val="both"/>
      </w:pPr>
      <w:r>
        <w:rPr>
          <w:rFonts w:ascii="B Lotus" w:hAnsi="B Lotus" w:cs="B Lotus" w:eastAsia="B Lotus"/>
          <w:b w:val="0"/>
          <w:i w:val="0"/>
          <w:sz w:val="28"/>
          <w:szCs w:val="28"/>
        </w:rPr>
        <w:t>این پژوهش بر پیش‌فرض‌هایی استوار است که خود، مسئله آن نیستند، اما فهم نتایج آن بدون توجه به آن‌ها ممکن نیست:</w:t>
      </w:r>
    </w:p>
    <w:p>
      <w:pPr>
        <w:pStyle w:val="TH-Body"/>
        <w:widowControl/>
        <w:bidi w:val="1"/>
        <w:spacing w:before="0" w:after="120" w:line="276" w:lineRule="auto"/>
        <w:jc w:val="both"/>
      </w:pPr>
      <w:r>
        <w:rPr>
          <w:rFonts w:ascii="B Lotus" w:hAnsi="B Lotus" w:cs="B Lotus" w:eastAsia="B Lotus"/>
          <w:b w:val="0"/>
          <w:i w:val="0"/>
          <w:sz w:val="28"/>
          <w:szCs w:val="28"/>
        </w:rPr>
        <w:t>پیش‌فرض یکم: اصل ولایت فقیه جامع‌الشرایط در عصر غیبت، به‌عنوان مبنای مشروعیت نظام جمهوری اسلامی ایران پذیرفته شده است. اثبات یا نفی این اصل، خارج از قلمرو این رساله است.</w:t>
      </w:r>
    </w:p>
    <w:p>
      <w:pPr>
        <w:pStyle w:val="TH-Body"/>
        <w:widowControl/>
        <w:bidi w:val="1"/>
        <w:spacing w:before="0" w:after="120" w:line="276" w:lineRule="auto"/>
        <w:jc w:val="both"/>
      </w:pPr>
      <w:r>
        <w:rPr>
          <w:rFonts w:ascii="B Lotus" w:hAnsi="B Lotus" w:cs="B Lotus" w:eastAsia="B Lotus"/>
          <w:b w:val="0"/>
          <w:i w:val="0"/>
          <w:sz w:val="28"/>
          <w:szCs w:val="28"/>
        </w:rPr>
        <w:t>پیش‌فرض دوم: جمهوری اسلامی ایران، دولتی مستقل و تابع حقوق بین‌الملل است و تصمیم‌های مقامات آن، از جمله ولی فقیه، در سطح بین‌المللی به دولت ایران منتسب می‌شود.</w:t>
      </w:r>
    </w:p>
    <w:p>
      <w:pPr>
        <w:pStyle w:val="TH-Body"/>
        <w:widowControl/>
        <w:bidi w:val="1"/>
        <w:spacing w:before="0" w:after="120" w:line="276" w:lineRule="auto"/>
        <w:jc w:val="both"/>
      </w:pPr>
      <w:r>
        <w:rPr>
          <w:rFonts w:ascii="B Lotus" w:hAnsi="B Lotus" w:cs="B Lotus" w:eastAsia="B Lotus"/>
          <w:b w:val="0"/>
          <w:i w:val="0"/>
          <w:sz w:val="28"/>
          <w:szCs w:val="28"/>
        </w:rPr>
        <w:t>پیش‌فرض سوم: کنوانسیون وین حقوق معاهدات (۱۹۶۹ میلادی)، مهم‌ترین سند مدون حقوق معاهدات است و بسیاری از قواعد آن ـ چنان‌که رویه دیوان بین‌المللی دادگستری نشان می‌دهد ـ جنبه عرفی یافته‌اند؛ هرچند جمهوری اسلامی ایران این کنوانسیون را امضا کرده ولی به تصویب مجلس شورای اسلامی نرسانده است.</w:t>
      </w:r>
      <w:r>
        <w:rPr>
          <w:rFonts w:ascii="B Lotus" w:hAnsi="B Lotus" w:cs="B Lotus" w:eastAsia="B Lotus"/>
          <w:b w:val="0"/>
          <w:i w:val="0"/>
          <w:sz w:val="28"/>
          <w:szCs w:val="28"/>
          <w:vertAlign w:val="superscript"/>
        </w:rPr>
        <w:footnoteReference w:id="9"/>
      </w:r>
    </w:p>
    <w:p>
      <w:pPr>
        <w:pStyle w:val="TH-Body"/>
        <w:widowControl/>
        <w:bidi w:val="1"/>
        <w:spacing w:before="0" w:after="120" w:line="276" w:lineRule="auto"/>
        <w:jc w:val="both"/>
      </w:pPr>
      <w:r>
        <w:rPr>
          <w:rFonts w:ascii="B Lotus" w:hAnsi="B Lotus" w:cs="B Lotus" w:eastAsia="B Lotus"/>
          <w:b w:val="0"/>
          <w:i w:val="0"/>
          <w:sz w:val="28"/>
          <w:szCs w:val="28"/>
        </w:rPr>
        <w:t>پیش‌فرض چهارم: در مقام استنباط فقهی، حجیت ظواهر قرآن کریم، سنت معتبر، و قواعد اصولی پذیرفته‌شده در فقه امامیه (از جمله قواعد تزاحم، لاضرر و لاحرج) مفروض است.</w:t>
      </w:r>
    </w:p>
    <w:p>
      <w:pPr>
        <w:pStyle w:val="TH-Body"/>
        <w:widowControl/>
        <w:bidi w:val="1"/>
        <w:spacing w:before="0" w:after="120" w:line="276" w:lineRule="auto"/>
        <w:jc w:val="both"/>
      </w:pPr>
      <w:r>
        <w:rPr>
          <w:rFonts w:ascii="B Lotus" w:hAnsi="B Lotus" w:cs="B Lotus" w:eastAsia="B Lotus"/>
          <w:b w:val="0"/>
          <w:i w:val="0"/>
          <w:sz w:val="28"/>
          <w:szCs w:val="28"/>
        </w:rPr>
        <w:t>پیش‌فرض پنجم: «مصلحت» در منطق این پژوهش، به معنای مصلحت موهوم یا سلیقه شخصی نیست، بلکه به معنای مصلحت واقعی نظام اسلامی است که باید احراز شود و مرجع تشخیص نهایی آن، ولی فقیه است.</w:t>
      </w:r>
    </w:p>
    <w:p>
      <w:pPr>
        <w:pStyle w:val="TH-Band"/>
        <w:widowControl/>
        <w:bidi w:val="1"/>
        <w:spacing w:before="200" w:after="120" w:line="276" w:lineRule="auto"/>
        <w:jc w:val="right"/>
      </w:pPr>
      <w:r>
        <w:rPr>
          <w:rFonts w:ascii="B Traffic" w:hAnsi="B Traffic" w:cs="B Traffic" w:eastAsia="B Traffic"/>
          <w:b/>
          <w:i w:val="0"/>
          <w:sz w:val="28"/>
          <w:szCs w:val="28"/>
        </w:rPr>
        <w:t>۱۰. اهداف پژوهش</w:t>
      </w:r>
    </w:p>
    <w:p>
      <w:pPr>
        <w:pStyle w:val="TH-Body"/>
        <w:widowControl/>
        <w:bidi w:val="1"/>
        <w:spacing w:before="0" w:after="120" w:line="276" w:lineRule="auto"/>
        <w:jc w:val="both"/>
      </w:pPr>
      <w:r>
        <w:rPr>
          <w:rFonts w:ascii="B Lotus" w:hAnsi="B Lotus" w:cs="B Lotus" w:eastAsia="B Lotus"/>
          <w:b w:val="0"/>
          <w:i w:val="0"/>
          <w:sz w:val="28"/>
          <w:szCs w:val="28"/>
        </w:rPr>
        <w:t>هدف اصلی پژوهش، پاسخ مستدل و مستند به سؤال اصلی؛ یعنی تعیین قلمرو و ضوابط اختیارات ولی فقیه در تعلیق و نقض یک‌جانبه معاهدات بین‌المللی است. اهداف فرعی عبارت‌اند از: (۱) تبیین آثار تصمیم ولی فقیه بر مسئولیت بین‌المللی دولت جمهوری اسلامی ایران؛ (۲) تبیین نسبت مصلحت نظام با عدول از تعهدات بین‌المللی و استخراج ضوابط فقهی آن؛ (۳) ارائه چارچوبی کاربردی برای تصمیم‌گیران در مواجهه با تعارض ظاهری میان تعهدات بین‌المللی و مصالح نظام.</w:t>
      </w:r>
    </w:p>
    <w:p>
      <w:pPr>
        <w:pStyle w:val="TH-Band"/>
        <w:widowControl/>
        <w:bidi w:val="1"/>
        <w:spacing w:before="200" w:after="120" w:line="276" w:lineRule="auto"/>
        <w:jc w:val="right"/>
      </w:pPr>
      <w:r>
        <w:rPr>
          <w:rFonts w:ascii="B Traffic" w:hAnsi="B Traffic" w:cs="B Traffic" w:eastAsia="B Traffic"/>
          <w:b/>
          <w:i w:val="0"/>
          <w:sz w:val="28"/>
          <w:szCs w:val="28"/>
        </w:rPr>
        <w:t>۱۱. روش پژوهش</w:t>
      </w:r>
    </w:p>
    <w:p>
      <w:pPr>
        <w:pStyle w:val="TH-Body"/>
        <w:widowControl/>
        <w:bidi w:val="1"/>
        <w:spacing w:before="0" w:after="120" w:line="276" w:lineRule="auto"/>
        <w:jc w:val="both"/>
      </w:pPr>
      <w:r>
        <w:rPr>
          <w:rFonts w:ascii="B Lotus" w:hAnsi="B Lotus" w:cs="B Lotus" w:eastAsia="B Lotus"/>
          <w:b w:val="0"/>
          <w:i w:val="0"/>
          <w:sz w:val="28"/>
          <w:szCs w:val="28"/>
        </w:rPr>
        <w:t>روش گردآوری اطلاعات در این پژوهش، «کتابخانه‌ای» و ابزار آن «فیش‌برداری» است؛ که روش غالب پژوهش‌های حوزوی به شمار می‌آید. روش تحلیل، توصیفی ـ استنباطی است: در بخش فقهی، ادله (آیات، روایات، اقوال فقها و قواعد اصولی) توصیف، سپس دلالت آن‌ها تحلیل و در پایان، نتیجه استنباط می‌شود؛ و در بخش حقوقی، قواعد حقوق بین‌الملل و حقوق اساسی توصیف و بر مسئله تطبیق می‌شوند. در بررسی اقوال اختلافی، مراحل نه‌گانه معرفی قول، یافتن منبع اصلی، استخراج دلیل، تحلیل دلالت، نقد منصفانه و جمع‌بندی رعایت شده است. همچنین در سراسر پژوهش، اصل امانت در نقل رعایت شده و در مواردی که دسترسی به منبع اصلی ممکن نبوده یا نشانی دقیق نیازمند تطبیق با نسخه چاپی بوده، به‌صراحت یادآوری شده است.</w:t>
      </w:r>
    </w:p>
    <w:p>
      <w:pPr>
        <w:pStyle w:val="TH-Band"/>
        <w:widowControl/>
        <w:bidi w:val="1"/>
        <w:spacing w:before="200" w:after="120" w:line="276" w:lineRule="auto"/>
        <w:jc w:val="right"/>
      </w:pPr>
      <w:r>
        <w:rPr>
          <w:rFonts w:ascii="B Traffic" w:hAnsi="B Traffic" w:cs="B Traffic" w:eastAsia="B Traffic"/>
          <w:b/>
          <w:i w:val="0"/>
          <w:sz w:val="28"/>
          <w:szCs w:val="28"/>
        </w:rPr>
        <w:t>۱۲. محدودیت‌های پژوهش</w:t>
      </w:r>
    </w:p>
    <w:p>
      <w:pPr>
        <w:pStyle w:val="TH-Body"/>
        <w:widowControl/>
        <w:bidi w:val="1"/>
        <w:spacing w:before="0" w:after="120" w:line="276" w:lineRule="auto"/>
        <w:jc w:val="both"/>
      </w:pPr>
      <w:r>
        <w:rPr>
          <w:rFonts w:ascii="B Lotus" w:hAnsi="B Lotus" w:cs="B Lotus" w:eastAsia="B Lotus"/>
          <w:b w:val="0"/>
          <w:i w:val="0"/>
          <w:sz w:val="28"/>
          <w:szCs w:val="28"/>
        </w:rPr>
        <w:t>این پژوهش با چند محدودیت روبه‌رو بوده است که آگاهی از آن‌ها در ارزیابی نتایج ضرورت دارد: نخست، محدودیت دسترسی به برخی منابع دست اول که در موارد معدود، ناگزیر به ارجاع کلی (ر.ک) بسنده شده و نشانی دقیق به تطبیق با نسخه چاپی موکول گردیده است. دوم، محدودیت ذاتی پژوهش‌های میان‌رشته‌ای فقه و حقوق بین‌الملل که اقتضا می‌کند خواننده با مبانی هر دو حوزه آشنا باشد. سوم، محرمانه‌بودن بخش مهمی از اسناد مذاکرات و تصمیم‌های معاهداتی دولت‌ها که امکان تحلیل اسنادیِ تفصیلیِ رویه عملی را محدود می‌کند و این رساله را ناگزیر به تحلیل هنجاری (و نه توصیف تاریخیِ فراگیر) کرده است. چهارم، نوپدیدبودن مسئله که پیشینه مستقلی برای نقد و محاکه باقی نگذاشته است.</w:t>
      </w:r>
    </w:p>
    <w:p>
      <w:pPr>
        <w:pStyle w:val="TH-Band"/>
        <w:widowControl/>
        <w:bidi w:val="1"/>
        <w:spacing w:before="200" w:after="120" w:line="276" w:lineRule="auto"/>
        <w:jc w:val="right"/>
      </w:pPr>
      <w:r>
        <w:rPr>
          <w:rFonts w:ascii="B Traffic" w:hAnsi="B Traffic" w:cs="B Traffic" w:eastAsia="B Traffic"/>
          <w:b/>
          <w:i w:val="0"/>
          <w:sz w:val="28"/>
          <w:szCs w:val="28"/>
        </w:rPr>
        <w:t>۱۳. توضیح ساختار پژوهش</w:t>
      </w:r>
    </w:p>
    <w:p>
      <w:pPr>
        <w:pStyle w:val="TH-Body"/>
        <w:widowControl/>
        <w:bidi w:val="1"/>
        <w:spacing w:before="0" w:after="120" w:line="276" w:lineRule="auto"/>
        <w:jc w:val="both"/>
      </w:pPr>
      <w:r>
        <w:rPr>
          <w:rFonts w:ascii="B Lotus" w:hAnsi="B Lotus" w:cs="B Lotus" w:eastAsia="B Lotus"/>
          <w:b w:val="0"/>
          <w:i w:val="0"/>
          <w:sz w:val="28"/>
          <w:szCs w:val="28"/>
        </w:rPr>
        <w:t>ساختار این رساله بر اساس منطق سؤال‌ها طراحی شده است. پس از مقدمه حاضر، «بخش اول: مفاهیم و کلیات» شامل فصل اول (مفهوم‌شناسی) و فصل دوم (کلیات و مبانی) می‌آید که پیش‌نیاز فهم مسئله‌اند. سپس «بخش دوم: تحلیل فقهی مسئله» شامل فصل سوم (ادله وجوب وفای به عهد) و فصل چهارم (ادله اختیار حاکم و ضوابط عدول) می‌آید که پاسخ‌گوی سؤال اصلی و سؤال فرعی دوم است. آنگاه «بخش سوم: تحلیل حقوقی مسئله» شامل فصل پنجم (مسئولیت بین‌المللی دولت و جایگاه حقوق اساسی تصمیم) می‌آید که پاسخ‌گوی سؤال فرعی اول است. ترتیب فصل‌ها آگاهانه چنین تنظیم شده است: چون پاسخ به پرسش از «آثار» تصمیم (مسئولیت بین‌المللی) منطقاً متوقف بر فهم «حکم» و «مبنای» آن (جواز فقهی و مصلحت) است، فصل ناظر به سؤال فرعی اول پس از فصول ناظر به سؤال اصلی و سؤال فرعی دوم قرار گرفته است. در پایان، «نتیجه‌گیری» شامل پاسخ فشرده سؤال‌ها، یافته‌ها و پیشنهادها، و سپس «فهرست منابع» آمده است.</w:t>
      </w:r>
    </w:p>
    <w:p>
      <w:r>
        <w:br w:type="page"/>
      </w:r>
    </w:p>
    <w:p/>
    <w:p/>
    <w:p/>
    <w:p/>
    <w:p>
      <w:pPr>
        <w:pStyle w:val="TH-Bakhsh"/>
        <w:widowControl/>
        <w:bidi w:val="1"/>
        <w:spacing w:before="0" w:after="120" w:line="276" w:lineRule="auto"/>
        <w:jc w:val="center"/>
      </w:pPr>
      <w:r>
        <w:rPr>
          <w:rFonts w:ascii="B Titr" w:hAnsi="B Titr" w:cs="B Titr" w:eastAsia="B Titr"/>
          <w:b/>
          <w:i w:val="0"/>
          <w:sz w:val="60"/>
          <w:szCs w:val="60"/>
        </w:rPr>
        <w:t>بخش اول: مفاهیم و کلیات</w:t>
      </w:r>
    </w:p>
    <w:p>
      <w:r>
        <w:br w:type="page"/>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فصل اول: مفهوم‌شناسی</w:t>
      </w:r>
    </w:p>
    <w:p>
      <w:pPr>
        <w:pStyle w:val="TH-Body"/>
        <w:widowControl/>
        <w:bidi w:val="1"/>
        <w:spacing w:before="0" w:after="120" w:line="276" w:lineRule="auto"/>
        <w:jc w:val="both"/>
      </w:pPr>
      <w:r>
        <w:rPr>
          <w:rFonts w:ascii="B Lotus" w:hAnsi="B Lotus" w:cs="B Lotus" w:eastAsia="B Lotus"/>
          <w:b w:val="0"/>
          <w:i w:val="0"/>
          <w:sz w:val="28"/>
          <w:szCs w:val="28"/>
        </w:rPr>
        <w:t>پیش از ورود به تحلیل مسئله، ناگزیر باید مفاهیم کلیدی پژوهش تنقیح شود؛ زیرا بخش مهمی از اختلاف‌نظرها در این حوزه، ریشه در خلط مفاهیم دارد: خلط «تعلیق» با «نقض»، خلط «خاتمه» با «خروج»، خلط «حکم حکومتی» با «حکم ثانوی»، و خلط «مصلحت» با «ضرورت». این فصل در دو گفتار، نخست مفاهیم حقوق بین‌الملل و سپس مفاهیم فقهی و حقوق داخلی را به‌اندازه نیاز مسئله تعریف می‌کند. تفصیل مباحث استدلالی هر مفهوم به فصول بعد موکول است.</w:t>
      </w:r>
    </w:p>
    <w:p>
      <w:pPr>
        <w:pStyle w:val="TH-Goftar"/>
        <w:widowControl/>
        <w:bidi w:val="1"/>
        <w:spacing w:before="200" w:after="120" w:line="276" w:lineRule="auto"/>
        <w:jc w:val="right"/>
      </w:pPr>
      <w:r>
        <w:rPr>
          <w:rFonts w:ascii="B Titr" w:hAnsi="B Titr" w:cs="B Titr" w:eastAsia="B Titr"/>
          <w:b/>
          <w:i w:val="0"/>
          <w:sz w:val="32"/>
          <w:szCs w:val="32"/>
        </w:rPr>
        <w:t>گفتار اول: مفاهیم حقوق بین‌الملل</w:t>
      </w:r>
    </w:p>
    <w:p>
      <w:pPr>
        <w:pStyle w:val="TH-Band"/>
        <w:widowControl/>
        <w:bidi w:val="1"/>
        <w:spacing w:before="200" w:after="120" w:line="276" w:lineRule="auto"/>
        <w:jc w:val="right"/>
      </w:pPr>
      <w:r>
        <w:rPr>
          <w:rFonts w:ascii="B Traffic" w:hAnsi="B Traffic" w:cs="B Traffic" w:eastAsia="B Traffic"/>
          <w:b/>
          <w:i w:val="0"/>
          <w:sz w:val="28"/>
          <w:szCs w:val="28"/>
        </w:rPr>
        <w:t>بند اول: معاهده و مفاهیم پیرامونی آن</w:t>
      </w:r>
    </w:p>
    <w:p>
      <w:pPr>
        <w:pStyle w:val="TH-Body"/>
        <w:widowControl/>
        <w:bidi w:val="1"/>
        <w:spacing w:before="0" w:after="120" w:line="276" w:lineRule="auto"/>
        <w:jc w:val="both"/>
      </w:pPr>
      <w:r>
        <w:rPr>
          <w:rFonts w:ascii="B Lotus" w:hAnsi="B Lotus" w:cs="B Lotus" w:eastAsia="B Lotus"/>
          <w:b w:val="0"/>
          <w:i w:val="0"/>
          <w:sz w:val="28"/>
          <w:szCs w:val="28"/>
        </w:rPr>
        <w:t>«معاهده» در حقوق بین‌الملل، معنایی فنی و دقیق دارد. به موجب ماده ۲ کنوانسیون وین حقوق معاهدات، معاهده عبارت است از «توافق بین‌المللی منعقدشده میان دولت‌ها به‌صورت کتبی که تابع حقوق بین‌الملل باشد، خواه در سند واحد و خواه در دو یا چند سند مرتبط، و با هر عنوانی که باشد».</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از این تعریف سه عنصر به دست می‌آید: نخست، طرف‌های معاهده باید تابعان حقوق بین‌الملل (در درجه اول، دولت‌ها) باشند؛ دوم، شکل آن باید کتبی باشد (توافق‌های شفاهی از شمول کنوانسیون وین بیرون‌اند هرچند ممکن است آثار حقوقی دیگری داشته باشند)؛ و سوم، قصد طرف‌ها باید ایجاد رابطه‌ای «حقوقی» باشد نه صرفاً سیاسی یا اخلاقی.</w:t>
      </w:r>
    </w:p>
    <w:p>
      <w:pPr>
        <w:pStyle w:val="TH-Body"/>
        <w:widowControl/>
        <w:bidi w:val="1"/>
        <w:spacing w:before="0" w:after="120" w:line="276" w:lineRule="auto"/>
        <w:jc w:val="both"/>
      </w:pPr>
      <w:r>
        <w:rPr>
          <w:rFonts w:ascii="B Lotus" w:hAnsi="B Lotus" w:cs="B Lotus" w:eastAsia="B Lotus"/>
          <w:b w:val="0"/>
          <w:i w:val="0"/>
          <w:sz w:val="28"/>
          <w:szCs w:val="28"/>
        </w:rPr>
        <w:t>نکته مهم آن است که «عنوان» سند (عهدنامه، مقاوله‌نامه، موافقت‌نامه، قرارداد، پیمان، پروتکل و مانند آن) در ماهیت معاهده‌بودن آن تأثیری ندارد؛ چنان‌که اصل ۷۷ قانون اساسی نیز با ذکر چهار عنوان «عهدنامه، مقاوله‌نامه، قرارداد و موافقت‌نامه» همین منطق را پذیرفته است. بنابراین، در این رساله هرجا از «معاهده» سخن می‌رود، مقصود، معنای عام آن است که همه اسناد یادشده را در بر می‌گیرد، مگر آن‌که قرینه‌ای بر معنای خاص باشد.</w:t>
      </w:r>
    </w:p>
    <w:p>
      <w:pPr>
        <w:pStyle w:val="TH-Body"/>
        <w:widowControl/>
        <w:bidi w:val="1"/>
        <w:spacing w:before="0" w:after="120" w:line="276" w:lineRule="auto"/>
        <w:jc w:val="both"/>
      </w:pPr>
      <w:r>
        <w:rPr>
          <w:rFonts w:ascii="B Lotus" w:hAnsi="B Lotus" w:cs="B Lotus" w:eastAsia="B Lotus"/>
          <w:b w:val="0"/>
          <w:i w:val="0"/>
          <w:sz w:val="28"/>
          <w:szCs w:val="28"/>
        </w:rPr>
        <w:t>«توافق بین‌المللی» در ادبیات حقوقی، گاه مترادف معاهده و گاه اعم از آن به کار می‌رود؛ یعنی شامل تفاهم‌نامه‌های سیاسی و اسناد غیرالزام‌آور نیز می‌شود. اما «تعهد بین‌المللی»، نتیجه و ثمره معاهده است: هر معاهده، مجموعه‌ای از تعهدات (تکالیف به فعل یا ترک فعل) را برای اطراف خود ایجاد می‌کند. تمایز میان «معاهده» (به‌مثابه منبع تعهد) و «تعهد» (به‌مثابه محتوای آن) در تحلیل مسئولیت بین‌المللی اهمیت دارد؛ زیرا آن‌چه نقض می‌شود، در واقع «تعهد» است و معاهده، ظرف آن به شمار می‌آید.</w:t>
      </w:r>
    </w:p>
    <w:p>
      <w:pPr>
        <w:pStyle w:val="TH-Body"/>
        <w:widowControl/>
        <w:bidi w:val="1"/>
        <w:spacing w:before="0" w:after="120" w:line="276" w:lineRule="auto"/>
        <w:jc w:val="both"/>
      </w:pPr>
      <w:r>
        <w:rPr>
          <w:rFonts w:ascii="B Lotus" w:hAnsi="B Lotus" w:cs="B Lotus" w:eastAsia="B Lotus"/>
          <w:b w:val="0"/>
          <w:i w:val="0"/>
          <w:sz w:val="28"/>
          <w:szCs w:val="28"/>
        </w:rPr>
        <w:t>سه مفهوم «انعقاد»، «تصویب» و «الحاق» نیز ناظر به مراحل شکل‌گیری التزام دولت‌اند. «انعقاد» به معنای عام، فرایند مذاکره و امضای متن؛ «تصویب» (Ratification) به معنای اعلام رضایت نهایی دولت به التزام (در نظام ایران: تصویب مجلس شورای اسلامی به موجب اصل ۷۷ و امضای رئیس‌جمهور یا نماینده قانونی او به موجب اصل ۱۲۵)؛ و «الحاق» (Accession) به معنای پیوستن دولتی به معاهده‌ای است که در مذاکرات آن شرکت نداشته است. این سه مفهوم، مقدمه مسئله این رساله‌اند نه خود آن؛ زیرا مسئله رساله، ناظر به مرحله «پس از التزام» است.</w:t>
      </w:r>
    </w:p>
    <w:p>
      <w:pPr>
        <w:pStyle w:val="TH-Band"/>
        <w:widowControl/>
        <w:bidi w:val="1"/>
        <w:spacing w:before="200" w:after="120" w:line="276" w:lineRule="auto"/>
        <w:jc w:val="right"/>
      </w:pPr>
      <w:r>
        <w:rPr>
          <w:rFonts w:ascii="B Traffic" w:hAnsi="B Traffic" w:cs="B Traffic" w:eastAsia="B Traffic"/>
          <w:b/>
          <w:i w:val="0"/>
          <w:sz w:val="28"/>
          <w:szCs w:val="28"/>
        </w:rPr>
        <w:t>بند دوم: مفاهیم ناظر به سرنوشت معاهده</w:t>
      </w:r>
    </w:p>
    <w:p>
      <w:pPr>
        <w:pStyle w:val="TH-Body"/>
        <w:widowControl/>
        <w:bidi w:val="1"/>
        <w:spacing w:before="0" w:after="120" w:line="276" w:lineRule="auto"/>
        <w:jc w:val="both"/>
      </w:pPr>
      <w:r>
        <w:rPr>
          <w:rFonts w:ascii="B Lotus" w:hAnsi="B Lotus" w:cs="B Lotus" w:eastAsia="B Lotus"/>
          <w:b w:val="0"/>
          <w:i w:val="0"/>
          <w:sz w:val="28"/>
          <w:szCs w:val="28"/>
        </w:rPr>
        <w:t>مهم‌ترین بخش مفهوم‌شناسی این پژوهش، تفکیک مفاهیم ناظر به سرنوشت معاهده پس از لازم‌الاجرا شدن آن است:</w:t>
      </w:r>
    </w:p>
    <w:p>
      <w:pPr>
        <w:pStyle w:val="TH-Body"/>
        <w:widowControl/>
        <w:bidi w:val="1"/>
        <w:spacing w:before="0" w:after="120" w:line="276" w:lineRule="auto"/>
        <w:jc w:val="both"/>
      </w:pPr>
      <w:r>
        <w:rPr>
          <w:rFonts w:ascii="B Lotus" w:hAnsi="B Lotus" w:cs="B Lotus" w:eastAsia="B Lotus"/>
          <w:b w:val="0"/>
          <w:i w:val="0"/>
          <w:sz w:val="28"/>
          <w:szCs w:val="28"/>
        </w:rPr>
        <w:t>یکم. «اجرا» (Performance): به معنای انجام تعهدات ناشی از معاهده با حسن نیت است. اصل بنیادین «وفای به عهد» (Pacta Sunt Servanda) در ماده ۲۶ کنوانسیون وین چنین صورت‌بندی شده است: هر معاهده لازم‌الاجرایی، اطراف خود را ملزم می‌کند و باید با حسن نیت اجرا شود.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اجرا، وضعیت طبیعی و مطلوب معاهده است و همه مفاهیم دیگر، انحراف از این وضعیت طبیعی‌اند.</w:t>
      </w:r>
    </w:p>
    <w:p>
      <w:pPr>
        <w:pStyle w:val="TH-Body"/>
        <w:widowControl/>
        <w:bidi w:val="1"/>
        <w:spacing w:before="0" w:after="120" w:line="276" w:lineRule="auto"/>
        <w:jc w:val="both"/>
      </w:pPr>
      <w:r>
        <w:rPr>
          <w:rFonts w:ascii="B Lotus" w:hAnsi="B Lotus" w:cs="B Lotus" w:eastAsia="B Lotus"/>
          <w:b w:val="0"/>
          <w:i w:val="0"/>
          <w:sz w:val="28"/>
          <w:szCs w:val="28"/>
        </w:rPr>
        <w:t>دوم. «تعلیق» (Suspension): به معنای توقف «موقت» اجرای معاهده (به‌طور کلی یا جزئی) است، بی‌آن‌که به «اعتبار» آن خدشه‌ای وارد شود. معاهده معلق، همچنان معتبر است و با رفع سبب تعلیق، اجرای آن از سر گرفته می‌شود. کنوانسیون وین، تعلیق را در مواردی مانند توافق اطراف (مواد ۵۷ و ۵۸)، نقض اساسی از سوی طرف مقابل (ماده ۶۰) و موارد مشابه پذیرفته و آثار آن را در ماده ۷۲ بیان کرده است: در مدت تعلیق، اطراف از اجرای تعهدات متقابل معاف‌اند، اما روابط حقوقی ناشی از معاهده به‌طور کامل از بین نمی‌رود.</w:t>
      </w:r>
      <w:r>
        <w:rPr>
          <w:rFonts w:ascii="B Lotus" w:hAnsi="B Lotus" w:cs="B Lotus" w:eastAsia="B Lotus"/>
          <w:b w:val="0"/>
          <w:i w:val="0"/>
          <w:sz w:val="28"/>
          <w:szCs w:val="28"/>
          <w:vertAlign w:val="superscript"/>
        </w:rPr>
        <w:footnoteReference w:id="12"/>
      </w:r>
    </w:p>
    <w:p>
      <w:pPr>
        <w:pStyle w:val="TH-Body"/>
        <w:widowControl/>
        <w:bidi w:val="1"/>
        <w:spacing w:before="0" w:after="120" w:line="276" w:lineRule="auto"/>
        <w:jc w:val="both"/>
      </w:pPr>
      <w:r>
        <w:rPr>
          <w:rFonts w:ascii="B Lotus" w:hAnsi="B Lotus" w:cs="B Lotus" w:eastAsia="B Lotus"/>
          <w:b w:val="0"/>
          <w:i w:val="0"/>
          <w:sz w:val="28"/>
          <w:szCs w:val="28"/>
        </w:rPr>
        <w:t>سوم. «نقض» (Breach/Violation): به معنای رفتار (فعل یا ترک فعل) مغایر با آن‌چه تعهد بین‌المللی ایجاب می‌کند. به تعبیر طرح مواد مسئولیت بین‌المللی دولت‌ها، «نقض تعهد بین‌المللی هنگامی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نکته کلیدی آن است که «نقض» در حقوق بین‌الملل، مفهومی «عینی» است: یعنی صرف عدم انطباق رفتار با تعهد، نقض به شمار می‌آید، هرچند دولتِ ناقض، برای رفتار خود توجیه شرعی، قانونی یا سیاسی داشته باشد. این نکته، بنیادِ تفکیک «جواز فقهی» از «مسئولیت بین‌المللی» در فصل پنجم خواهد بود.</w:t>
      </w:r>
    </w:p>
    <w:p>
      <w:pPr>
        <w:pStyle w:val="TH-Body"/>
        <w:widowControl/>
        <w:bidi w:val="1"/>
        <w:spacing w:before="0" w:after="120" w:line="276" w:lineRule="auto"/>
        <w:jc w:val="both"/>
      </w:pPr>
      <w:r>
        <w:rPr>
          <w:rFonts w:ascii="B Lotus" w:hAnsi="B Lotus" w:cs="B Lotus" w:eastAsia="B Lotus"/>
          <w:b w:val="0"/>
          <w:i w:val="0"/>
          <w:sz w:val="28"/>
          <w:szCs w:val="28"/>
        </w:rPr>
        <w:t>چهارم. «خاتمه» (Termination): به معنای پایان‌دادن به «اعتبار» معاهده است؛ به‌گونه‌ای که پس از آن، دیگر هیچ تعهدی از آن معاهده باقی نمی‌ماند (با رعایت آثار گذشته). خاتمه ممکن است با توافق (مواد ۵۴ و ۵۹)، بر اساس شرط مندرج در خود معاهده (ماده ۵۴)، یا به اسباب خاصی مانند نقض اساسی (ماده ۶۰)، عدم امکان اجرا (ماده ۶۱)، تغییر بنیادین اوضاع و احوال (ماده ۶۲) و تعارض با قاعده آمره جدید (ماده ۶۴) باشد.</w:t>
      </w:r>
    </w:p>
    <w:p>
      <w:pPr>
        <w:pStyle w:val="TH-Body"/>
        <w:widowControl/>
        <w:bidi w:val="1"/>
        <w:spacing w:before="0" w:after="120" w:line="276" w:lineRule="auto"/>
        <w:jc w:val="both"/>
      </w:pPr>
      <w:r>
        <w:rPr>
          <w:rFonts w:ascii="B Lotus" w:hAnsi="B Lotus" w:cs="B Lotus" w:eastAsia="B Lotus"/>
          <w:b w:val="0"/>
          <w:i w:val="0"/>
          <w:sz w:val="28"/>
          <w:szCs w:val="28"/>
        </w:rPr>
        <w:t>پنجم. «خروج» (Withdrawal/Denunciation): به معنای انصراف یک‌جانبه یک طرف از معاهده چندجانبه است؛ با این تفاوت که خروج، اعتبار معاهده را برای سایر اطراف از بین نمی‌برد. ماده ۵۶ کنوانسیون وین، خروج از معاهده‌ای را که شرطی درباره خاتمه یا خروج ندارد، تنها در شرایط محدودی پذیرفته است.</w:t>
      </w:r>
    </w:p>
    <w:p>
      <w:pPr>
        <w:pStyle w:val="TH-Body"/>
        <w:widowControl/>
        <w:bidi w:val="1"/>
        <w:spacing w:before="0" w:after="120" w:line="276" w:lineRule="auto"/>
        <w:jc w:val="both"/>
      </w:pPr>
      <w:r>
        <w:rPr>
          <w:rFonts w:ascii="B Lotus" w:hAnsi="B Lotus" w:cs="B Lotus" w:eastAsia="B Lotus"/>
          <w:b w:val="0"/>
          <w:i w:val="0"/>
          <w:sz w:val="28"/>
          <w:szCs w:val="28"/>
        </w:rPr>
        <w:t>ششم. «فسخ»: اصطلاحی فقهی و حقوق داخلی است که در ادبیات حقوق معاهدات، معادل دقیقی ندارد. در فقه، فسخ به معنای برهم‌زدن عقد لازم به سببی شرعی (مانند خیار) است. کاربرد این واژه درباره معاهدات بین‌المللی، مسامحه‌آمیز است و بهتر است به‌جای آن از «خاتمه» یا «تعلیق» ـ بحسب مورد ـ استفاده شود.</w:t>
      </w:r>
    </w:p>
    <w:p>
      <w:pPr>
        <w:pStyle w:val="TH-Body"/>
        <w:widowControl/>
        <w:bidi w:val="1"/>
        <w:spacing w:before="0" w:after="120" w:line="276" w:lineRule="auto"/>
        <w:jc w:val="both"/>
      </w:pPr>
      <w:r>
        <w:rPr>
          <w:rFonts w:ascii="B Lotus" w:hAnsi="B Lotus" w:cs="B Lotus" w:eastAsia="B Lotus"/>
          <w:b w:val="0"/>
          <w:i w:val="0"/>
          <w:sz w:val="28"/>
          <w:szCs w:val="28"/>
        </w:rPr>
        <w:t>هفتم. «عدم اجرا» (Non-performance): مفهومی عام است که هم «تعلیق موجه»، هم «نقض»، و هم «عدم اجرای موقت به سبب فورس‌ماژور» را در بر می‌گیرد. به همین دلیل، این واژه به‌تنهایی بار حقوقی مشخصی ندارد و باید روشن شود که عدم اجرا از کدام نوع است: موجه یا ناموجه، موقت یا دائم، کلی یا جزئی.</w:t>
      </w:r>
    </w:p>
    <w:p>
      <w:pPr>
        <w:pStyle w:val="TH-Body"/>
        <w:widowControl/>
        <w:bidi w:val="1"/>
        <w:spacing w:before="0" w:after="120" w:line="276" w:lineRule="auto"/>
        <w:jc w:val="both"/>
      </w:pPr>
      <w:r>
        <w:rPr>
          <w:rFonts w:ascii="B Lotus" w:hAnsi="B Lotus" w:cs="B Lotus" w:eastAsia="B Lotus"/>
          <w:b w:val="0"/>
          <w:i w:val="0"/>
          <w:sz w:val="28"/>
          <w:szCs w:val="28"/>
        </w:rPr>
        <w:t>برای جلوگیری از هرگونه خلط، این تمایزها در جدول زیر خلاصه شده است: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اصطلاح</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تعریف فشرده</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اثر بر اعتبار معاهده</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ملاحظه مهم</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تعلیق</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توقف موقت اجرا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اعتبار باقی است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با رفع سبب، اجرا از سر گرفته می‌شود (ماده ۷۲ وین)</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نقض</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رفتار مغایر با تعهد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اعتبار باقی است، اما مسئولیت می‌آورد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مفهومی عینی است؛ انگیزه دولت در تحقق آن مؤثر نیست</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خاتمه</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پایان‌دادن به اعتبار معاهده</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اعتبار از بین می‌رود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ممکن است موجه (مواد ۵۴ تا ۶۴) یا ناموجه باشد</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خروج</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انصراف یک طرف از معاهده چندجانبه</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برای سایر اطراف باقی است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تابع ماده ۵۶ وین و شرط معاهده است</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فسخ</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برهم‌زدن عقد به سبب شرعی</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ـ</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اصطلاح فقهی است؛ کاربرد آن درباره معاهدات مسامحه‌آمیز است</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عدم اجرا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انجام‌ندادن تعهد (عام)</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بحسب مورد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باید نوع آن (موجه/ناموجه، موقت/دائم) روشن شود</w:t>
            </w:r>
          </w:p>
        </w:tc>
      </w:tr>
    </w:tbl>
    <w:p>
      <w:pPr>
        <w:spacing w:after="40"/>
      </w:pPr>
    </w:p>
    <w:p>
      <w:pPr>
        <w:pStyle w:val="TH-Body"/>
        <w:widowControl/>
        <w:bidi w:val="1"/>
        <w:spacing w:before="0" w:after="120" w:line="276" w:lineRule="auto"/>
        <w:jc w:val="both"/>
      </w:pPr>
      <w:r>
        <w:rPr>
          <w:rFonts w:ascii="B Lotus" w:hAnsi="B Lotus" w:cs="B Lotus" w:eastAsia="B Lotus"/>
          <w:b w:val="0"/>
          <w:i w:val="0"/>
          <w:sz w:val="28"/>
          <w:szCs w:val="28"/>
        </w:rPr>
        <w:t>نتیجه مفهوم‌شناختی این بند آن است که «تعلیق» و «نقض» به‌هیچ‌وجه یکسان نیستند: تعلیق، نهادی حقوقی و غالباً موجه برای مدیریت موقت معاهده است، در حالی که نقض، وصف رفتار مغایر با تعهد است که ـ در صورت نبود سبب رافع ـ موجب مسئولیت بین‌المللی می‌شود. هر تصمیمی مبنی بر «تعلیق یک‌جانبه» باید با معیارهای حقوق بین‌الملل سنجیده شود تا معلوم گردد آیا «تعلیق موجه» است یا در واقع «نقض» به شمار می‌آید. این تمایز، ستون فقرات تحلیل فصل‌های چهارم و پنجم است.</w:t>
      </w:r>
    </w:p>
    <w:p>
      <w:pPr>
        <w:pStyle w:val="TH-Goftar"/>
        <w:widowControl/>
        <w:bidi w:val="1"/>
        <w:spacing w:before="200" w:after="120" w:line="276" w:lineRule="auto"/>
        <w:jc w:val="right"/>
      </w:pPr>
      <w:r>
        <w:rPr>
          <w:rFonts w:ascii="B Titr" w:hAnsi="B Titr" w:cs="B Titr" w:eastAsia="B Titr"/>
          <w:b/>
          <w:i w:val="0"/>
          <w:sz w:val="32"/>
          <w:szCs w:val="32"/>
        </w:rPr>
        <w:t>گفتار دوم: مفاهیم فقهی و حقوق داخلی</w:t>
      </w:r>
    </w:p>
    <w:p>
      <w:pPr>
        <w:pStyle w:val="TH-Band"/>
        <w:widowControl/>
        <w:bidi w:val="1"/>
        <w:spacing w:before="200" w:after="120" w:line="276" w:lineRule="auto"/>
        <w:jc w:val="right"/>
      </w:pPr>
      <w:r>
        <w:rPr>
          <w:rFonts w:ascii="B Traffic" w:hAnsi="B Traffic" w:cs="B Traffic" w:eastAsia="B Traffic"/>
          <w:b/>
          <w:i w:val="0"/>
          <w:sz w:val="28"/>
          <w:szCs w:val="28"/>
        </w:rPr>
        <w:t>بند اول: عهد، عقد و شرط در فقه</w:t>
      </w:r>
    </w:p>
    <w:p>
      <w:pPr>
        <w:pStyle w:val="TH-Body"/>
        <w:widowControl/>
        <w:bidi w:val="1"/>
        <w:spacing w:before="0" w:after="120" w:line="276" w:lineRule="auto"/>
        <w:jc w:val="both"/>
      </w:pPr>
      <w:r>
        <w:rPr>
          <w:rFonts w:ascii="B Lotus" w:hAnsi="B Lotus" w:cs="B Lotus" w:eastAsia="B Lotus"/>
          <w:b w:val="0"/>
          <w:i w:val="0"/>
          <w:sz w:val="28"/>
          <w:szCs w:val="28"/>
        </w:rPr>
        <w:t>در فقه امامیه، سه واژه «عهد»، «عقد» و «شرط»، شبکه مفهومی التزام را تشکیل می‌دهند. «عهد» به معنای پیمان و التزام است و در کاربرد فقهی، اعم از پیمان با خدا (مانند نذر و عهد اصطلاحی) و پیمان با مردم (از جمله پیمان‌های سیاسی) است. «عقد» در لغت به معنای گره‌زدن و در اصطلاح، به معنای قرارداد و توافق الزام‌آور میان دو طرف است. «شرط» نیز به معنای التزامِ تبعی در ضمن عقد است. آیه شریفه «یَا أَیُّهَا الَّذِینَ آمَنُوا أَوْفُوا بِالْعُقُودِ» (مائده، ۱) با واژه عام «عقود»، همه انواع قراردادها ـ از جمله پیمان‌های سیاسی دولت اسلامی ـ را در بر می‌گیرد و فقها از همین عموم، برای اثبات لزوم وفای به پیمان‌های بین‌المللی نیز بهره برده‌اند.</w:t>
      </w:r>
    </w:p>
    <w:p>
      <w:pPr>
        <w:pStyle w:val="TH-Body"/>
        <w:widowControl/>
        <w:bidi w:val="1"/>
        <w:spacing w:before="0" w:after="120" w:line="276" w:lineRule="auto"/>
        <w:jc w:val="both"/>
      </w:pPr>
      <w:r>
        <w:rPr>
          <w:rFonts w:ascii="B Lotus" w:hAnsi="B Lotus" w:cs="B Lotus" w:eastAsia="B Lotus"/>
          <w:b w:val="0"/>
          <w:i w:val="0"/>
          <w:sz w:val="28"/>
          <w:szCs w:val="28"/>
        </w:rPr>
        <w:t>در کنار این سه واژه عام، فقه امامیه برای پیمان‌های دولت اسلامی با غیرمسلمانان، اصطلاحات خاصی نیز دارد: «صلح» و «هدنه» (آتش‌بس موقت)، «امان» (تأمین‌دادن به افراد یا گروه‌ها)، و «ذمه» (پیمان دائم با اهل کتاب در قلمرو اسلامی). هرچند مصادیق تاریخی این نهادها با معاهدات مدرن تفاوت دارد، اما «روح» احکام آن‌ها ـ به‌ویژه اصل وفا و شرایط جواز ـ در تحلیل مسئله حاضر راهگشاست و در فصل سوم به آن‌ها استناد خواهد شد.</w:t>
      </w:r>
    </w:p>
    <w:p>
      <w:pPr>
        <w:pStyle w:val="TH-Band"/>
        <w:widowControl/>
        <w:bidi w:val="1"/>
        <w:spacing w:before="200" w:after="120" w:line="276" w:lineRule="auto"/>
        <w:jc w:val="right"/>
      </w:pPr>
      <w:r>
        <w:rPr>
          <w:rFonts w:ascii="B Traffic" w:hAnsi="B Traffic" w:cs="B Traffic" w:eastAsia="B Traffic"/>
          <w:b/>
          <w:i w:val="0"/>
          <w:sz w:val="28"/>
          <w:szCs w:val="28"/>
        </w:rPr>
        <w:t>بند دوم: ولی فقیه و حکم حکومتی</w:t>
      </w:r>
    </w:p>
    <w:p>
      <w:pPr>
        <w:pStyle w:val="TH-Body"/>
        <w:widowControl/>
        <w:bidi w:val="1"/>
        <w:spacing w:before="0" w:after="120" w:line="276" w:lineRule="auto"/>
        <w:jc w:val="both"/>
      </w:pPr>
      <w:r>
        <w:rPr>
          <w:rFonts w:ascii="B Lotus" w:hAnsi="B Lotus" w:cs="B Lotus" w:eastAsia="B Lotus"/>
          <w:b w:val="0"/>
          <w:i w:val="0"/>
          <w:sz w:val="28"/>
          <w:szCs w:val="28"/>
        </w:rPr>
        <w:t>«ولی فقیه» در این رساله به معنای فقیه جامع‌الشرایطی است که در عصر غیبت، ولایت اداره نظام اسلامی را بر عهده دارد و در نظام حقوقی جمهوری اسلامی ایران، در جایگاه «رهبری» (مقام معظم رهبری) تجسم یافته است. چنان‌که در پیش‌فرض‌ها گذشت، اثبات اصل ولایت فقیه، مسئله این رساله نیست؛ و از مباحث گسترده ولایت (شرایط ولی، شیوه اثبات، گستره ولایت در امور حسبه و مانند آن) تنها به‌اندازه‌ای سخن می‌رود که برای پاسخ به مسئله «اختیار در تعلیق یا نقض معاهده» لازم است.</w:t>
      </w:r>
    </w:p>
    <w:p>
      <w:pPr>
        <w:pStyle w:val="TH-Body"/>
        <w:widowControl/>
        <w:bidi w:val="1"/>
        <w:spacing w:before="0" w:after="120" w:line="276" w:lineRule="auto"/>
        <w:jc w:val="both"/>
      </w:pPr>
      <w:r>
        <w:rPr>
          <w:rFonts w:ascii="B Lotus" w:hAnsi="B Lotus" w:cs="B Lotus" w:eastAsia="B Lotus"/>
          <w:b w:val="0"/>
          <w:i w:val="0"/>
          <w:sz w:val="28"/>
          <w:szCs w:val="28"/>
        </w:rPr>
        <w:t>«حکم حکومتی» نیز به معنای حکمی است که حاکم اسلامی در مقام اداره نظام و بر اساس مصلحت، در حوزه اختیارات حکومتی خود صادر می‌کند. این حکم از «حکم اولی» (حکم ثابت شرعی مانند وجوب نماز) و «حکم ثانوی» (حکم ناشی از عناوین ثانویه مانند ضرورت و اضطرار) متمایز است؛ هرچند نسبت دقیق آن با این دو ـ به‌ویژه این‌که آیا حکم حکومتی خود نوعی حکم اولی است یا مقوله‌ای مستقل ـ محل اختلاف فقهای معاصر است و در فصل چهارم بررسی خواهد شد. اجمالاً، فرضیه این رساله آن است که تصمیم ولی فقیه درباره تعلیق یا نقض معاهده ـ در صورت ثبوت اختیار ـ از سنخ حکم حکومتی است، و همین سنخ‌شناسی، ضوابط خاص خود (مصلحت‌سنجی، موقت‌بودن، و مانند آن) را به همراه دارد.</w:t>
      </w:r>
    </w:p>
    <w:p>
      <w:pPr>
        <w:pStyle w:val="TH-Band"/>
        <w:widowControl/>
        <w:bidi w:val="1"/>
        <w:spacing w:before="200" w:after="120" w:line="276" w:lineRule="auto"/>
        <w:jc w:val="right"/>
      </w:pPr>
      <w:r>
        <w:rPr>
          <w:rFonts w:ascii="B Traffic" w:hAnsi="B Traffic" w:cs="B Traffic" w:eastAsia="B Traffic"/>
          <w:b/>
          <w:i w:val="0"/>
          <w:sz w:val="28"/>
          <w:szCs w:val="28"/>
        </w:rPr>
        <w:t>بند سوم: مصلحت، ضرورت، اضطرار، حفظ نظام و اهم و مهم</w:t>
      </w:r>
    </w:p>
    <w:p>
      <w:pPr>
        <w:pStyle w:val="TH-Body"/>
        <w:widowControl/>
        <w:bidi w:val="1"/>
        <w:spacing w:before="0" w:after="120" w:line="276" w:lineRule="auto"/>
        <w:jc w:val="both"/>
      </w:pPr>
      <w:r>
        <w:rPr>
          <w:rFonts w:ascii="B Lotus" w:hAnsi="B Lotus" w:cs="B Lotus" w:eastAsia="B Lotus"/>
          <w:b w:val="0"/>
          <w:i w:val="0"/>
          <w:sz w:val="28"/>
          <w:szCs w:val="28"/>
        </w:rPr>
        <w:t>این پنج مفهوم، ابزارهای تحلیلی فصل چهارم‌اند و در این‌جا تنها تعریف اجمالی آن‌ها می‌آید:</w:t>
      </w:r>
    </w:p>
    <w:p>
      <w:pPr>
        <w:pStyle w:val="TH-Body"/>
        <w:widowControl/>
        <w:bidi w:val="1"/>
        <w:spacing w:before="0" w:after="120" w:line="276" w:lineRule="auto"/>
        <w:jc w:val="both"/>
      </w:pPr>
      <w:r>
        <w:rPr>
          <w:rFonts w:ascii="B Lotus" w:hAnsi="B Lotus" w:cs="B Lotus" w:eastAsia="B Lotus"/>
          <w:b w:val="0"/>
          <w:i w:val="0"/>
          <w:sz w:val="28"/>
          <w:szCs w:val="28"/>
        </w:rPr>
        <w:t>«مصلحت» به معنای منفعت و خیری است که شارع در تشریع احکام لحاظ کرده یا عقلا در اداره امور بدان توجه دارند. در ادبیات فقه سیاسی معاصر، «مصلحت نظام» به معنای آن‌چه بقا و کارآمدی نظام اسلامی بدان وابسته است، به کار می‌رود. تمایز مصلحت «واقعی» از مصلحت «موهوم»، و مصلحت «شخصی» از مصلحت «نوعی»، در فصل چهارم بررسی خواهد شد.</w:t>
      </w:r>
    </w:p>
    <w:p>
      <w:pPr>
        <w:pStyle w:val="TH-Body"/>
        <w:widowControl/>
        <w:bidi w:val="1"/>
        <w:spacing w:before="0" w:after="120" w:line="276" w:lineRule="auto"/>
        <w:jc w:val="both"/>
      </w:pPr>
      <w:r>
        <w:rPr>
          <w:rFonts w:ascii="B Lotus" w:hAnsi="B Lotus" w:cs="B Lotus" w:eastAsia="B Lotus"/>
          <w:b w:val="0"/>
          <w:i w:val="0"/>
          <w:sz w:val="28"/>
          <w:szCs w:val="28"/>
        </w:rPr>
        <w:t>«ضرورت» و «اضطرار» دو عنوان ثانوی‌اند که در مواردی، حکم اولی را تغییر می‌دهند. هرچند این دو واژه گاه به‌جای یکدیگر به کار می‌روند، اما دقیق آن است که «اضطرار» ناظر به وضعیت اکراه‌آمیز و نبود راه چاره (مانند اضطرار به خوردن میته)، و «ضرورت» اعم از آن است و شامل نیازهای شدید غیراکراهی نیز می‌شود. نسبت این دو با «مصلحت» (که اعم و مبنایی‌تر است) در فصل چهارم تحلیل خواهد شد.</w:t>
      </w:r>
    </w:p>
    <w:p>
      <w:pPr>
        <w:pStyle w:val="TH-Body"/>
        <w:widowControl/>
        <w:bidi w:val="1"/>
        <w:spacing w:before="0" w:after="120" w:line="276" w:lineRule="auto"/>
        <w:jc w:val="both"/>
      </w:pPr>
      <w:r>
        <w:rPr>
          <w:rFonts w:ascii="B Lotus" w:hAnsi="B Lotus" w:cs="B Lotus" w:eastAsia="B Lotus"/>
          <w:b w:val="0"/>
          <w:i w:val="0"/>
          <w:sz w:val="28"/>
          <w:szCs w:val="28"/>
        </w:rPr>
        <w:t>«حفظ نظام» به معنای صیانت از کیان نظام اسلامی و جلوگیری از اختلال و هرج‌ومرج است. مشهور فقها، حفظ نظام را از «واجبات» ـ و به تعبیر برخی، از اهم واجبات ـ می‌دانند و امام خمینی (رحمة‌الله‌علیه) نیز بر آن تأکید ویژه دارد.</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مفهوم، پل ارتباطی میان «مصلحت» و «اختیار حاکم» است.</w:t>
      </w:r>
    </w:p>
    <w:p>
      <w:pPr>
        <w:pStyle w:val="TH-Body"/>
        <w:widowControl/>
        <w:bidi w:val="1"/>
        <w:spacing w:before="0" w:after="120" w:line="276" w:lineRule="auto"/>
        <w:jc w:val="both"/>
      </w:pPr>
      <w:r>
        <w:rPr>
          <w:rFonts w:ascii="B Lotus" w:hAnsi="B Lotus" w:cs="B Lotus" w:eastAsia="B Lotus"/>
          <w:b w:val="0"/>
          <w:i w:val="0"/>
          <w:sz w:val="28"/>
          <w:szCs w:val="28"/>
        </w:rPr>
        <w:t>«اهم و مهم» نیز قاعده‌ای اصولی برای حل «تزاحم» است: هرگاه دو تکلیف هم‌زمان قابل امتثال نباشند، تکلیف «اهم» (مهم‌تر) مقدم می‌شود و تکلیف «مهم» به‌طور موقت کنار می‌رود. فرضیه این رساله ـ چنان‌که گذشت ـ آن است که رابطه وجوب وفا با اختیار حاکم، از نوع تزاحم است و با همین قاعده حل می‌شود.</w:t>
      </w:r>
    </w:p>
    <w:p>
      <w:pPr>
        <w:pStyle w:val="TH-Goftar"/>
        <w:widowControl/>
        <w:bidi w:val="1"/>
        <w:spacing w:before="200" w:after="120" w:line="276" w:lineRule="auto"/>
        <w:jc w:val="right"/>
      </w:pPr>
      <w:r>
        <w:rPr>
          <w:rFonts w:ascii="B Titr" w:hAnsi="B Titr" w:cs="B Titr" w:eastAsia="B Titr"/>
          <w:b/>
          <w:i w:val="0"/>
          <w:sz w:val="32"/>
          <w:szCs w:val="32"/>
        </w:rPr>
        <w:t>گفتار سوم: مفاهیم حقوق اساسی مرتبط با معاهدات</w:t>
      </w:r>
    </w:p>
    <w:p>
      <w:pPr>
        <w:pStyle w:val="TH-Body"/>
        <w:widowControl/>
        <w:bidi w:val="1"/>
        <w:spacing w:before="0" w:after="120" w:line="276" w:lineRule="auto"/>
        <w:jc w:val="both"/>
      </w:pPr>
      <w:r>
        <w:rPr>
          <w:rFonts w:ascii="B Lotus" w:hAnsi="B Lotus" w:cs="B Lotus" w:eastAsia="B Lotus"/>
          <w:b w:val="0"/>
          <w:i w:val="0"/>
          <w:sz w:val="28"/>
          <w:szCs w:val="28"/>
        </w:rPr>
        <w:t>در کنار مفاهیم حقوق بین‌الملل و فقه، چند مفهوم حقوق اساسی نیز در تحلیل مسئله نقش دارند و باید پیشاپیش تعریف شوند:</w:t>
      </w:r>
    </w:p>
    <w:p>
      <w:pPr>
        <w:pStyle w:val="TH-Body"/>
        <w:widowControl/>
        <w:bidi w:val="1"/>
        <w:spacing w:before="0" w:after="120" w:line="276" w:lineRule="auto"/>
        <w:jc w:val="both"/>
      </w:pPr>
      <w:r>
        <w:rPr>
          <w:rFonts w:ascii="B Lotus" w:hAnsi="B Lotus" w:cs="B Lotus" w:eastAsia="B Lotus"/>
          <w:b w:val="0"/>
          <w:i w:val="0"/>
          <w:sz w:val="28"/>
          <w:szCs w:val="28"/>
        </w:rPr>
        <w:t>یکم. «تصویب»: به معنای گذراندن معاهده از مجرای قوه مقننه است. به موجب اصل ۷۷، معاهده بدون تصویب مجلس شورای اسلامی، در نظام داخلی لازم‌الاتباع نمی‌شود. تصویب، معاهده را به «قانون عادی» بدل می‌کند و از این‌رو، از حیث سلسله‌مراتب هنجارها، در رتبه قوانین عادی مجلس قرار می‌گیرد؛ نکته‌ای که در بحث نسبت حکم حکومتی با قانون (فصل پنجم) اهمیت می‌یابد.</w:t>
      </w:r>
    </w:p>
    <w:p>
      <w:pPr>
        <w:pStyle w:val="TH-Body"/>
        <w:widowControl/>
        <w:bidi w:val="1"/>
        <w:spacing w:before="0" w:after="120" w:line="276" w:lineRule="auto"/>
        <w:jc w:val="both"/>
      </w:pPr>
      <w:r>
        <w:rPr>
          <w:rFonts w:ascii="B Lotus" w:hAnsi="B Lotus" w:cs="B Lotus" w:eastAsia="B Lotus"/>
          <w:b w:val="0"/>
          <w:i w:val="0"/>
          <w:sz w:val="28"/>
          <w:szCs w:val="28"/>
        </w:rPr>
        <w:t>دوم. «امضا»: به معنای اعلام التزام نهایی دولت در سطح بین‌المللی است که به موجب اصل ۱۲۵ با رئیس‌جمهور یا نماینده قانونی اوست. تمایز «تصویب» (عمل داخلیِ تقنینی) از «امضا» (عمل بین‌المللیِ اعلام التزام) در فهم نظام تصمیم‌گیری ایران ضروری است.</w:t>
      </w:r>
    </w:p>
    <w:p>
      <w:pPr>
        <w:pStyle w:val="TH-Body"/>
        <w:widowControl/>
        <w:bidi w:val="1"/>
        <w:spacing w:before="0" w:after="120" w:line="276" w:lineRule="auto"/>
        <w:jc w:val="both"/>
      </w:pPr>
      <w:r>
        <w:rPr>
          <w:rFonts w:ascii="B Lotus" w:hAnsi="B Lotus" w:cs="B Lotus" w:eastAsia="B Lotus"/>
          <w:b w:val="0"/>
          <w:i w:val="0"/>
          <w:sz w:val="28"/>
          <w:szCs w:val="28"/>
        </w:rPr>
        <w:t>سوم. «سیاست‌های کلی نظام»: جهت‌گیری‌های کلانی است که به موجب بند ۱ اصل ۱۱۰، تعیین آن پس از مشورت با مجمع تشخیص مصلحت نظام، با رهبری است. هر معاهده‌ای که با سیاست‌های کلی (به‌ویژه سیاست‌های کلی روابط خارجی و امنیت ملی) ناسازگار شود، از مجرای همین بند، در دایره تصمیم رهبری قرار می‌گیرد.</w:t>
      </w:r>
    </w:p>
    <w:p>
      <w:pPr>
        <w:pStyle w:val="TH-Body"/>
        <w:widowControl/>
        <w:bidi w:val="1"/>
        <w:spacing w:before="0" w:after="120" w:line="276" w:lineRule="auto"/>
        <w:jc w:val="both"/>
      </w:pPr>
      <w:r>
        <w:rPr>
          <w:rFonts w:ascii="B Lotus" w:hAnsi="B Lotus" w:cs="B Lotus" w:eastAsia="B Lotus"/>
          <w:b w:val="0"/>
          <w:i w:val="0"/>
          <w:sz w:val="28"/>
          <w:szCs w:val="28"/>
        </w:rPr>
        <w:t>چهارم. «معضل نظام»: وضعیت فوق‌العاده‌ای است که «از طرق عادی قابل حل نیست» و به موجب بند ۸ اصل ۱۱۰، حل آن از طریق مجمع تشخیص مصلحت نظام، با رهبری است. این مفهوم، دروازه ورود تصمیم‌های فوق‌العاده ـ از جمله تصمیم درباره سرنوشت معاهده‌ای بحران‌ساز ـ به حوزه اختیار رهبری است.</w:t>
      </w:r>
    </w:p>
    <w:p>
      <w:pPr>
        <w:pStyle w:val="TH-Body"/>
        <w:widowControl/>
        <w:bidi w:val="1"/>
        <w:spacing w:before="0" w:after="120" w:line="276" w:lineRule="auto"/>
        <w:jc w:val="both"/>
      </w:pPr>
      <w:r>
        <w:rPr>
          <w:rFonts w:ascii="B Lotus" w:hAnsi="B Lotus" w:cs="B Lotus" w:eastAsia="B Lotus"/>
          <w:b w:val="0"/>
          <w:i w:val="0"/>
          <w:sz w:val="28"/>
          <w:szCs w:val="28"/>
        </w:rPr>
        <w:t>پنجم. «نظارت شورای نگهبان»: مصوبات مجلس ـ از جمله قوانین تصویب معاهدات ـ برای اظهارنظر از جهت انطباق با موازین شرع و قانون اساسی، به شورای نگهبان ارسال می‌شود (اصل ۹۴).</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این نظارت، ناظر به مرحله «ورود» معاهده به نظام داخلی است و درباره مرحله «خروج» (موضوع این رساله) ساکت است؛ سکوتی که در فصل پنجم تحلیل خواهد شد.</w:t>
      </w:r>
    </w:p>
    <w:p>
      <w:pPr>
        <w:pStyle w:val="TH-Goftar"/>
        <w:widowControl/>
        <w:bidi w:val="1"/>
        <w:spacing w:before="200" w:after="120" w:line="276" w:lineRule="auto"/>
        <w:jc w:val="right"/>
      </w:pPr>
      <w:r>
        <w:rPr>
          <w:rFonts w:ascii="B Titr" w:hAnsi="B Titr" w:cs="B Titr" w:eastAsia="B Titr"/>
          <w:b/>
          <w:i w:val="0"/>
          <w:sz w:val="32"/>
          <w:szCs w:val="32"/>
        </w:rPr>
        <w:t>حاصل فصل اول</w:t>
      </w:r>
    </w:p>
    <w:p>
      <w:pPr>
        <w:pStyle w:val="TH-Body"/>
        <w:widowControl/>
        <w:bidi w:val="1"/>
        <w:spacing w:before="0" w:after="120" w:line="276" w:lineRule="auto"/>
        <w:jc w:val="both"/>
      </w:pPr>
      <w:r>
        <w:rPr>
          <w:rFonts w:ascii="B Lotus" w:hAnsi="B Lotus" w:cs="B Lotus" w:eastAsia="B Lotus"/>
          <w:b w:val="0"/>
          <w:i w:val="0"/>
          <w:sz w:val="28"/>
          <w:szCs w:val="28"/>
        </w:rPr>
        <w:t>حاصل این فصل، تنقیح سه دسته مفهوم است: در شبکه حقوق بین‌الملل، روشن شد که «تعلیق» (توقف موقت و غالباً موجه) با «نقض» (رفتار مغایر با تعهد و مسئولیت‌آور) متفاوت است و مفاهیمی مانند خاتمه، خروج، فسخ و عدم اجرا نیز هر یک معنای فنی خاص خود را دارند. در شبکه فقهی، روشن شد که مسئله این رساله در تقاطع «عهد» (به‌مثابه موضوع تکلیف)، «حکم حکومتی» (به‌مثابه قالب تصمیم حاکم)، و «مصلحت و تزاحم» (به‌مثابه مبنای تصمیم) قرار دارد. و در شبکه حقوق اساسی، مفاهیم تصویب، امضا، سیاست‌های کلی، معضل نظام و نظارت شورای نگهبان تعریف شد تا تحلیل جایگاه تصمیم در فصل پنجم، بر زمین مفهومی روشنی استوار شود. با این تنقیح، اکنون می‌توان به «کلیات و مبانی» مسئله ـ یعنی تصویر اجمالی سه نظام حقوقی درگیر در مسئله ـ پرداخت.</w:t>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فصل دوم: کلیات و مبانی</w:t>
      </w:r>
    </w:p>
    <w:p>
      <w:pPr>
        <w:pStyle w:val="TH-Body"/>
        <w:widowControl/>
        <w:bidi w:val="1"/>
        <w:spacing w:before="0" w:after="120" w:line="276" w:lineRule="auto"/>
        <w:jc w:val="both"/>
      </w:pPr>
      <w:r>
        <w:rPr>
          <w:rFonts w:ascii="B Lotus" w:hAnsi="B Lotus" w:cs="B Lotus" w:eastAsia="B Lotus"/>
          <w:b w:val="0"/>
          <w:i w:val="0"/>
          <w:sz w:val="28"/>
          <w:szCs w:val="28"/>
        </w:rPr>
        <w:t>این فصل، «مبادی تصدیقی قریب» پژوهش را ـ یعنی پیش‌دانسته‌هایی که فهم مسئله بدون آن‌ها ممکن نیست ـ به‌صورت اجمالی و هدفمند ارائه می‌کند. مسئله این رساله در تقاطع سه نظام حقوقی قرار دارد: حقوق بین‌الملل، حقوق اساسی جمهوری اسلامی ایران، و فقه امامیه. مبانی فقهی (ادله وفا و ادله اختیار حاکم) خودِ مسئله‌اند و در بخش دوم به تفصیل بررسی می‌شوند؛ اما مبانی حقوق بین‌الملل و حقوق اساسی، پیش‌نیاز فهم مسئله‌اند و باید پیشاپیش ـ هرچند به‌اجمال ـ دانسته شوند. ازاین‌رو، این فصل در سه گفتار، اصل وفای به عهد، نظام تعلیق و خاتمه در کنوانسیون وین، و جایگاه معاهدات و ولی فقیه در قانون اساسی را بررسی می‌کند.</w:t>
      </w:r>
    </w:p>
    <w:p>
      <w:pPr>
        <w:pStyle w:val="TH-Goftar"/>
        <w:widowControl/>
        <w:bidi w:val="1"/>
        <w:spacing w:before="200" w:after="120" w:line="276" w:lineRule="auto"/>
        <w:jc w:val="right"/>
      </w:pPr>
      <w:r>
        <w:rPr>
          <w:rFonts w:ascii="B Titr" w:hAnsi="B Titr" w:cs="B Titr" w:eastAsia="B Titr"/>
          <w:b/>
          <w:i w:val="0"/>
          <w:sz w:val="32"/>
          <w:szCs w:val="32"/>
        </w:rPr>
        <w:t>گفتار اول: اصل وفای به عهد در حقوق بین‌الملل</w:t>
      </w:r>
    </w:p>
    <w:p>
      <w:pPr>
        <w:pStyle w:val="TH-Body"/>
        <w:widowControl/>
        <w:bidi w:val="1"/>
        <w:spacing w:before="0" w:after="120" w:line="276" w:lineRule="auto"/>
        <w:jc w:val="both"/>
      </w:pPr>
      <w:r>
        <w:rPr>
          <w:rFonts w:ascii="B Lotus" w:hAnsi="B Lotus" w:cs="B Lotus" w:eastAsia="B Lotus"/>
          <w:b w:val="0"/>
          <w:i w:val="0"/>
          <w:sz w:val="28"/>
          <w:szCs w:val="28"/>
        </w:rPr>
        <w:t>اصل «وفای به عهد» (Pacta Sunt Servanda) بنیادی‌ترین قاعده حقوق معاهدات و بلکه یکی از بنیادی‌ترین قواعد کل حقوق بین‌الملل است. اهمیت این اصل تا بدان‌جاست که بدون آن، هیچ نظام حقوقی بین‌المللی قابل تصور نیست؛ زیرا اگر دولت‌ها خود را به آن‌چه پذیرفته‌اند ملزم ندانند، معاهده به کاغذپاره‌ای بی‌اثر بدل می‌شود. ماده ۲۶ کنوانسیون وین این اصل را چنین صورت‌بندی کرده است: «هر معاهده لازم‌الاجرایی، اطراف خود را ملزم می‌سازد و باید توسط آن‌ها با حسن نیت اجرا شود».</w:t>
      </w:r>
      <w:r>
        <w:rPr>
          <w:rFonts w:ascii="B Lotus" w:hAnsi="B Lotus" w:cs="B Lotus" w:eastAsia="B Lotus"/>
          <w:b w:val="0"/>
          <w:i w:val="0"/>
          <w:sz w:val="28"/>
          <w:szCs w:val="28"/>
          <w:vertAlign w:val="superscript"/>
        </w:rPr>
        <w:footnoteReference w:id="16"/>
      </w:r>
      <w:r>
        <w:rPr>
          <w:rFonts w:ascii="B Lotus" w:hAnsi="B Lotus" w:cs="B Lotus" w:eastAsia="B Lotus"/>
          <w:b w:val="0"/>
          <w:i w:val="0"/>
          <w:sz w:val="28"/>
          <w:szCs w:val="28"/>
        </w:rPr>
        <w:t xml:space="preserve"> دو عنصر در این صورت‌بندی اهمیت دارد: نخست «الزام‌آوربودن» (که معاهده را از وعده سیاسی و اخلاقی متمایز می‌کند) و دوم «حسن نیت» (که شیوه اجرا را مقید می‌کند: اجرای صوری، اجرای همراه با حیله، یا سوءاستفاده از ابهام متن، با حسن نیت ناسازگار است).</w:t>
      </w:r>
    </w:p>
    <w:p>
      <w:pPr>
        <w:pStyle w:val="TH-Body"/>
        <w:widowControl/>
        <w:bidi w:val="1"/>
        <w:spacing w:before="0" w:after="120" w:line="276" w:lineRule="auto"/>
        <w:jc w:val="both"/>
      </w:pPr>
      <w:r>
        <w:rPr>
          <w:rFonts w:ascii="B Lotus" w:hAnsi="B Lotus" w:cs="B Lotus" w:eastAsia="B Lotus"/>
          <w:b w:val="0"/>
          <w:i w:val="0"/>
          <w:sz w:val="28"/>
          <w:szCs w:val="28"/>
        </w:rPr>
        <w:t>در کنار ماده ۲۶، ماده ۲۷ کنوانسیون وین، ضمانت‌اجرای منطقی این اصل است: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معنای این ماده برای پژوهش حاضر، حیاتی است: حتی اگر در نظام حقوقی داخلی ایران ـ اعم از قانون اساسی یا حکم فقهی ـ مجوزی برای عدم اجرای معاهده یافت شود، چنین مجوزی در برابر طرف مقابل و در سطح بین‌المللی، توجیه محسوب نمی‌شود. تنها استثنای محدود این قاعده، در ماده ۴۶ آمده است: نقض مقررات داخلی درباره صلاحیت انعقاد معاهدات، تنها در صورتی قابل استناد است که آن نقض، «آشکار» باشد و به «قاعده‌ای بنیادین از حقوق داخلی» مربوط شود.</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روشن است که این استثنا، ناظر به مرحله «انعقاد» است نه مرحله «اجرا»؛ و تصمیم بعدیِ یک مقام داخلی مبنی بر عدم اجرا، در شمول آن نمی‌گنجد.</w:t>
      </w:r>
    </w:p>
    <w:p>
      <w:pPr>
        <w:pStyle w:val="TH-Body"/>
        <w:widowControl/>
        <w:bidi w:val="1"/>
        <w:spacing w:before="0" w:after="120" w:line="276" w:lineRule="auto"/>
        <w:jc w:val="both"/>
      </w:pPr>
      <w:r>
        <w:rPr>
          <w:rFonts w:ascii="B Lotus" w:hAnsi="B Lotus" w:cs="B Lotus" w:eastAsia="B Lotus"/>
          <w:b w:val="0"/>
          <w:i w:val="0"/>
          <w:sz w:val="28"/>
          <w:szCs w:val="28"/>
        </w:rPr>
        <w:t>یادآوری این نکته نیز لازم است که منابع حقوق بین‌الملل، منحصر به معاهده نیست. به موجب ماده ۳۸ اساسنامه دیوان بین‌المللی دادگستری، دیوان در حل‌وفصل اختلافات، افزون بر معاهدات، به «عرف بین‌المللی» (رویه عمومی پذیرفته‌شده به‌مثابه قانون)، «اصول کلی حقوقی» و ـ به‌عنوان وسایل فرعی ـ به «آرای قضایی و دکترین» نیز استناد می‌کند.</w:t>
      </w:r>
      <w:r>
        <w:rPr>
          <w:rFonts w:ascii="B Lotus" w:hAnsi="B Lotus" w:cs="B Lotus" w:eastAsia="B Lotus"/>
          <w:b w:val="0"/>
          <w:i w:val="0"/>
          <w:sz w:val="28"/>
          <w:szCs w:val="28"/>
          <w:vertAlign w:val="superscript"/>
        </w:rPr>
        <w:footnoteReference w:id="19"/>
      </w:r>
      <w:r>
        <w:rPr>
          <w:rFonts w:ascii="B Lotus" w:hAnsi="B Lotus" w:cs="B Lotus" w:eastAsia="B Lotus"/>
          <w:b w:val="0"/>
          <w:i w:val="0"/>
          <w:sz w:val="28"/>
          <w:szCs w:val="28"/>
        </w:rPr>
        <w:t xml:space="preserve"> اهمیت این نکته برای پژوهش حاضر آن است که حتی اگر دولتی عضو کنوانسیون وین نباشد ـ مانند جمهوری اسلامی ایران که کنوانسیون را امضا کرده ولی به تصویب مجلس نرسانده است ـ بسیاری از قواعد آن (از جمله اصل وفای به عهد، قواعد تفسیر، و قواعد بنیادین تعلیق و خاتمه) به دلیل جنبه عرفی، برای او نیز لازم‌الاجرا خواهد بود. رویه دیوان بین‌المللی دادگستری در قضایای متعدد، این جنبه عرفی را تأیید کرده است.</w:t>
      </w:r>
    </w:p>
    <w:p>
      <w:pPr>
        <w:pStyle w:val="TH-Goftar"/>
        <w:widowControl/>
        <w:bidi w:val="1"/>
        <w:spacing w:before="200" w:after="120" w:line="276" w:lineRule="auto"/>
        <w:jc w:val="right"/>
      </w:pPr>
      <w:r>
        <w:rPr>
          <w:rFonts w:ascii="B Titr" w:hAnsi="B Titr" w:cs="B Titr" w:eastAsia="B Titr"/>
          <w:b/>
          <w:i w:val="0"/>
          <w:sz w:val="32"/>
          <w:szCs w:val="32"/>
        </w:rPr>
        <w:t>گفتار دوم: نظام تعلیق و خاتمه در کنوانسیون وین</w:t>
      </w:r>
    </w:p>
    <w:p>
      <w:pPr>
        <w:pStyle w:val="TH-Body"/>
        <w:widowControl/>
        <w:bidi w:val="1"/>
        <w:spacing w:before="0" w:after="120" w:line="276" w:lineRule="auto"/>
        <w:jc w:val="both"/>
      </w:pPr>
      <w:r>
        <w:rPr>
          <w:rFonts w:ascii="B Lotus" w:hAnsi="B Lotus" w:cs="B Lotus" w:eastAsia="B Lotus"/>
          <w:b w:val="0"/>
          <w:i w:val="0"/>
          <w:sz w:val="28"/>
          <w:szCs w:val="28"/>
        </w:rPr>
        <w:t>کنوانسیون وین، در برابر اصل وفای به عهد، نظامی استثنایی اما دقیق برای «تعلیق» و «خاتمه» معاهدات پیش‌بینی کرده است. منطق این نظام، ایجاد توازن میان «ثبات» معاهدات و «انعطاف» در برابر دگرگونی‌های بنیادین است. مهم‌ترین اسباب تعلیق و خاتمه در کنوانسیون عبارت‌اند از:</w:t>
      </w:r>
    </w:p>
    <w:p>
      <w:pPr>
        <w:pStyle w:val="TH-Body"/>
        <w:widowControl/>
        <w:bidi w:val="1"/>
        <w:spacing w:before="0" w:after="120" w:line="276" w:lineRule="auto"/>
        <w:jc w:val="both"/>
      </w:pPr>
      <w:r>
        <w:rPr>
          <w:rFonts w:ascii="B Lotus" w:hAnsi="B Lotus" w:cs="B Lotus" w:eastAsia="B Lotus"/>
          <w:b w:val="0"/>
          <w:i w:val="0"/>
          <w:sz w:val="28"/>
          <w:szCs w:val="28"/>
        </w:rPr>
        <w:t>یکم. توافق اطراف: مطابق مواد ۵۴ و ۵۷، اطراف معاهده می‌توانند در هر زمان، با توافق یکدیگر، معاهده را خاتمه دهند یا اجرای آن را به حالت تعلیق درآورند. این مورد، از محل بحث پژوهش حاضر بیرون است؛ زیرا مسئله رساله، «اقدام یک‌جانبه» است نه توافقی.</w:t>
      </w:r>
    </w:p>
    <w:p>
      <w:pPr>
        <w:pStyle w:val="TH-Body"/>
        <w:widowControl/>
        <w:bidi w:val="1"/>
        <w:spacing w:before="0" w:after="120" w:line="276" w:lineRule="auto"/>
        <w:jc w:val="both"/>
      </w:pPr>
      <w:r>
        <w:rPr>
          <w:rFonts w:ascii="B Lotus" w:hAnsi="B Lotus" w:cs="B Lotus" w:eastAsia="B Lotus"/>
          <w:b w:val="0"/>
          <w:i w:val="0"/>
          <w:sz w:val="28"/>
          <w:szCs w:val="28"/>
        </w:rPr>
        <w:t>دوم. شرط مندرج در خود معاهده: بسیاری از معاهدات، شرطی درباره خاتمه، خروج یا تعلیق دارند و اعمال آن شرط، اقدامی موجه و پیش‌بینی‌شده است. ازاین‌رو، نخستین گام در هر تصمیمی درباره سرنوشت معاهده، مراجعه به «متن خود معاهده» است؛ نکته‌ای که در ضوابط فصل چهارم (تقدم راه‌های حقوقی مندرج) بازخواهد گشت.</w:t>
      </w:r>
    </w:p>
    <w:p>
      <w:pPr>
        <w:pStyle w:val="TH-Body"/>
        <w:widowControl/>
        <w:bidi w:val="1"/>
        <w:spacing w:before="0" w:after="120" w:line="276" w:lineRule="auto"/>
        <w:jc w:val="both"/>
      </w:pPr>
      <w:r>
        <w:rPr>
          <w:rFonts w:ascii="B Lotus" w:hAnsi="B Lotus" w:cs="B Lotus" w:eastAsia="B Lotus"/>
          <w:b w:val="0"/>
          <w:i w:val="0"/>
          <w:sz w:val="28"/>
          <w:szCs w:val="28"/>
        </w:rPr>
        <w:t>سوم. نقض اساسی از سوی طرف مقابل (ماده ۶۰): هرگاه یک طرف، معاهده را به‌صورت «اساسی» نقض کند ـ یعنی یا معاهده را برخلاف کنوانسیون رد کند یا مقرره‌ای اساسی برای تحقق موضوع و هدف معاهده را نقض کند ـ طرف دیگر (یا اطراف دیگر) می‌تواند اجرای معاهده را به‌طور کلی یا جزئی به حالت تعلیق درآورد یا به آن خاتمه دهد.</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این ماده، نزدیک‌ترین نهاد حقوقی به مسئله «عدول واکنشی» است و در فصل پنجم تحلیل خواهد شد.</w:t>
      </w:r>
    </w:p>
    <w:p>
      <w:pPr>
        <w:pStyle w:val="TH-Body"/>
        <w:widowControl/>
        <w:bidi w:val="1"/>
        <w:spacing w:before="0" w:after="120" w:line="276" w:lineRule="auto"/>
        <w:jc w:val="both"/>
      </w:pPr>
      <w:r>
        <w:rPr>
          <w:rFonts w:ascii="B Lotus" w:hAnsi="B Lotus" w:cs="B Lotus" w:eastAsia="B Lotus"/>
          <w:b w:val="0"/>
          <w:i w:val="0"/>
          <w:sz w:val="28"/>
          <w:szCs w:val="28"/>
        </w:rPr>
        <w:t>چهارم. عدم امکان اجرا (ماده ۶۱): هرگاه اجرای معاهده به دلیل «از بین رفتن یا نابودی دائمی موضوع آن» ناممکن شود، می‌توان به معاهده خاتمه داد یا آن را تعلیق کرد. قید «دائمی‌بودن» و «عینی‌بودن» عدم امکان، دایره این ماده را بسیار تنگ کرده است و دشواری‌های سیاسی یا اقتصادی، در شمول آن نمی‌گنجد.</w:t>
      </w:r>
      <w:r>
        <w:rPr>
          <w:rFonts w:ascii="B Lotus" w:hAnsi="B Lotus" w:cs="B Lotus" w:eastAsia="B Lotus"/>
          <w:b w:val="0"/>
          <w:i w:val="0"/>
          <w:sz w:val="28"/>
          <w:szCs w:val="28"/>
          <w:vertAlign w:val="superscript"/>
        </w:rPr>
        <w:footnoteReference w:id="21"/>
      </w:r>
    </w:p>
    <w:p>
      <w:pPr>
        <w:pStyle w:val="TH-Body"/>
        <w:widowControl/>
        <w:bidi w:val="1"/>
        <w:spacing w:before="0" w:after="120" w:line="276" w:lineRule="auto"/>
        <w:jc w:val="both"/>
      </w:pPr>
      <w:r>
        <w:rPr>
          <w:rFonts w:ascii="B Lotus" w:hAnsi="B Lotus" w:cs="B Lotus" w:eastAsia="B Lotus"/>
          <w:b w:val="0"/>
          <w:i w:val="0"/>
          <w:sz w:val="28"/>
          <w:szCs w:val="28"/>
        </w:rPr>
        <w:t>پنجم. تغییر بنیادین اوضاع و احوال (ماده ۶۲): این ماده که بیان حقوقی قاعده کهن «rebus sic stantibus» است، در شرایط بسیار سخت‌گیرانه‌ای اجازه خاتمه یا خروج می‌دهد: اوضاعِ تغییرکرده باید «مبنای اساسی» رضایت اطراف بوده، تغییر، «بنیادین» و «غیرقابل پیش‌بینی» بوده، اثر آن بر تعهدات، «بنیادین» باشد، و تغییر، ناشی از نقض خودِ دولتِ استنادکننده نباشد. افزون بر این، این ماده درباره معاهدات مرزی قابل استناد نیست.</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دیوان بین‌المللی دادگستری در قضیه مشهور «گابچیکوو ـ ناگیماروش» (۱۹۹۷) میان مجارستان و اسلواکی، این شرایط را بسیار مضیق تفسیر کرد و نشان داد که استناد موفق به این ماده، امری استثنایی است.</w:t>
      </w:r>
      <w:r>
        <w:rPr>
          <w:rFonts w:ascii="B Lotus" w:hAnsi="B Lotus" w:cs="B Lotus" w:eastAsia="B Lotus"/>
          <w:b w:val="0"/>
          <w:i w:val="0"/>
          <w:sz w:val="28"/>
          <w:szCs w:val="28"/>
          <w:vertAlign w:val="superscript"/>
        </w:rPr>
        <w:footnoteReference w:id="23"/>
      </w:r>
    </w:p>
    <w:p>
      <w:pPr>
        <w:pStyle w:val="TH-Body"/>
        <w:widowControl/>
        <w:bidi w:val="1"/>
        <w:spacing w:before="0" w:after="120" w:line="276" w:lineRule="auto"/>
        <w:jc w:val="both"/>
      </w:pPr>
      <w:r>
        <w:rPr>
          <w:rFonts w:ascii="B Lotus" w:hAnsi="B Lotus" w:cs="B Lotus" w:eastAsia="B Lotus"/>
          <w:b w:val="0"/>
          <w:i w:val="0"/>
          <w:sz w:val="28"/>
          <w:szCs w:val="28"/>
        </w:rPr>
        <w:t>ششم. تعارض با قاعده آمره (مواد ۵۳ و ۶۴): هر معاهده‌ای که در زمان انعقاد با یک «قاعده آمره حقوق بین‌الملل» (Jus Cogens) ـ یعنی قاعده‌ای که کل جامعه بین‌المللی آن را تخلف‌ناپذیر می‌داند ـ متعارض باشد، باطل است؛ و هرگاه قاعده آمره جدیدی پدید آید، معاهده موجودِ متعارض با آن، خاتمه می‌یابد.</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این نهاد، سقف نظام معاهدات است و هیچ توافقی ـ حتی به نام مصلحت ـ نمی‌تواند از آن فراتر رود.</w:t>
      </w:r>
    </w:p>
    <w:p>
      <w:pPr>
        <w:pStyle w:val="TH-Body"/>
        <w:widowControl/>
        <w:bidi w:val="1"/>
        <w:spacing w:before="0" w:after="120" w:line="276" w:lineRule="auto"/>
        <w:jc w:val="both"/>
      </w:pPr>
      <w:r>
        <w:rPr>
          <w:rFonts w:ascii="B Lotus" w:hAnsi="B Lotus" w:cs="B Lotus" w:eastAsia="B Lotus"/>
          <w:b w:val="0"/>
          <w:i w:val="0"/>
          <w:sz w:val="28"/>
          <w:szCs w:val="28"/>
        </w:rPr>
        <w:t>افزون بر اسباب، کنوانسیون وین «آیین» خاصی نیز برای تعلیق و خاتمه مقرر کرده است (مواد ۶۵ تا ۶۸): دولتی که قصد استناد به یکی از اسباب یادشده را دارد، باید قصد خود را به‌صورت کتبی به سایر اطراف «اطلاع» دهد، «مهلت» مقرر (دست‌کم سه ماه) را رعایت کند، و در صورت اعتراض، راه‌های حل‌وفصل مسالمت‌آمیز را بپیماید.</w:t>
      </w:r>
      <w:r>
        <w:rPr>
          <w:rFonts w:ascii="B Lotus" w:hAnsi="B Lotus" w:cs="B Lotus" w:eastAsia="B Lotus"/>
          <w:b w:val="0"/>
          <w:i w:val="0"/>
          <w:sz w:val="28"/>
          <w:szCs w:val="28"/>
          <w:vertAlign w:val="superscript"/>
        </w:rPr>
        <w:footnoteReference w:id="25"/>
      </w:r>
      <w:r>
        <w:rPr>
          <w:rFonts w:ascii="B Lotus" w:hAnsi="B Lotus" w:cs="B Lotus" w:eastAsia="B Lotus"/>
          <w:b w:val="0"/>
          <w:i w:val="0"/>
          <w:sz w:val="28"/>
          <w:szCs w:val="28"/>
        </w:rPr>
        <w:t xml:space="preserve"> این آیین، شباهت معناداری با نهاد فقهی «انباذ علی سواء» (اعلام آشکار پایان پیمان) دارد که در فصل سوم بررسی خواهد شد؛ و همین شباهت، یکی از پایه‌های ضابطه «اعلام و شفافیت» در فصل چهارم است.</w:t>
      </w:r>
    </w:p>
    <w:p>
      <w:pPr>
        <w:pStyle w:val="TH-Goftar"/>
        <w:widowControl/>
        <w:bidi w:val="1"/>
        <w:spacing w:before="200" w:after="120" w:line="276" w:lineRule="auto"/>
        <w:jc w:val="right"/>
      </w:pPr>
      <w:r>
        <w:rPr>
          <w:rFonts w:ascii="B Titr" w:hAnsi="B Titr" w:cs="B Titr" w:eastAsia="B Titr"/>
          <w:b/>
          <w:i w:val="0"/>
          <w:sz w:val="32"/>
          <w:szCs w:val="32"/>
        </w:rPr>
        <w:t>گفتار سوم: جایگاه معاهدات و ولی فقیه در قانون اساسی</w:t>
      </w:r>
    </w:p>
    <w:p>
      <w:pPr>
        <w:pStyle w:val="TH-Body"/>
        <w:widowControl/>
        <w:bidi w:val="1"/>
        <w:spacing w:before="0" w:after="120" w:line="276" w:lineRule="auto"/>
        <w:jc w:val="both"/>
      </w:pPr>
      <w:r>
        <w:rPr>
          <w:rFonts w:ascii="B Lotus" w:hAnsi="B Lotus" w:cs="B Lotus" w:eastAsia="B Lotus"/>
          <w:b w:val="0"/>
          <w:i w:val="0"/>
          <w:sz w:val="28"/>
          <w:szCs w:val="28"/>
        </w:rPr>
        <w:t>قانون اساسی جمهوری اسلامی ایران، نظام تصمیم‌گیری درباره معاهدات را میان سه نهاد «مجلس شورای اسلامی»، «رئیس‌جمهور» و «رهبری» توزیع کرده است؛ هرچند سهم هر یک، یکسان نیست و همین توزیع نامتقارن، یکی از گره‌های پژوهش حاضر است.</w:t>
      </w:r>
    </w:p>
    <w:p>
      <w:pPr>
        <w:pStyle w:val="TH-Body"/>
        <w:widowControl/>
        <w:bidi w:val="1"/>
        <w:spacing w:before="0" w:after="120" w:line="276" w:lineRule="auto"/>
        <w:jc w:val="both"/>
      </w:pPr>
      <w:r>
        <w:rPr>
          <w:rFonts w:ascii="B Lotus" w:hAnsi="B Lotus" w:cs="B Lotus" w:eastAsia="B Lotus"/>
          <w:b w:val="0"/>
          <w:i w:val="0"/>
          <w:sz w:val="28"/>
          <w:szCs w:val="28"/>
        </w:rPr>
        <w:t>اصل ۷۷ مقرر می‌دارد: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دلالت این اصل بر مسئله، غیرمستقیم اما مهم است: این اصل، «تصویب» را شرط لازم‌الاتباع‌شدن معاهده در نظام داخلی می‌داند و نشان می‌دهد که معاهده در نظام حقوقی ایران، از مجرای قوه مقننه وارد حقوق داخلی می‌شود. پرسشی که در فصل پنجم بررسی خواهد شد آن است که آیا «خروج» از همین مجرا نیز ـ یعنی تصویب مجلس ـ برای تعلیق یا خاتمه لازم است یا تصمیم مقام دیگری (رهبری) کفایت می‌کند.</w:t>
      </w:r>
    </w:p>
    <w:p>
      <w:pPr>
        <w:pStyle w:val="TH-Body"/>
        <w:widowControl/>
        <w:bidi w:val="1"/>
        <w:spacing w:before="0" w:after="120" w:line="276" w:lineRule="auto"/>
        <w:jc w:val="both"/>
      </w:pPr>
      <w:r>
        <w:rPr>
          <w:rFonts w:ascii="B Lotus" w:hAnsi="B Lotus" w:cs="B Lotus" w:eastAsia="B Lotus"/>
          <w:b w:val="0"/>
          <w:i w:val="0"/>
          <w:sz w:val="28"/>
          <w:szCs w:val="28"/>
        </w:rPr>
        <w:t>اصل ۱۲۵ مقرر می‌دارد: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Lotus" w:hAnsi="B Lotus" w:cs="B Lotus" w:eastAsia="B Lotus"/>
          <w:b w:val="0"/>
          <w:i w:val="0"/>
          <w:sz w:val="28"/>
          <w:szCs w:val="28"/>
          <w:vertAlign w:val="superscript"/>
        </w:rPr>
        <w:footnoteReference w:id="27"/>
      </w:r>
      <w:r>
        <w:rPr>
          <w:rFonts w:ascii="B Lotus" w:hAnsi="B Lotus" w:cs="B Lotus" w:eastAsia="B Lotus"/>
          <w:b w:val="0"/>
          <w:i w:val="0"/>
          <w:sz w:val="28"/>
          <w:szCs w:val="28"/>
        </w:rPr>
        <w:t xml:space="preserve"> دلالت این اصل نیز غیرمستقیم است: این اصل، «امضا» (به معنای اعلام التزام نهایی) را از آنِ رئیس‌جمهور می‌داند و از رهبری نامی نمی‌برد. همین سکوت، دستمایه یکی از استدلال‌های موافقان «حصر اختیارات رهبری» است که در فصل پنجم نقد خواهد شد.</w:t>
      </w:r>
    </w:p>
    <w:p>
      <w:pPr>
        <w:pStyle w:val="TH-Body"/>
        <w:widowControl/>
        <w:bidi w:val="1"/>
        <w:spacing w:before="0" w:after="120" w:line="276" w:lineRule="auto"/>
        <w:jc w:val="both"/>
      </w:pPr>
      <w:r>
        <w:rPr>
          <w:rFonts w:ascii="B Lotus" w:hAnsi="B Lotus" w:cs="B Lotus" w:eastAsia="B Lotus"/>
          <w:b w:val="0"/>
          <w:i w:val="0"/>
          <w:sz w:val="28"/>
          <w:szCs w:val="28"/>
        </w:rPr>
        <w:t>اصل ۵۷، چارچوب کلان نظام را چنین ترسیم می‌کند: قوای حاکم (مقننه، مجریه و قضائیه) «زیر نظر ولایت مطلقه امر و امامت امت» و «بر طبق اصول آینده این قانون» اعمال می‌گردند و «مستقل از یکدیگرند».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دو قید این اصل ـ «ولایت مطلقه امر» از یک‌سو و «بر طبق اصول آینده» از سوی دیگر ـ منشأ یکی از مهم‌ترین مناقشات حقوق اساسی ایران است: آیا قید دوم، قید اول را محدود می‌کند (و در نتیجه اختیارات رهبری منحصر در اصل ۱۱۰ است) یا قید اول، مبنای اختیاراتی فراتر از اصل ۱۱۰ است؟ اجمال این مناقشه در این‌جا کافی است و تفصیل آن به فصل پنجم موکول می‌شود.</w:t>
      </w:r>
    </w:p>
    <w:p>
      <w:pPr>
        <w:pStyle w:val="TH-Body"/>
        <w:widowControl/>
        <w:bidi w:val="1"/>
        <w:spacing w:before="0" w:after="120" w:line="276" w:lineRule="auto"/>
        <w:jc w:val="both"/>
      </w:pPr>
      <w:r>
        <w:rPr>
          <w:rFonts w:ascii="B Lotus" w:hAnsi="B Lotus" w:cs="B Lotus" w:eastAsia="B Lotus"/>
          <w:b w:val="0"/>
          <w:i w:val="0"/>
          <w:sz w:val="28"/>
          <w:szCs w:val="28"/>
        </w:rPr>
        <w:t>اصل ۱۱۰، «وظایف و اختیارات رهبر» را در یازده بند برمی‌شمارد: (۱) تعیین سیاست‌های کلی نظام پس از مشورت با مجمع تشخیص مصلحت؛ (۲) نظارت بر حسن اجرای سیاست‌های کلی؛ (۳) فرمان همه‌پرسی؛ (۴) فرماندهی کل نیروهای مسلح؛ (۵) اعلان جنگ و صلح و بسیج نیروها؛ (۶) نصب و عزل مقامات عالی؛ (۷) حل اختلاف و تنظیم روابط قوای سه‌گانه؛ (۸) حل معضلات نظام که از طرق عادی قابل حل نیست، از طریق مجمع تشخیص مصلحت نظام؛ (۹) امضای حکم ریاست‌جمهوری؛ (۱۰) عزل رئیس‌جمهور با شرایط مقرر؛ (۱۱) عفو یا تخفیف مجازات.</w:t>
      </w:r>
      <w:r>
        <w:rPr>
          <w:rFonts w:ascii="B Lotus" w:hAnsi="B Lotus" w:cs="B Lotus" w:eastAsia="B Lotus"/>
          <w:b w:val="0"/>
          <w:i w:val="0"/>
          <w:sz w:val="28"/>
          <w:szCs w:val="28"/>
          <w:vertAlign w:val="superscript"/>
        </w:rPr>
        <w:footnoteReference w:id="29"/>
      </w:r>
      <w:r>
        <w:rPr>
          <w:rFonts w:ascii="B Lotus" w:hAnsi="B Lotus" w:cs="B Lotus" w:eastAsia="B Lotus"/>
          <w:b w:val="0"/>
          <w:i w:val="0"/>
          <w:sz w:val="28"/>
          <w:szCs w:val="28"/>
        </w:rPr>
        <w:t xml:space="preserve"> نکته‌ای که باید از هم‌اکنون با صراحت ثبت شود آن است که در هیچ‌یک از این یازده بند، اختیاری درباره «انعقاد، تعلیق یا نقض معاهدات بین‌المللی» به‌صراحت ذکر نشده است. این واقعیتِ متنی، هرگونه استدلال درباره اختیار رهبری در حوزه معاهدات را ناگزیر به یکی از این سه مسیر می‌کشاند: استناد به «بندهای عام» اصل ۱۱۰ (به‌ویژه بندهای ۱، ۵، ۷ و ۸)، استناد به «ولایت مطلقه» مذکور در اصل ۵۷، یا پذیرش «سکوت» قانون اساسی و ارجاع مسئله به فقه و عرف اساسی. داوری میان این سه مسیر، از وظایف فصل پنجم است.</w:t>
      </w:r>
    </w:p>
    <w:p>
      <w:pPr>
        <w:pStyle w:val="TH-Body"/>
        <w:widowControl/>
        <w:bidi w:val="1"/>
        <w:spacing w:before="0" w:after="120" w:line="276" w:lineRule="auto"/>
        <w:jc w:val="both"/>
      </w:pPr>
      <w:r>
        <w:rPr>
          <w:rFonts w:ascii="B Lotus" w:hAnsi="B Lotus" w:cs="B Lotus" w:eastAsia="B Lotus"/>
          <w:b w:val="0"/>
          <w:i w:val="0"/>
          <w:sz w:val="28"/>
          <w:szCs w:val="28"/>
        </w:rPr>
        <w:t>اصل ۱۱۲ نیز با تأسیس «مجمع تشخیص مصلحت نظام» ـ که به دستور رهبری تشکیل می‌شود و در حل اختلاف مجلس و شورای نگهبان و نیز در مشاوره درباره معضلات نظام نقش دارد ـ نهاد تشخیص مصلحت را در نظام حقوقی ایران رسمیت بخشیده است.</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نسبت این نهاد با تشخیص مصلحت توسط شخص ولی فقیه، در فصل چهارم (مرجع تشخیص مصلحت) بررسی خواهد شد.</w:t>
      </w:r>
    </w:p>
    <w:p>
      <w:pPr>
        <w:pStyle w:val="TH-Goftar"/>
        <w:widowControl/>
        <w:bidi w:val="1"/>
        <w:spacing w:before="200" w:after="120" w:line="276" w:lineRule="auto"/>
        <w:jc w:val="right"/>
      </w:pPr>
      <w:r>
        <w:rPr>
          <w:rFonts w:ascii="B Titr" w:hAnsi="B Titr" w:cs="B Titr" w:eastAsia="B Titr"/>
          <w:b/>
          <w:i w:val="0"/>
          <w:sz w:val="32"/>
          <w:szCs w:val="32"/>
        </w:rPr>
        <w:t>حاصل فصل دوم</w:t>
      </w:r>
    </w:p>
    <w:p>
      <w:pPr>
        <w:pStyle w:val="TH-Body"/>
        <w:widowControl/>
        <w:bidi w:val="1"/>
        <w:spacing w:before="0" w:after="120" w:line="276" w:lineRule="auto"/>
        <w:jc w:val="both"/>
      </w:pPr>
      <w:r>
        <w:rPr>
          <w:rFonts w:ascii="B Lotus" w:hAnsi="B Lotus" w:cs="B Lotus" w:eastAsia="B Lotus"/>
          <w:b w:val="0"/>
          <w:i w:val="0"/>
          <w:sz w:val="28"/>
          <w:szCs w:val="28"/>
        </w:rPr>
        <w:t>حاصل این فصل، ترسیم نقشه سه‌گانه مسئله است: در حقوق بین‌الملل، اصل، «وفای با حسن نیت» است (ماده ۲۶) و استناد به حقوق داخلی، توجیه عدم اجرا نیست (ماده ۲۷)؛ اما نظام استثناییِ مضیقی برای تعلیق و خاتمه (مواد ۵۴ تا ۶۴) با آیین خاص (مواد ۶۵ تا ۶۸) وجود دارد. در حقوق اساسی ایران، تصویب معاهدات با مجلس (اصل ۷۷) و امضای آن با رئیس‌جمهور (اصل ۱۲۵) است، و اختیار رهبری در این حوزه، صراحتاً در اصل ۱۱۰ نیامده و باید از بندهای عام یا از اصل ۵۷ استنباط شود. در فقه امامیه ـ که تفصیل آن در بخش بعد می‌آید ـ اصل، وجوب وفای به عهد است و پرسش، از حدود اختیار حاکم در عدول از آن است. با این نقشه، اکنون می‌توان وارد تحلیل فقهی مسئله شد.</w:t>
      </w:r>
    </w:p>
    <w:p>
      <w:r>
        <w:br w:type="page"/>
      </w:r>
    </w:p>
    <w:p/>
    <w:p/>
    <w:p/>
    <w:p/>
    <w:p>
      <w:pPr>
        <w:pStyle w:val="TH-Bakhsh"/>
        <w:widowControl/>
        <w:bidi w:val="1"/>
        <w:spacing w:before="0" w:after="120" w:line="276"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فصل سوم: ادله وجوب وفای به عهد و ممنوعیت نقض</w:t>
      </w:r>
    </w:p>
    <w:p>
      <w:pPr>
        <w:pStyle w:val="TH-Body"/>
        <w:widowControl/>
        <w:bidi w:val="1"/>
        <w:spacing w:before="0" w:after="120" w:line="276" w:lineRule="auto"/>
        <w:jc w:val="both"/>
      </w:pPr>
      <w:r>
        <w:rPr>
          <w:rFonts w:ascii="B Lotus" w:hAnsi="B Lotus" w:cs="B Lotus" w:eastAsia="B Lotus"/>
          <w:b w:val="0"/>
          <w:i w:val="0"/>
          <w:sz w:val="28"/>
          <w:szCs w:val="28"/>
        </w:rPr>
        <w:t>بخش دوم رساله، قلب فقهی پژوهش است. در این بخش، دو دسته ادله در برابر یکدیگر نهاده می‌شوند: ادله وجوب وفای به عهد (فصل سوم) و ادله اختیار حاکم اسلامی در عدول از عهد (فصل چهارم). منطق این تفکیک، منطق «تنقیح طرفین مسئله» پیش از داوری است: تا گستره و قوت هر دسته از ادله روشن نشود، هرگونه جمع‌بندی، شتاب‌زده خواهد بود. ازاین‌رو، در این فصل، ادله وجوب وفا ـ اعم از قرآنی، روایی، سیره، عقلی و فقهی ـ با روش توصیف، تحلیل دلالت و نقد بررسی می‌شوند.</w:t>
      </w:r>
    </w:p>
    <w:p>
      <w:pPr>
        <w:pStyle w:val="TH-Goftar"/>
        <w:widowControl/>
        <w:bidi w:val="1"/>
        <w:spacing w:before="200" w:after="120" w:line="276" w:lineRule="auto"/>
        <w:jc w:val="right"/>
      </w:pPr>
      <w:r>
        <w:rPr>
          <w:rFonts w:ascii="B Titr" w:hAnsi="B Titr" w:cs="B Titr" w:eastAsia="B Titr"/>
          <w:b/>
          <w:i w:val="0"/>
          <w:sz w:val="32"/>
          <w:szCs w:val="32"/>
        </w:rPr>
        <w:t>گفتار اول: ادله قرآنی</w:t>
      </w:r>
    </w:p>
    <w:p>
      <w:pPr>
        <w:pStyle w:val="TH-Band"/>
        <w:widowControl/>
        <w:bidi w:val="1"/>
        <w:spacing w:before="200" w:after="120" w:line="276" w:lineRule="auto"/>
        <w:jc w:val="right"/>
      </w:pPr>
      <w:r>
        <w:rPr>
          <w:rFonts w:ascii="B Traffic" w:hAnsi="B Traffic" w:cs="B Traffic" w:eastAsia="B Traffic"/>
          <w:b/>
          <w:i w:val="0"/>
          <w:sz w:val="28"/>
          <w:szCs w:val="28"/>
        </w:rPr>
        <w:t>بند اول: آیات عام وفا به عقد و عهد</w:t>
      </w:r>
    </w:p>
    <w:p>
      <w:pPr>
        <w:pStyle w:val="TH-Body"/>
        <w:widowControl/>
        <w:bidi w:val="1"/>
        <w:spacing w:before="0" w:after="120" w:line="276" w:lineRule="auto"/>
        <w:jc w:val="both"/>
      </w:pPr>
      <w:r>
        <w:rPr>
          <w:rFonts w:ascii="B Lotus" w:hAnsi="B Lotus" w:cs="B Lotus" w:eastAsia="B Lotus"/>
          <w:b w:val="0"/>
          <w:i w:val="0"/>
          <w:sz w:val="28"/>
          <w:szCs w:val="28"/>
        </w:rPr>
        <w:t>قرآن کریم با تعابیر گوناگون و در سیاق‌های مختلف، به وفای به عهد فرمان داده است. سه آیه، محور اصلی استدلال فقها در این باب‌اند:</w:t>
      </w:r>
    </w:p>
    <w:p>
      <w:pPr>
        <w:pStyle w:val="TH-Body"/>
        <w:widowControl/>
        <w:bidi w:val="1"/>
        <w:spacing w:before="0" w:after="120" w:line="276" w:lineRule="auto"/>
        <w:jc w:val="both"/>
      </w:pPr>
      <w:r>
        <w:rPr>
          <w:rFonts w:ascii="B Lotus" w:hAnsi="B Lotus" w:cs="B Lotus" w:eastAsia="B Lotus"/>
          <w:b w:val="0"/>
          <w:i w:val="0"/>
          <w:sz w:val="28"/>
          <w:szCs w:val="28"/>
        </w:rPr>
        <w:t>آیه نخست: «یَا أَیُّهَا الَّذِینَ آمَنُوا أَوْفُوا بِالْعُقُودِ» (مائده، ۱). واژه «عقود» جمع «عقد» است و «عقد» در لغت و عرف، به معنای هرگونه گره و التزام استوار میان دو طرف است، اعم از عقدهای معاملی (مانند بیع و اجاره) و پیمان‌های سیاسی و اجتماعی. عموم این واژه ـ که با الف و لام جمع نیز تأکید شده ـ همه انواع التزام را در بر می‌گیرد و تخصیص آن به عقود معاملی، نیازمند دلیل است. مفسران امامیه نیز همین عموم را پذیرفته‌اند و مراد از عقود را اعم از «عقود الله» (تکالیف الهی) و «عقود الناس» (پیمان‌های میان مردم) دانسته‌اند.</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بنابراین، پیمان دولت اسلامی با دولت‌های دیگر ـ که بی‌تردید نوعی «عقد» به معنای عرفی است ـ در شمول این آیه قرار می‌گیرد و مشمول وجوب وفا می‌شود.</w:t>
      </w:r>
    </w:p>
    <w:p>
      <w:pPr>
        <w:pStyle w:val="TH-Body"/>
        <w:widowControl/>
        <w:bidi w:val="1"/>
        <w:spacing w:before="0" w:after="120" w:line="276" w:lineRule="auto"/>
        <w:jc w:val="both"/>
      </w:pPr>
      <w:r>
        <w:rPr>
          <w:rFonts w:ascii="B Lotus" w:hAnsi="B Lotus" w:cs="B Lotus" w:eastAsia="B Lotus"/>
          <w:b w:val="0"/>
          <w:i w:val="0"/>
          <w:sz w:val="28"/>
          <w:szCs w:val="28"/>
        </w:rPr>
        <w:t>آیه دوم: «وَأَوْفُوا بِعَهْدِ اللَّهِ إِذَا عَاهَدْتُمْ وَلَا تَنْقُضُوا الْأَیْمَانَ بَعْدَ تَوْکِیدِهَا» (نحل، ۹۱). این آیه از دو جهت اهمیت دارد: نخست، تعبیر «عهد الله» که نشان می‌دهد عهد مؤمنان، در واقع عهدی با خداست و نقض آن، نقض پیمان الهی است؛ و دوم، نهی صریح از «نقض» پس از «توکید» (استوارساختن)، که دقیقاً ناظر به مرحله پساانعقاد ـ یعنی مرحله مورد بحث این رساله ـ است. سیاق آیات پیش و پس (نهی از سوگندهای فریبکارانه و حیله‌گرانه) نیز نشان می‌دهد که مراد، پایبندی واقعی و همراه با حسن نیت است، نه وفای صوری.</w:t>
      </w:r>
    </w:p>
    <w:p>
      <w:pPr>
        <w:pStyle w:val="TH-Body"/>
        <w:widowControl/>
        <w:bidi w:val="1"/>
        <w:spacing w:before="0" w:after="120" w:line="276" w:lineRule="auto"/>
        <w:jc w:val="both"/>
      </w:pPr>
      <w:r>
        <w:rPr>
          <w:rFonts w:ascii="B Lotus" w:hAnsi="B Lotus" w:cs="B Lotus" w:eastAsia="B Lotus"/>
          <w:b w:val="0"/>
          <w:i w:val="0"/>
          <w:sz w:val="28"/>
          <w:szCs w:val="28"/>
        </w:rPr>
        <w:t>آیه سوم: «وَأَوْفُوا بِالْعَهْدِ إِنَّ الْعَهْدَ کَانَ مَسْئُولًا» (اسراء، ۳۴). جمله «إِنَّ الْعَهْدَ کَانَ مَسْئُولًا» (همانا عهد، مورد سؤال و بازخواست است) بار معنایی ویژه‌ای دارد: عهد، امانتی است که صاحب آن در برابر خدا مسئول است و این مسئولیت، جنبه اخروی و قطعی دارد. این آیه، پشتوانه «اخلاقی ـ اعتقادی» وجوب وفاست و نشان می‌دهد که پیمان‌شکنی، صرفاً یک تخلف حقوقی نیست، بلکه خیانتی در امانت الهی است.</w:t>
      </w:r>
    </w:p>
    <w:p>
      <w:pPr>
        <w:pStyle w:val="TH-Body"/>
        <w:widowControl/>
        <w:bidi w:val="1"/>
        <w:spacing w:before="0" w:after="120" w:line="276" w:lineRule="auto"/>
        <w:jc w:val="both"/>
      </w:pPr>
      <w:r>
        <w:rPr>
          <w:rFonts w:ascii="B Lotus" w:hAnsi="B Lotus" w:cs="B Lotus" w:eastAsia="B Lotus"/>
          <w:b w:val="0"/>
          <w:i w:val="0"/>
          <w:sz w:val="28"/>
          <w:szCs w:val="28"/>
        </w:rPr>
        <w:t>تحلیل مجموعی: این سه آیه، یک نظام معنایی منسجم می‌سازند: مائده/۱، «قلمرو» وجوب (همه عقود) را بیان می‌کند؛ نحل/۹۱، «کیفیت» وجوب (وفای واقعی و نهی از نقض حیله‌گرانه) را بیان می‌کند؛ و اسراء/۳۴، «ضمانت» وجوب (مسئولیت اخروی) را بیان می‌کند. هیچ‌یک از این آیات، استثنایی برای «حاکم» یا «مصلحت» ذکر نکرده‌اند؛ و همین اطلاق، دستمایه استدلال قائلان به ممنوعیت مطلق نقض است. اما ـ چنان‌که در فصل چهارم خواهد آمد ـ اطلاق، با ادله مقیدِ دیگر قابل جمع است و اطلاقِ به‌تنهایی، به معنای نفی هرگونه استثنا نیست.</w:t>
      </w:r>
    </w:p>
    <w:p>
      <w:pPr>
        <w:pStyle w:val="TH-Band"/>
        <w:widowControl/>
        <w:bidi w:val="1"/>
        <w:spacing w:before="200" w:after="120" w:line="276" w:lineRule="auto"/>
        <w:jc w:val="right"/>
      </w:pPr>
      <w:r>
        <w:rPr>
          <w:rFonts w:ascii="B Traffic" w:hAnsi="B Traffic" w:cs="B Traffic" w:eastAsia="B Traffic"/>
          <w:b/>
          <w:i w:val="0"/>
          <w:sz w:val="28"/>
          <w:szCs w:val="28"/>
        </w:rPr>
        <w:t>بند دوم: آیات خاص عهد با غیرمسلمانان و آیه انباذ</w:t>
      </w:r>
    </w:p>
    <w:p>
      <w:pPr>
        <w:pStyle w:val="TH-Body"/>
        <w:widowControl/>
        <w:bidi w:val="1"/>
        <w:spacing w:before="0" w:after="120" w:line="276" w:lineRule="auto"/>
        <w:jc w:val="both"/>
      </w:pPr>
      <w:r>
        <w:rPr>
          <w:rFonts w:ascii="B Lotus" w:hAnsi="B Lotus" w:cs="B Lotus" w:eastAsia="B Lotus"/>
          <w:b w:val="0"/>
          <w:i w:val="0"/>
          <w:sz w:val="28"/>
          <w:szCs w:val="28"/>
        </w:rPr>
        <w:t>در کنار آیات عام، دو دسته آیه خاص نیز وجود دارد که مستقیماً ناظر به پیمان با غیرمسلمانان‌اند و برای مسئله این رساله، از آیات عام مهم‌ترند:</w:t>
      </w:r>
    </w:p>
    <w:p>
      <w:pPr>
        <w:pStyle w:val="TH-Body"/>
        <w:widowControl/>
        <w:bidi w:val="1"/>
        <w:spacing w:before="0" w:after="120" w:line="276" w:lineRule="auto"/>
        <w:jc w:val="both"/>
      </w:pPr>
      <w:r>
        <w:rPr>
          <w:rFonts w:ascii="B Lotus" w:hAnsi="B Lotus" w:cs="B Lotus" w:eastAsia="B Lotus"/>
          <w:b w:val="0"/>
          <w:i w:val="0"/>
          <w:sz w:val="28"/>
          <w:szCs w:val="28"/>
        </w:rPr>
        <w:t>دسته نخست، آیات اتمام عهد با مشرکان پایبند است: «إِلَّا الَّذِینَ عَاهَدْتُمْ مِنَ الْمُشْرِکِینَ ثُمَّ لَمْ یَنْقُصُوکُمْ شَیْئًا وَلَمْ یُظَاهِرُوا عَلَیْکُمْ أَحَدًا فَأَتِمُّوا إِلَيْهِمْ عَهْدَهُمْ إِلَى مُدَّتِهِمْ إِنَّ اللَّهَ یُحِبُّ الْمُتَّقِینَ» (توبه، ۴). این آیه در سیاق آیات برائت ـ که عهد با مشرکان پیمان‌شکن را ملغی اعلام می‌کند ـ استثنایی مهم می‌زند: مشرکانی که به عهد خود پایبند مانده‌اند (نه کاسته‌اند و نه علیه مسلمانان با دشمن همدستی کرده‌اند)، عهدشان باید «تا پایان مدتش» (إِلَی مُدَّتِهِمْ) تمام شود. دلالت این آیه بر مسئله، دوگانه است: از یک‌سو، وجوب وفا حتی با مشرک را اثبات می‌کند (تقویت ادله وفا)؛ و از سوی دیگر، با قید «لَمْ یَنْقُصُوکُمْ ... وَلَمْ یُظَاهِرُوا»، نشان می‌دهد که وجوب وفا، «مشروط به وفای متقابل» است و در فرض نقض از سوی طرف مقابل، حکم دگرگون می‌شود (گشایش باب تحلیل فصل چهارم). آیه «فَمَا اسْتَقَامُوا لَکُمْ فَاسْتَقِیمُوا لَهُمْ» (توبه، ۷) نیز همین منطق «تقابل» را تأکید می‌کند: پایداری ما در برابر پایداری آن‌ها.</w:t>
      </w:r>
    </w:p>
    <w:p>
      <w:pPr>
        <w:pStyle w:val="TH-Body"/>
        <w:widowControl/>
        <w:bidi w:val="1"/>
        <w:spacing w:before="0" w:after="120" w:line="276" w:lineRule="auto"/>
        <w:jc w:val="both"/>
      </w:pPr>
      <w:r>
        <w:rPr>
          <w:rFonts w:ascii="B Lotus" w:hAnsi="B Lotus" w:cs="B Lotus" w:eastAsia="B Lotus"/>
          <w:b w:val="0"/>
          <w:i w:val="0"/>
          <w:sz w:val="28"/>
          <w:szCs w:val="28"/>
        </w:rPr>
        <w:t>دسته دوم، آیه «انباذ» است: «وَإِمَّا تَخَافَنَّ مِنْ قَوْمٍ خِیَانَةً فَانْبِذْ إِلَيْهِمْ عَلَى سَوَاءٍ إِنَّ اللَّهَ لَا یُحِبُّ الْخَائِنِینَ» (انفال، ۵۸). این آیه، مهم‌ترین آیه برای مسئله این رساله است و باید با دقت تحلیل شود. مفاد آیه: هرگاه از قومی (که با آن‌ها پیمان داری) بیم خیانت داری، پیمان را به‌سوی آن‌ها بیفکن (اعلام کن که پیمان پایان یافته است) «علی سواء» (به‌صورت برابر و آشکار، به‌گونه‌ای که هر دو طرف بدانند پیمانی در کار نیست)؛ زیرا خدا خائنان را دوست ندارد.</w:t>
      </w:r>
    </w:p>
    <w:p>
      <w:pPr>
        <w:pStyle w:val="TH-Body"/>
        <w:widowControl/>
        <w:bidi w:val="1"/>
        <w:spacing w:before="0" w:after="120" w:line="276" w:lineRule="auto"/>
        <w:jc w:val="both"/>
      </w:pPr>
      <w:r>
        <w:rPr>
          <w:rFonts w:ascii="B Lotus" w:hAnsi="B Lotus" w:cs="B Lotus" w:eastAsia="B Lotus"/>
          <w:b w:val="0"/>
          <w:i w:val="0"/>
          <w:sz w:val="28"/>
          <w:szCs w:val="28"/>
        </w:rPr>
        <w:t>سه نکته تحلیلی از این آیه به دست می‌آید: نکته یکم: آیه، «خوف از خیانت» (و نه خیانت قطعی) را برای پایان‌دادن به پیمان کافی می‌داند؛ اما مشروط به این‌که پایان‌دادن، «آشکار و اعلام‌شده» باشد نه پنهانی. به بیان دیگر، آن‌چه حرام است، «خیانت و غدر» (پیمان‌شکنی پنهانی) است، نه «پایان‌دادن اعلام‌شده». نکته دوم: تعبیر «عَلَى سَوَاءٍ» (برابری در آگاهی) نشان می‌دهد که شارع، حتی در مقام پایان‌دادن به پیمان، «شفافیت» و «اطلاع طرف مقابل» را واجب می‌داند؛ و این، مبنای قرآنیِ ضابطه «اعلام و شفافیت» در فصل چهارم است. نکته سوم: جمله پایانی «إِنَّ اللَّهَ لَا یُحِبُّ الْخَائِنِینَ» مرز میان «انباذ مشروع» و «خیانت ممنوع» را روشن می‌کند: انباذِ اعلام‌شده، خیانت نیست؛ خیانت، نقض پنهانی و غافلگیرانه است.</w:t>
      </w:r>
    </w:p>
    <w:p>
      <w:pPr>
        <w:pStyle w:val="TH-Body"/>
        <w:widowControl/>
        <w:bidi w:val="1"/>
        <w:spacing w:before="0" w:after="120" w:line="276" w:lineRule="auto"/>
        <w:jc w:val="both"/>
      </w:pPr>
      <w:r>
        <w:rPr>
          <w:rFonts w:ascii="B Lotus" w:hAnsi="B Lotus" w:cs="B Lotus" w:eastAsia="B Lotus"/>
          <w:b w:val="0"/>
          <w:i w:val="0"/>
          <w:sz w:val="28"/>
          <w:szCs w:val="28"/>
        </w:rPr>
        <w:t>نتیجه این بند آن است که ادله قرآنی، نظامی «دوسطحی» می‌سازند: سطح نخست، اصل محکم وجوب وفا (آیات عام و توبه/۴)؛ و سطح دوم، سازوکار مشروعِ پایان‌دادن به پیمان در شرایط خاص (انفال/۵۸). این ساختار دوسطحی، از هم‌اکنون نشان می‌دهد که فرضیه «ممنوعیت مطلق و بی‌استثنای هرگونه عدول» با منطق قرآن سازگار نیست؛ هرچند فرضیه «جواز مطلق و بی‌ضابطه» نیز با آن ناسازگار است. راه میانه ـ یعنی جواز مشروط و ضابطه‌مند ـ همان است که در فصل چهارم صورت‌بندی خواهد شد.</w:t>
      </w:r>
    </w:p>
    <w:p>
      <w:pPr>
        <w:pStyle w:val="TH-Goftar"/>
        <w:widowControl/>
        <w:bidi w:val="1"/>
        <w:spacing w:before="200" w:after="120" w:line="276" w:lineRule="auto"/>
        <w:jc w:val="right"/>
      </w:pPr>
      <w:r>
        <w:rPr>
          <w:rFonts w:ascii="B Titr" w:hAnsi="B Titr" w:cs="B Titr" w:eastAsia="B Titr"/>
          <w:b/>
          <w:i w:val="0"/>
          <w:sz w:val="32"/>
          <w:szCs w:val="32"/>
        </w:rPr>
        <w:t>گفتار دوم: روایات و سیره</w:t>
      </w:r>
    </w:p>
    <w:p>
      <w:pPr>
        <w:pStyle w:val="TH-Band"/>
        <w:widowControl/>
        <w:bidi w:val="1"/>
        <w:spacing w:before="200" w:after="120" w:line="276" w:lineRule="auto"/>
        <w:jc w:val="right"/>
      </w:pPr>
      <w:r>
        <w:rPr>
          <w:rFonts w:ascii="B Traffic" w:hAnsi="B Traffic" w:cs="B Traffic" w:eastAsia="B Traffic"/>
          <w:b/>
          <w:i w:val="0"/>
          <w:sz w:val="28"/>
          <w:szCs w:val="28"/>
        </w:rPr>
        <w:t>بند اول: قاعده «المسلمون عند شروطهم» و روایات وفا</w:t>
      </w:r>
    </w:p>
    <w:p>
      <w:pPr>
        <w:pStyle w:val="TH-Body"/>
        <w:widowControl/>
        <w:bidi w:val="1"/>
        <w:spacing w:before="0" w:after="120" w:line="276" w:lineRule="auto"/>
        <w:jc w:val="both"/>
      </w:pPr>
      <w:r>
        <w:rPr>
          <w:rFonts w:ascii="B Lotus" w:hAnsi="B Lotus" w:cs="B Lotus" w:eastAsia="B Lotus"/>
          <w:b w:val="0"/>
          <w:i w:val="0"/>
          <w:sz w:val="28"/>
          <w:szCs w:val="28"/>
        </w:rPr>
        <w:t>مشهورترین روایت در باب لزوم وفا به التزام، روایت نبوی «الْمُسْلِمُونَ عِنْدَ شُرُوطِهِمْ» (مسلمانان پایبند به شرط‌های خویش‌اند) است که در جوامع روایی شیعه و سنی نقل شده و فقها از آن، قاعده‌ای عام برای لزوم وفا به همه شروط و التزام‌ها ـ اعم از ضمن عقد و مستقل ـ استنباط کرده‌اند.</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عموم «شروط» در این روایت، پیمان‌های سیاسی دولت اسلامی را نیز در بر می‌گیرد؛ زیرا این پیمان‌ها، چیزی جز «شرط» و التزام متقابل نیستند.</w:t>
      </w:r>
    </w:p>
    <w:p>
      <w:pPr>
        <w:pStyle w:val="TH-Body"/>
        <w:widowControl/>
        <w:bidi w:val="1"/>
        <w:spacing w:before="0" w:after="120" w:line="276" w:lineRule="auto"/>
        <w:jc w:val="both"/>
      </w:pPr>
      <w:r>
        <w:rPr>
          <w:rFonts w:ascii="B Lotus" w:hAnsi="B Lotus" w:cs="B Lotus" w:eastAsia="B Lotus"/>
          <w:b w:val="0"/>
          <w:i w:val="0"/>
          <w:sz w:val="28"/>
          <w:szCs w:val="28"/>
        </w:rPr>
        <w:t>در کنار این روایت، روایات دیگری نیز بر قبح پیمان‌شکنی دلالت دارند؛ از جمله روایت مشهور «لَا إِیمَانَ لِمَنْ لَا أَمَانَةَ لَهُ وَلَا دِینَ لِمَنْ لَا عَهْدَ لَهُ» (کسی که امانت ندارد ایمان ندارد، و کسی که عهد ندارد دین ندارد) که بی‌عهدی را هم‌سنگ بی‌دینی می‌شمارد.</w:t>
      </w:r>
      <w:r>
        <w:rPr>
          <w:rFonts w:ascii="B Lotus" w:hAnsi="B Lotus" w:cs="B Lotus" w:eastAsia="B Lotus"/>
          <w:b w:val="0"/>
          <w:i w:val="0"/>
          <w:sz w:val="28"/>
          <w:szCs w:val="28"/>
          <w:vertAlign w:val="superscript"/>
        </w:rPr>
        <w:footnoteReference w:id="33"/>
      </w:r>
      <w:r>
        <w:rPr>
          <w:rFonts w:ascii="B Lotus" w:hAnsi="B Lotus" w:cs="B Lotus" w:eastAsia="B Lotus"/>
          <w:b w:val="0"/>
          <w:i w:val="0"/>
          <w:sz w:val="28"/>
          <w:szCs w:val="28"/>
        </w:rPr>
        <w:t xml:space="preserve"> پیام این روایات، تقویت همان ساختاری است که از آیات به دست آمد: وفا، اصل است و نقض، استثنا.</w:t>
      </w:r>
    </w:p>
    <w:p>
      <w:pPr>
        <w:pStyle w:val="TH-Band"/>
        <w:widowControl/>
        <w:bidi w:val="1"/>
        <w:spacing w:before="200" w:after="120" w:line="276" w:lineRule="auto"/>
        <w:jc w:val="right"/>
      </w:pPr>
      <w:r>
        <w:rPr>
          <w:rFonts w:ascii="B Traffic" w:hAnsi="B Traffic" w:cs="B Traffic" w:eastAsia="B Traffic"/>
          <w:b/>
          <w:i w:val="0"/>
          <w:sz w:val="28"/>
          <w:szCs w:val="28"/>
        </w:rPr>
        <w:t>بند دوم: عهدنامه مالک اشتر</w:t>
      </w:r>
    </w:p>
    <w:p>
      <w:pPr>
        <w:pStyle w:val="TH-Body"/>
        <w:widowControl/>
        <w:bidi w:val="1"/>
        <w:spacing w:before="0" w:after="120" w:line="276" w:lineRule="auto"/>
        <w:jc w:val="both"/>
      </w:pPr>
      <w:r>
        <w:rPr>
          <w:rFonts w:ascii="B Lotus" w:hAnsi="B Lotus" w:cs="B Lotus" w:eastAsia="B Lotus"/>
          <w:b w:val="0"/>
          <w:i w:val="0"/>
          <w:sz w:val="28"/>
          <w:szCs w:val="28"/>
        </w:rPr>
        <w:t>عهدنامه مالک اشتر (نامه ۵۳ نهج‌البلاغه) مهم‌ترین سند روایی ـ حکومتی در باب پیمان‌های دولت اسلامی است؛ زیرا اولاً از معصوم (علیه‌السلام) صادر شده، ثانیاً خطاب به یک «حاکم» (والی مصر) است، و ثالثاً مستقیماً ناظر به «پیمان با دشمن» است. امیرالمؤمنین (علیه‌السلام) در این عهدنامه می‌فرماید:</w:t>
      </w:r>
    </w:p>
    <w:p>
      <w:pPr>
        <w:pStyle w:val="TH-Quote"/>
        <w:widowControl/>
        <w:bidi w:val="1"/>
        <w:spacing w:before="160" w:after="160" w:line="276" w:lineRule="auto"/>
        <w:ind w:right="567" w:left="567"/>
        <w:jc w:val="center"/>
      </w:pPr>
      <w:r>
        <w:rPr>
          <w:rFonts w:ascii="B Badr" w:hAnsi="B Badr" w:cs="B Badr" w:eastAsia="B Badr"/>
          <w:b/>
          <w:i w:val="0"/>
          <w:sz w:val="26"/>
          <w:szCs w:val="26"/>
        </w:rPr>
        <w:t>وَإِنْ عَقَدْتَ بَیْنَکَ وَبَیْنَ عَدُوِّکَ عُقْدَةً أَوْ أَلْبَسْتَهُ مِنْکَ ذِمَّةً فَحُطَّ عَهْدَکَ بِالْوَفَاءِ وَارْعَ ذِمَّتَکَ بِالْأَمَانَةِ</w:t>
      </w:r>
    </w:p>
    <w:p>
      <w:pPr>
        <w:pStyle w:val="TH-Body"/>
        <w:widowControl/>
        <w:bidi w:val="1"/>
        <w:spacing w:before="0" w:after="120" w:line="276" w:lineRule="auto"/>
        <w:jc w:val="both"/>
      </w:pPr>
      <w:r>
        <w:rPr>
          <w:rFonts w:ascii="B Lotus" w:hAnsi="B Lotus" w:cs="B Lotus" w:eastAsia="B Lotus"/>
          <w:b w:val="0"/>
          <w:i w:val="0"/>
          <w:sz w:val="28"/>
          <w:szCs w:val="28"/>
        </w:rPr>
        <w:t>یعنی: «هرگاه میان خود و دشمنت پیمانی بستی یا از سوی خود به او امانی دادی، پیمانت را با وفا پاس دار و ذمه‌ات را با امانت نگه دار».</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سپس در ادامه، فلسفه این حکم را چنین بیان می‌کند که هیچ‌یک از فرایض الهی، همچون بزرگداشت وفای به عهدها، مورد اتفاق همگان ـ با همه اختلاف سلیقه‌ها ـ نیست؛ و پس از آن، مالک را از هرگونه «غدر» (حیله و پیمان‌شکنی) برحذر می‌دارد.</w:t>
      </w:r>
    </w:p>
    <w:p>
      <w:pPr>
        <w:pStyle w:val="TH-Body"/>
        <w:widowControl/>
        <w:bidi w:val="1"/>
        <w:spacing w:before="0" w:after="120" w:line="276" w:lineRule="auto"/>
        <w:jc w:val="both"/>
      </w:pPr>
      <w:r>
        <w:rPr>
          <w:rFonts w:ascii="B Lotus" w:hAnsi="B Lotus" w:cs="B Lotus" w:eastAsia="B Lotus"/>
          <w:b w:val="0"/>
          <w:i w:val="0"/>
          <w:sz w:val="28"/>
          <w:szCs w:val="28"/>
        </w:rPr>
        <w:t>تحلیل دلالت: این عهدنامه از چند جهت برای مسئله رساله تعیین‌کننده است: (۱) مخاطب آن «حاکم» است، پس نمی‌توان گفت ادله وفا فقط ناظر به روابط فردی است؛ (۲) موضوع آن «پیمان با دشمن» است، پس سخت‌ترین فرض (عهد با غیرمسلمانِ دشمن) را هم در بر می‌گیرد؛ (۳) لحن آن، لحن «وجوب» است نه استحباب («فَحُطَّ»، «ارْعَ» اوامرند)؛ و (۴) با این حال، چنان‌که در فصل چهارم خواهد آمد، همین عهدنامه در فرازهای دیگر، حاکم را به «مصلحت‌سنجی» و «حزم و احتیاط» نیز فرمان می‌دهد و نظام توصیه‌های آن، نظامی متوازن است نه تک‌بعدی.</w:t>
      </w:r>
    </w:p>
    <w:p>
      <w:pPr>
        <w:pStyle w:val="TH-Band"/>
        <w:widowControl/>
        <w:bidi w:val="1"/>
        <w:spacing w:before="200" w:after="120" w:line="276" w:lineRule="auto"/>
        <w:jc w:val="right"/>
      </w:pPr>
      <w:r>
        <w:rPr>
          <w:rFonts w:ascii="B Traffic" w:hAnsi="B Traffic" w:cs="B Traffic" w:eastAsia="B Traffic"/>
          <w:b/>
          <w:i w:val="0"/>
          <w:sz w:val="28"/>
          <w:szCs w:val="28"/>
        </w:rPr>
        <w:t>بند سوم: سیره نبوی؛ صلح حدیبیه</w:t>
      </w:r>
    </w:p>
    <w:p>
      <w:pPr>
        <w:pStyle w:val="TH-Body"/>
        <w:widowControl/>
        <w:bidi w:val="1"/>
        <w:spacing w:before="0" w:after="120" w:line="276" w:lineRule="auto"/>
        <w:jc w:val="both"/>
      </w:pPr>
      <w:r>
        <w:rPr>
          <w:rFonts w:ascii="B Lotus" w:hAnsi="B Lotus" w:cs="B Lotus" w:eastAsia="B Lotus"/>
          <w:b w:val="0"/>
          <w:i w:val="0"/>
          <w:sz w:val="28"/>
          <w:szCs w:val="28"/>
        </w:rPr>
        <w:t>صلح حدیبیه (سال ششم هجری) برجسته‌ترین مصداق تاریخی پایبندی به پیمان در سیره نبوی است. در این صلح، پیامبر اکرم (صلی‌الله‌علیه‌وآله) با قریش مکه ـ که دشمن آشکار مسلمانان بودند ـ پیمانی چندساله بست که از جمله مواد آن، بازگرداندن پناهندگان مکی به مدینه بود. با وجود دشواری این شرط و اعتراض برخی اصحاب، پیامبر (ص) به آن پایبند ماند؛ چنان‌که در ماجرای مشهور ابوجندل، با وجود مشاهده وضعیت رقت‌بار او، فرمود که پیمان بسته شده و نمی‌توان آن را شکست.</w:t>
      </w:r>
      <w:r>
        <w:rPr>
          <w:rFonts w:ascii="B Lotus" w:hAnsi="B Lotus" w:cs="B Lotus" w:eastAsia="B Lotus"/>
          <w:b w:val="0"/>
          <w:i w:val="0"/>
          <w:sz w:val="28"/>
          <w:szCs w:val="28"/>
          <w:vertAlign w:val="superscript"/>
        </w:rPr>
        <w:footnoteReference w:id="35"/>
      </w:r>
    </w:p>
    <w:p>
      <w:pPr>
        <w:pStyle w:val="TH-Body"/>
        <w:widowControl/>
        <w:bidi w:val="1"/>
        <w:spacing w:before="0" w:after="120" w:line="276" w:lineRule="auto"/>
        <w:jc w:val="both"/>
      </w:pPr>
      <w:r>
        <w:rPr>
          <w:rFonts w:ascii="B Lotus" w:hAnsi="B Lotus" w:cs="B Lotus" w:eastAsia="B Lotus"/>
          <w:b w:val="0"/>
          <w:i w:val="0"/>
          <w:sz w:val="28"/>
          <w:szCs w:val="28"/>
        </w:rPr>
        <w:t>دلالت سیره: سیره حدیبیه نشان می‌دهد که «دشواری» و «نامطلوب‌بودن» مفاد پیمان، به‌تنهایی مجوز نقض آن نیست؛ و حاکم اسلامی حتی در برابر دشمن نیز به پیمان خود پایبند می‌ماند. اما ـ و این «اما» مهم است ـ همین سیره نشان می‌دهد که پیمان، «ابزار» تحقق مصالح امت است نه «هدف» فی‌نفسه؛ چنان‌که پیامبر (ص) پس از نقض پیمان از سوی قریش (همدستی با بنی‌بکر علیه خزاعه)، پیمان را پایان‌یافته دانست و به فتح مکه اقدام کرد. پس منطق سیره نیز همان منطق دوسطحی قرآن است: وفای محکم در فرض پایبندی طرف مقابل، و پایان‌دادن مشروع در فرض نقض یا خیانت.</w:t>
      </w:r>
    </w:p>
    <w:p>
      <w:pPr>
        <w:pStyle w:val="TH-Goftar"/>
        <w:widowControl/>
        <w:bidi w:val="1"/>
        <w:spacing w:before="200" w:after="120" w:line="276" w:lineRule="auto"/>
        <w:jc w:val="right"/>
      </w:pPr>
      <w:r>
        <w:rPr>
          <w:rFonts w:ascii="B Titr" w:hAnsi="B Titr" w:cs="B Titr" w:eastAsia="B Titr"/>
          <w:b/>
          <w:i w:val="0"/>
          <w:sz w:val="32"/>
          <w:szCs w:val="32"/>
        </w:rPr>
        <w:t>گفتار سوم: عقل، بنای عقلا و اقوال فقها</w:t>
      </w:r>
    </w:p>
    <w:p>
      <w:pPr>
        <w:pStyle w:val="TH-Band"/>
        <w:widowControl/>
        <w:bidi w:val="1"/>
        <w:spacing w:before="200" w:after="120" w:line="276" w:lineRule="auto"/>
        <w:jc w:val="right"/>
      </w:pPr>
      <w:r>
        <w:rPr>
          <w:rFonts w:ascii="B Traffic" w:hAnsi="B Traffic" w:cs="B Traffic" w:eastAsia="B Traffic"/>
          <w:b/>
          <w:i w:val="0"/>
          <w:sz w:val="28"/>
          <w:szCs w:val="28"/>
        </w:rPr>
        <w:t>بند اول: دلیل عقل و بنای عقلا</w:t>
      </w:r>
    </w:p>
    <w:p>
      <w:pPr>
        <w:pStyle w:val="TH-Body"/>
        <w:widowControl/>
        <w:bidi w:val="1"/>
        <w:spacing w:before="0" w:after="120" w:line="276" w:lineRule="auto"/>
        <w:jc w:val="both"/>
      </w:pPr>
      <w:r>
        <w:rPr>
          <w:rFonts w:ascii="B Lotus" w:hAnsi="B Lotus" w:cs="B Lotus" w:eastAsia="B Lotus"/>
          <w:b w:val="0"/>
          <w:i w:val="0"/>
          <w:sz w:val="28"/>
          <w:szCs w:val="28"/>
        </w:rPr>
        <w:t>افزون بر ادله نقلی، دو دلیل عقلی نیز بر وجوب وفای به عهد اقامه شده است. دلیل نخست، «حسن و قبح عقلی» است: بر مبنای عدلیه (که حسن و قبح افعال را عقلی می‌دانند)، نقض عهد و پیمان‌شکنی، قبیح ذاتی است؛ زیرا اعتماد عمومی را ـ که بنیاد هرگونه زندگی اجتماعی است ـ ویران می‌کند. حاکم اسلامی نیز از این حکم عقلی مستثنا نیست؛ زیرا قبح نقض عهد، به شخص ناقض بستگی ندارد.</w:t>
      </w:r>
    </w:p>
    <w:p>
      <w:pPr>
        <w:pStyle w:val="TH-Body"/>
        <w:widowControl/>
        <w:bidi w:val="1"/>
        <w:spacing w:before="0" w:after="120" w:line="276" w:lineRule="auto"/>
        <w:jc w:val="both"/>
      </w:pPr>
      <w:r>
        <w:rPr>
          <w:rFonts w:ascii="B Lotus" w:hAnsi="B Lotus" w:cs="B Lotus" w:eastAsia="B Lotus"/>
          <w:b w:val="0"/>
          <w:i w:val="0"/>
          <w:sz w:val="28"/>
          <w:szCs w:val="28"/>
        </w:rPr>
        <w:t>دلیل دوم، «بنای عقلا»ست: عقلای همه جوامع و اعصار، بر لزوم وفای به پیمان توافق داشته‌اند؛ چنان‌که امیرالمؤمنین (علیه‌السلام) نیز در عهدنامه مالک اشتر به همین اجماع عقلایی استناد می‌کند. این بنا، از سوی شارع ردع نشده، بلکه با آیات و روایات پرشمار، تأیید و تقویت شده است (امضا). نتیجه آن‌که وجوب وفا، هم حکم شرعی است و هم حکم عقلایی؛ و همین دوگانگی، آن را به یکی از استوارترین احکام بدل می‌کند.</w:t>
      </w:r>
    </w:p>
    <w:p>
      <w:pPr>
        <w:pStyle w:val="TH-Band"/>
        <w:widowControl/>
        <w:bidi w:val="1"/>
        <w:spacing w:before="200" w:after="120" w:line="276" w:lineRule="auto"/>
        <w:jc w:val="right"/>
      </w:pPr>
      <w:r>
        <w:rPr>
          <w:rFonts w:ascii="B Traffic" w:hAnsi="B Traffic" w:cs="B Traffic" w:eastAsia="B Traffic"/>
          <w:b/>
          <w:i w:val="0"/>
          <w:sz w:val="28"/>
          <w:szCs w:val="28"/>
        </w:rPr>
        <w:t>بند دوم: اقوال فقها؛ از متقدمان تا معاصران</w:t>
      </w:r>
    </w:p>
    <w:p>
      <w:pPr>
        <w:pStyle w:val="TH-Body"/>
        <w:widowControl/>
        <w:bidi w:val="1"/>
        <w:spacing w:before="0" w:after="120" w:line="276" w:lineRule="auto"/>
        <w:jc w:val="both"/>
      </w:pPr>
      <w:r>
        <w:rPr>
          <w:rFonts w:ascii="B Lotus" w:hAnsi="B Lotus" w:cs="B Lotus" w:eastAsia="B Lotus"/>
          <w:b w:val="0"/>
          <w:i w:val="0"/>
          <w:sz w:val="28"/>
          <w:szCs w:val="28"/>
        </w:rPr>
        <w:t>فقهای امامیه در ابواب «جهاد»، «صلح»، «شروط» و «امان»، به احکام پیمان پرداخته‌اند و قول مشهور آنان، وجوب وفای به عهد ـ حتی با کفار ـ در فرض پایبندی طرف مقابل است. شیخ طوسی در مبسوط، محقق حلی در شرائع‌الاسلام، علامه حلی در تذکرة‌الفقهاء، شهید ثانی در مسالک‌الافهام، و صاحب جواهر در جواهرالکلام، در کتاب الجهاد به تفصیل، شرایط صلح و هدنه و احکام نقض آن را بررسی کرده‌اند و همگی بر اصل وفا اتفاق دارند.</w:t>
      </w:r>
      <w:r>
        <w:rPr>
          <w:rFonts w:ascii="B Lotus" w:hAnsi="B Lotus" w:cs="B Lotus" w:eastAsia="B Lotus"/>
          <w:b w:val="0"/>
          <w:i w:val="0"/>
          <w:sz w:val="28"/>
          <w:szCs w:val="28"/>
          <w:vertAlign w:val="superscript"/>
        </w:rPr>
        <w:footnoteReference w:id="36"/>
      </w:r>
      <w:r>
        <w:rPr>
          <w:rFonts w:ascii="B Lotus" w:hAnsi="B Lotus" w:cs="B Lotus" w:eastAsia="B Lotus"/>
          <w:b w:val="0"/>
          <w:i w:val="0"/>
          <w:sz w:val="28"/>
          <w:szCs w:val="28"/>
        </w:rPr>
        <w:t xml:space="preserve"> در باب شروط نیز، شیخ انصاری در مکاسب و مرحوم خویی در مصباح‌الفقاهه، قاعده لزوم وفا به شرط را با استناد به «المؤمنون عند شروطهم» تبیین کرده‌اند.</w:t>
      </w:r>
      <w:r>
        <w:rPr>
          <w:rFonts w:ascii="B Lotus" w:hAnsi="B Lotus" w:cs="B Lotus" w:eastAsia="B Lotus"/>
          <w:b w:val="0"/>
          <w:i w:val="0"/>
          <w:sz w:val="28"/>
          <w:szCs w:val="28"/>
          <w:vertAlign w:val="superscript"/>
        </w:rPr>
        <w:footnoteReference w:id="37"/>
      </w:r>
    </w:p>
    <w:p>
      <w:pPr>
        <w:pStyle w:val="TH-Body"/>
        <w:widowControl/>
        <w:bidi w:val="1"/>
        <w:spacing w:before="0" w:after="120" w:line="276" w:lineRule="auto"/>
        <w:jc w:val="both"/>
      </w:pPr>
      <w:r>
        <w:rPr>
          <w:rFonts w:ascii="B Lotus" w:hAnsi="B Lotus" w:cs="B Lotus" w:eastAsia="B Lotus"/>
          <w:b w:val="0"/>
          <w:i w:val="0"/>
          <w:sz w:val="28"/>
          <w:szCs w:val="28"/>
        </w:rPr>
        <w:t>نقد و جمع‌بندی: نگاهی دقیق به این اقوال نشان می‌دهد که فقها، وجوب وفا را «مطلقِ بی‌قید» ندانسته‌اند، بلکه همواره آن را در شبکه‌ای از شروط و قیود (پایبندی طرف مقابل، عدم ضرر بر مسلمانان، رعایت مصلحت، و اختیار حاکم در موارد خاص) بررسی کرده‌اند. به بیان دیگر، «قول مشهور»، نه ممنوعیت مطلق هرگونه عدول، بلکه «وجوب وفا در چارچوب شروط» است. این دقت، دروازه ورود به فصل چهارم است: اگر فقها خود، شروطی برای وجوب وفا قائل‌اند، باید دید آیا «مصلحت نظام» و «تشخیص حاکم» نیز از جمله این شروط است یا نه.</w:t>
      </w:r>
    </w:p>
    <w:p>
      <w:pPr>
        <w:pStyle w:val="TH-Goftar"/>
        <w:widowControl/>
        <w:bidi w:val="1"/>
        <w:spacing w:before="200" w:after="120" w:line="276" w:lineRule="auto"/>
        <w:jc w:val="right"/>
      </w:pPr>
      <w:r>
        <w:rPr>
          <w:rFonts w:ascii="B Titr" w:hAnsi="B Titr" w:cs="B Titr" w:eastAsia="B Titr"/>
          <w:b/>
          <w:i w:val="0"/>
          <w:sz w:val="32"/>
          <w:szCs w:val="32"/>
        </w:rPr>
        <w:t>حاصل فصل سوم</w:t>
      </w:r>
    </w:p>
    <w:p>
      <w:pPr>
        <w:pStyle w:val="TH-Body"/>
        <w:widowControl/>
        <w:bidi w:val="1"/>
        <w:spacing w:before="0" w:after="120" w:line="276" w:lineRule="auto"/>
        <w:jc w:val="both"/>
      </w:pPr>
      <w:r>
        <w:rPr>
          <w:rFonts w:ascii="B Lotus" w:hAnsi="B Lotus" w:cs="B Lotus" w:eastAsia="B Lotus"/>
          <w:b w:val="0"/>
          <w:i w:val="0"/>
          <w:sz w:val="28"/>
          <w:szCs w:val="28"/>
        </w:rPr>
        <w:t>حاصل این فصل، اثبات «اصل» است: وجوب وفای به عهد، اصلی قرآنی، روایی، سیره‌ای، عقلی و فقهی است که با ادله پرشمار و متقن ثابت می‌شود و هیچ فقیهی در اصل آن تردید نکرده است. اما همین ادله ـ به‌ویژه آیه انباذ (انفال/۵۸)، منطق تقابل در توبه/۴ و ۷، و شروط مذکور در کلمات فقها ـ نشان می‌دهند که این اصل، نظامی «دوسطحی» است: اصل محکم وفا، همراه با سازوکار مشروعِ پایان‌دادن به پیمان در شرایط خاص. ازاین‌رو، پرسش فصل بعد نه «آیا وفا واجب است؟» (که پاسخ آن مثبت و مسلم است)، بلکه «آیا حاکم اسلامی در شرایط خاص می‌تواند از این اصل عدول کند و با چه ضوابطی؟» است.</w:t>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فصل چهارم: اختیار حاکم اسلامی و ضوابط عدول از تعهد</w:t>
      </w:r>
    </w:p>
    <w:p>
      <w:pPr>
        <w:pStyle w:val="TH-Body"/>
        <w:widowControl/>
        <w:bidi w:val="1"/>
        <w:spacing w:before="0" w:after="120" w:line="276" w:lineRule="auto"/>
        <w:jc w:val="both"/>
      </w:pPr>
      <w:r>
        <w:rPr>
          <w:rFonts w:ascii="B Lotus" w:hAnsi="B Lotus" w:cs="B Lotus" w:eastAsia="B Lotus"/>
          <w:b w:val="0"/>
          <w:i w:val="0"/>
          <w:sz w:val="28"/>
          <w:szCs w:val="28"/>
        </w:rPr>
        <w:t>در فصل سوم، «اصل» (وجوب وفای به عهد) اثبات شد. در این فصل، «استثنا» بررسی می‌شود: آیا حاکم اسلامی می‌تواند در شرایطی خاص از این اصل عدول کند؟ این فصل در سه گفتار سامان یافته است: گفتار اول، ادله اختیار حاکم را بررسی می‌کند؛ گفتار دوم، رابطه این ادله با ادله وجوب وفا را می‌سنجد (تعارض، تزاحم، حکومت، تخصیص یا تقیید)؛ و گفتار سوم، ضوابط عدول از تعهد را استخراج می‌کند. این فصل، پاسخ‌گوی بخش اصلی سؤال اصلی و نیز سؤال فرعی دوم است.</w:t>
      </w:r>
    </w:p>
    <w:p>
      <w:pPr>
        <w:pStyle w:val="TH-Goftar"/>
        <w:widowControl/>
        <w:bidi w:val="1"/>
        <w:spacing w:before="200" w:after="120" w:line="276" w:lineRule="auto"/>
        <w:jc w:val="right"/>
      </w:pPr>
      <w:r>
        <w:rPr>
          <w:rFonts w:ascii="B Titr" w:hAnsi="B Titr" w:cs="B Titr" w:eastAsia="B Titr"/>
          <w:b/>
          <w:i w:val="0"/>
          <w:sz w:val="32"/>
          <w:szCs w:val="32"/>
        </w:rPr>
        <w:t>گفتار اول: ادله اختیار حاکم در تعلیق و نقض</w:t>
      </w:r>
    </w:p>
    <w:p>
      <w:pPr>
        <w:pStyle w:val="TH-Band"/>
        <w:widowControl/>
        <w:bidi w:val="1"/>
        <w:spacing w:before="200" w:after="120" w:line="276" w:lineRule="auto"/>
        <w:jc w:val="right"/>
      </w:pPr>
      <w:r>
        <w:rPr>
          <w:rFonts w:ascii="B Traffic" w:hAnsi="B Traffic" w:cs="B Traffic" w:eastAsia="B Traffic"/>
          <w:b/>
          <w:i w:val="0"/>
          <w:sz w:val="28"/>
          <w:szCs w:val="28"/>
        </w:rPr>
        <w:t>بند اول: ولایت عامه فقیه و اطلاق اختیارات حکومتی</w:t>
      </w:r>
    </w:p>
    <w:p>
      <w:pPr>
        <w:pStyle w:val="TH-Body"/>
        <w:widowControl/>
        <w:bidi w:val="1"/>
        <w:spacing w:before="0" w:after="120" w:line="276" w:lineRule="auto"/>
        <w:jc w:val="both"/>
      </w:pPr>
      <w:r>
        <w:rPr>
          <w:rFonts w:ascii="B Lotus" w:hAnsi="B Lotus" w:cs="B Lotus" w:eastAsia="B Lotus"/>
          <w:b w:val="0"/>
          <w:i w:val="0"/>
          <w:sz w:val="28"/>
          <w:szCs w:val="28"/>
        </w:rPr>
        <w:t>نخستین و بنیادی‌ترین دلیل اختیار حاکم، «ولایت عامه فقیه جامع‌الشرایط در عصر غیبت» است. بر مبنای پذیرفته‌شده در این رساله (پیش‌فرض یکم)، فقیه در عصر غیبت، همان ولایتی را دارد که پیامبر (ص) و امام (ع) در امر حکومت داشته‌اند، مگر آن‌چه با دلیل خاص استثنا شده باشد. ادله این ولایت ـ از آیه اولی‌الامر («أَطِیعُوا اللَّهَ وَأَطِیعُوا الرَّسُولَ وَأُولِی الْأَمْرِ مِنْکُمْ»، نساء، ۵۹) و مقبوله عمر بن حنظله و توقیع شریف («وَأَمَّا الْحَوَادِثُ الْوَاقِعَةُ فَارْجِعُوا فِیهَا إِلَى رُوَاةِ حَدِیثِنَا»)</w:t>
      </w:r>
      <w:r>
        <w:rPr>
          <w:rFonts w:ascii="B Lotus" w:hAnsi="B Lotus" w:cs="B Lotus" w:eastAsia="B Lotus"/>
          <w:b w:val="0"/>
          <w:i w:val="0"/>
          <w:sz w:val="28"/>
          <w:szCs w:val="28"/>
          <w:vertAlign w:val="superscript"/>
        </w:rPr>
        <w:footnoteReference w:id="38"/>
      </w:r>
      <w:r>
        <w:rPr>
          <w:rFonts w:ascii="B Lotus" w:hAnsi="B Lotus" w:cs="B Lotus" w:eastAsia="B Lotus"/>
          <w:b w:val="0"/>
          <w:i w:val="0"/>
          <w:sz w:val="28"/>
          <w:szCs w:val="28"/>
        </w:rPr>
        <w:t xml:space="preserve"> تا دلیل عقلی ضرورت حکومت و تعطیل‌ناپذیری احکام ـ در آثار فقها به تفصیل آمده و در این‌جا تکرار نمی‌شود.</w:t>
      </w:r>
      <w:r>
        <w:rPr>
          <w:rFonts w:ascii="B Lotus" w:hAnsi="B Lotus" w:cs="B Lotus" w:eastAsia="B Lotus"/>
          <w:b w:val="0"/>
          <w:i w:val="0"/>
          <w:sz w:val="28"/>
          <w:szCs w:val="28"/>
          <w:vertAlign w:val="superscript"/>
        </w:rPr>
        <w:footnoteReference w:id="39"/>
      </w:r>
    </w:p>
    <w:p>
      <w:pPr>
        <w:pStyle w:val="TH-Body"/>
        <w:widowControl/>
        <w:bidi w:val="1"/>
        <w:spacing w:before="0" w:after="120" w:line="276" w:lineRule="auto"/>
        <w:jc w:val="both"/>
      </w:pPr>
      <w:r>
        <w:rPr>
          <w:rFonts w:ascii="B Lotus" w:hAnsi="B Lotus" w:cs="B Lotus" w:eastAsia="B Lotus"/>
          <w:b w:val="0"/>
          <w:i w:val="0"/>
          <w:sz w:val="28"/>
          <w:szCs w:val="28"/>
        </w:rPr>
        <w:t>آن‌چه برای مسئله حاضر اهمیت دارد، «اطلاق» این ولایت در حوزه اداره نظام است. امام خمینی (رحمة‌الله‌علیه) در نامه مشهور زمستان ۱۳۶۶ درباره اختیارات حکومت اسلامی، حکومت را «شعبه‌ای از ولایت مطلقه رسول‌الله (صلی‌الله‌علیه‌وآله)» و از «احکام اولیه اسلام» دانست که «مقدم بر تمام احکام فرعیه حتی نماز و روزه و حج است».</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مفاد این بیان برای مسئله ما روشن است: اگر اختیار حکومتی ولی فقیه حتی بر عباداتی مانند حج مقدم می‌شود (چنان‌که در ماجرای منع حج در سال‌های پایانی جنگ تحمیلی رخ داد)، به طریق اولی می‌تواند بر «وجوب وفای به یک پیمان سیاسی» ـ که حکمی فرعی و ابزاری است ـ مقدم شود؛ مشروط بر آن‌که شرایط تقدم (مصلحت اهم و ضوابط دیگر) احراز شود.</w:t>
      </w:r>
    </w:p>
    <w:p>
      <w:pPr>
        <w:pStyle w:val="TH-Body"/>
        <w:widowControl/>
        <w:bidi w:val="1"/>
        <w:spacing w:before="0" w:after="120" w:line="276" w:lineRule="auto"/>
        <w:jc w:val="both"/>
      </w:pPr>
      <w:r>
        <w:rPr>
          <w:rFonts w:ascii="B Lotus" w:hAnsi="B Lotus" w:cs="B Lotus" w:eastAsia="B Lotus"/>
          <w:b w:val="0"/>
          <w:i w:val="0"/>
          <w:sz w:val="28"/>
          <w:szCs w:val="28"/>
        </w:rPr>
        <w:t>تحلیل دلالت: استدلال به ولایت عامه، دو مقدمه دارد: مقدمه یکم (کبرا): ولی فقیه در اداره نظام، ولایت عامه دارد و احکام حکومتی او نافذ است. مقدمه دوم (صغرا): تصمیم درباره سرنوشت معاهده بین‌المللی، از شئون اداره نظام است. نتیجه: ولی فقیه در این حوزه اختیار دارد. مقدمه یکم، مبنای پذیرفته‌شده نظام است و مقدمه دوم، بدیهی عرفی است؛ زیرا معاهده بین‌المللی، دولت را در برابر قدرت‌های خارجی متعهد می‌کند و سرنوشت آن، مستقیماً با مصالح نظام گره خورده است. اشکال احتمالی آن است که «ولایت عامه» به معنای «اختیار بی‌حد» نیست؛ پاسخ آن‌که همین اشکال، ما را به ضوابط گفتار سوم می‌رساند: اثبات «اصل اختیار» با دلیل ولایت است، و «تحدید» آن با ضوابط است. خلط میان این دو مقام، منشأ بسیاری از افراط و تفریط‌هاست.</w:t>
      </w:r>
    </w:p>
    <w:p>
      <w:pPr>
        <w:pStyle w:val="TH-Band"/>
        <w:widowControl/>
        <w:bidi w:val="1"/>
        <w:spacing w:before="200" w:after="120" w:line="276" w:lineRule="auto"/>
        <w:jc w:val="right"/>
      </w:pPr>
      <w:r>
        <w:rPr>
          <w:rFonts w:ascii="B Traffic" w:hAnsi="B Traffic" w:cs="B Traffic" w:eastAsia="B Traffic"/>
          <w:b/>
          <w:i w:val="0"/>
          <w:sz w:val="28"/>
          <w:szCs w:val="28"/>
        </w:rPr>
        <w:t>بند دوم: حفظ نظام، مصلحت و قاعده اهم و مهم</w:t>
      </w:r>
    </w:p>
    <w:p>
      <w:pPr>
        <w:pStyle w:val="TH-Body"/>
        <w:widowControl/>
        <w:bidi w:val="1"/>
        <w:spacing w:before="0" w:after="120" w:line="276" w:lineRule="auto"/>
        <w:jc w:val="both"/>
      </w:pPr>
      <w:r>
        <w:rPr>
          <w:rFonts w:ascii="B Lotus" w:hAnsi="B Lotus" w:cs="B Lotus" w:eastAsia="B Lotus"/>
          <w:b w:val="0"/>
          <w:i w:val="0"/>
          <w:sz w:val="28"/>
          <w:szCs w:val="28"/>
        </w:rPr>
        <w:t>دومین دلیل، از ترکیب سه مفهوم «حفظ نظام»، «مصلحت» و «اهم و مهم» به دست می‌آید. «حفظ نظام» ـ به معنای صیانت از کیان نظام اسلامی و جلوگیری از اختلال آن ـ از نظر مشهور فقها، واجب و بلکه از اهم واجبات است. امام خمینی نیز بر این وجوب تأکید ویژه دارد و حفظ نظام جمهوری اسلامی را «از اوجب واجبات» می‌شمارد.</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هرگاه اجرای یک معاهده، بقای نظام یا مصالح اساسی آن را به خطر اندازد، دو واجب در برابر یکدیگر قرار می‌گیرند: «وجوب وفا به عهد» و «وجوب حفظ نظام». در این‌جا قاعده «اهم و مهم» به کار می‌آید: هرگاه دو تکلیف هم‌زمان قابل امتثال نباشند (تزاحم)، تکلیف اهم مقدم می‌شود. از آن‌جا که حفظ نظام ـ که ظرف تحقق همه احکام است ـ اهم از وفا به یک پیمان خاص است، در فرض تزاحم واقعی، حفظ نظام مقدم می‌شود و وجوب وفا به‌طور موقت کنار می‌رود.</w:t>
      </w:r>
    </w:p>
    <w:p>
      <w:pPr>
        <w:pStyle w:val="TH-Body"/>
        <w:widowControl/>
        <w:bidi w:val="1"/>
        <w:spacing w:before="0" w:after="120" w:line="276" w:lineRule="auto"/>
        <w:jc w:val="both"/>
      </w:pPr>
      <w:r>
        <w:rPr>
          <w:rFonts w:ascii="B Lotus" w:hAnsi="B Lotus" w:cs="B Lotus" w:eastAsia="B Lotus"/>
          <w:b w:val="0"/>
          <w:i w:val="0"/>
          <w:sz w:val="28"/>
          <w:szCs w:val="28"/>
        </w:rPr>
        <w:t>اما پیش از پذیرش این استدلال، باید مفاهیم درگیر در آن دقیقاً از یکدیگر تفکیک شوند؛ زیرا خلط آن‌ها، استدلال را مخدوش می‌کند:</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مفهوم</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تعریف فشرده</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نقش در مسئله</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مصلحت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منفعت واقعی و معتبر (اعم از جلب منفعت و دفع مفسده)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مبنای عام تصمیم حکومتی</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ضرورت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نیاز شدید نوعی که بدون رفع آن، نظام دچار اختلال می‌شود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یکی از مصادیق مصلحت مجوز</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اضطرار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وضعیت اکراهی و بی‌چارگی (فردی یا جمعی)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مصداق خاص و شدید ضرورت</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حفظ نظام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صیانت از کیان نظام اسلامی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اهم مصالح و غایت تصمیم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اهم و مهم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قاعده تقدیم تکلیف مهم‌تر در تزاحم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سازوکار حل تعارض ظاهری</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حکم حکومتی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حکم صادرشده از حاکم بر اساس مصلحت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قالب و صورت تصمیم</w:t>
            </w:r>
          </w:p>
        </w:tc>
      </w:tr>
    </w:tbl>
    <w:p>
      <w:pPr>
        <w:spacing w:after="40"/>
      </w:pPr>
    </w:p>
    <w:p>
      <w:pPr>
        <w:pStyle w:val="TH-Body"/>
        <w:widowControl/>
        <w:bidi w:val="1"/>
        <w:spacing w:before="0" w:after="120" w:line="276" w:lineRule="auto"/>
        <w:jc w:val="both"/>
      </w:pPr>
      <w:r>
        <w:rPr>
          <w:rFonts w:ascii="B Lotus" w:hAnsi="B Lotus" w:cs="B Lotus" w:eastAsia="B Lotus"/>
          <w:b w:val="0"/>
          <w:i w:val="0"/>
          <w:sz w:val="28"/>
          <w:szCs w:val="28"/>
        </w:rPr>
        <w:t>از این جدول سه نتیجه به دست می‌آید: نخست، «مصلحت» اعم از «ضرورت» و «اضطرار» است؛ یعنی برای جواز عدول، لازم نیست کار حتماً به مرحله اضطرار (بی‌چارگی مطلق) برسد، بلکه مصلحت واقعیِ اهم نیز کافی است. دوم، «حفظ نظام» خود نوعی مصلحت (و اهم آن‌ها) است، نه مقوله‌ای جدا از مصلحت؛ پس استدلال به حفظ نظام، در واقع استدلال به مصلحت اهم است. سوم، «حکم حکومتی» قالب تصمیم است نه مبنای آن؛ مبنا، مصلحت است و قالب، حکم حکومتی. این تفکیک‌ها، پاسخ‌گوی بخشی از سؤال فرعی دوم است و تفصیل بقیه (شرایط مصلحت، مرجع تشخیص و مانند آن) در گفتار سوم می‌آید.</w:t>
      </w:r>
    </w:p>
    <w:p>
      <w:pPr>
        <w:pStyle w:val="TH-Band"/>
        <w:widowControl/>
        <w:bidi w:val="1"/>
        <w:spacing w:before="200" w:after="120" w:line="276" w:lineRule="auto"/>
        <w:jc w:val="right"/>
      </w:pPr>
      <w:r>
        <w:rPr>
          <w:rFonts w:ascii="B Traffic" w:hAnsi="B Traffic" w:cs="B Traffic" w:eastAsia="B Traffic"/>
          <w:b/>
          <w:i w:val="0"/>
          <w:sz w:val="28"/>
          <w:szCs w:val="28"/>
        </w:rPr>
        <w:t>بند سوم: قواعد ثانوی؛ لاضرر، لاحرج، ضرورت و اضطرار</w:t>
      </w:r>
    </w:p>
    <w:p>
      <w:pPr>
        <w:pStyle w:val="TH-Body"/>
        <w:widowControl/>
        <w:bidi w:val="1"/>
        <w:spacing w:before="0" w:after="120" w:line="276" w:lineRule="auto"/>
        <w:jc w:val="both"/>
      </w:pPr>
      <w:r>
        <w:rPr>
          <w:rFonts w:ascii="B Lotus" w:hAnsi="B Lotus" w:cs="B Lotus" w:eastAsia="B Lotus"/>
          <w:b w:val="0"/>
          <w:i w:val="0"/>
          <w:sz w:val="28"/>
          <w:szCs w:val="28"/>
        </w:rPr>
        <w:t>سومین دسته ادله، قواعد ثانویه‌ای است که در مواردی، حکم اولی را تغییر می‌دهند: قاعده لاضرر («لَا ضَرَرَ وَلَا ضِرَارَ»)،</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قاعده لاحرج («مَا جَعَلَ عَلَیْکُمْ فِی الدِّینِ مِنْ حَرَجٍ»، حج، ۷۸)، و قاعده اضطرار («فَمَنِ اضْطُرَّ غَیْرَ بَاغٍ وَلَا عَادٍ فَلَا إِثْمَ عَلَیْهِ»، بقره، ۱۷۳) و قاعده مشهور «الضَّرُورَاتُ تُبِیحُ الْمَحْظُورَاتِ» (ضرورت‌ها، محظورات را مباح می‌کنند). تقریب استدلال: هرگاه اجرای معاهده، مستلزم «ضرر» بر نظام اسلامی یا «حرج» شدید یا ورود به «اضطرار» باشد، وجوب وفا ـ که حکمی اولی است ـ با این عناوین ثانویه مقید می‌شود و عدول از آن جایز (و گاه واجب) می‌گردد.</w:t>
      </w:r>
    </w:p>
    <w:p>
      <w:pPr>
        <w:pStyle w:val="TH-Body"/>
        <w:widowControl/>
        <w:bidi w:val="1"/>
        <w:spacing w:before="0" w:after="120" w:line="276" w:lineRule="auto"/>
        <w:jc w:val="both"/>
      </w:pPr>
      <w:r>
        <w:rPr>
          <w:rFonts w:ascii="B Lotus" w:hAnsi="B Lotus" w:cs="B Lotus" w:eastAsia="B Lotus"/>
          <w:b w:val="0"/>
          <w:i w:val="0"/>
          <w:sz w:val="28"/>
          <w:szCs w:val="28"/>
        </w:rPr>
        <w:t>نقد و تحلیل: این استدلال، صحیح اما «مؤید» است نه «مبنا»؛ به دو دلیل: نخست، قواعد لاضرر و لاحرج و اضطرار، در اصل ناظر به احکام فردی‌اند و تطبیق آن‌ها بر «دولت» و «نظام» نیازمند توسعه‌ای است که خود باید مستدل شود (هرچند این توسعه، پذیرفتنی است). دوم، این قواعد، «سلبی»‌اند (رفع حکم در فرض ضرر و حرج) و «اختیار ایجابی» حاکم برای مدیریت فعال معاهده (مانند تعلیق تاکتیکی یا مذاکره مجدد) را پوشش نمی‌دهند. ازاین‌رو، مبنای اصلی اختیار حاکم، همان «ولایت و مصلحت» (بندهای اول و دوم) است و قواعد ثانوی، مؤید و مکمل آن‌اند.</w:t>
      </w:r>
    </w:p>
    <w:p>
      <w:pPr>
        <w:pStyle w:val="TH-Band"/>
        <w:widowControl/>
        <w:bidi w:val="1"/>
        <w:spacing w:before="200" w:after="120" w:line="276" w:lineRule="auto"/>
        <w:jc w:val="right"/>
      </w:pPr>
      <w:r>
        <w:rPr>
          <w:rFonts w:ascii="B Traffic" w:hAnsi="B Traffic" w:cs="B Traffic" w:eastAsia="B Traffic"/>
          <w:b/>
          <w:i w:val="0"/>
          <w:sz w:val="28"/>
          <w:szCs w:val="28"/>
        </w:rPr>
        <w:t>بند چهارم: آیه انباذ و منطق تقابل</w:t>
      </w:r>
    </w:p>
    <w:p>
      <w:pPr>
        <w:pStyle w:val="TH-Body"/>
        <w:widowControl/>
        <w:bidi w:val="1"/>
        <w:spacing w:before="0" w:after="120" w:line="276" w:lineRule="auto"/>
        <w:jc w:val="both"/>
      </w:pPr>
      <w:r>
        <w:rPr>
          <w:rFonts w:ascii="B Lotus" w:hAnsi="B Lotus" w:cs="B Lotus" w:eastAsia="B Lotus"/>
          <w:b w:val="0"/>
          <w:i w:val="0"/>
          <w:sz w:val="28"/>
          <w:szCs w:val="28"/>
        </w:rPr>
        <w:t>چهارمین دلیل، تکمیل‌کننده بحث فصل سوم است: آیه انباذ («وَإِمَّا تَخَافَنَّ مِنْ قَوْمٍ خِیَانَةً فَانْبِذْ إِلَیْهِمْ عَلَی سَوَاءٍ»، انفال، ۵۸) و منطق تقابل در توبه/۴ و ۷. چنان‌که گذشت، این آیات نشان می‌دهند که نظام قرآنی وفا، نظامی «مشروط و دوسطحی» است: وفای محکم در فرض پایبندی متقابل، و جواز پایان‌دادنِ اعلام‌شده در فرض خیانت یا خوف عقلایی از خیانت. مخاطب آیه انباذ، «حاکم» (پیامبر به‌مثابه حاکم) است و فعل «فَانْبِذْ» (بیفکن/اعلام کن)، امر به اقدام حکومتی است. پس خودِ قرآن، برای حاکم، «اختیار مدیریتِ پایانِ پیمان» قائل شده است؛ اختیاری که البته مقید به قید «عَلَی سَوَاءٍ» (شفافیت و اعلام) است.</w:t>
      </w:r>
    </w:p>
    <w:p>
      <w:pPr>
        <w:pStyle w:val="TH-Band"/>
        <w:widowControl/>
        <w:bidi w:val="1"/>
        <w:spacing w:before="200" w:after="120" w:line="276" w:lineRule="auto"/>
        <w:jc w:val="right"/>
      </w:pPr>
      <w:r>
        <w:rPr>
          <w:rFonts w:ascii="B Traffic" w:hAnsi="B Traffic" w:cs="B Traffic" w:eastAsia="B Traffic"/>
          <w:b/>
          <w:i w:val="0"/>
          <w:sz w:val="28"/>
          <w:szCs w:val="28"/>
        </w:rPr>
        <w:t>بند پنجم: قاعده نفی سبیل</w:t>
      </w:r>
    </w:p>
    <w:p>
      <w:pPr>
        <w:pStyle w:val="TH-Body"/>
        <w:widowControl/>
        <w:bidi w:val="1"/>
        <w:spacing w:before="0" w:after="120" w:line="276" w:lineRule="auto"/>
        <w:jc w:val="both"/>
      </w:pPr>
      <w:r>
        <w:rPr>
          <w:rFonts w:ascii="B Lotus" w:hAnsi="B Lotus" w:cs="B Lotus" w:eastAsia="B Lotus"/>
          <w:b w:val="0"/>
          <w:i w:val="0"/>
          <w:sz w:val="28"/>
          <w:szCs w:val="28"/>
        </w:rPr>
        <w:t>پنجمین دلیل، قاعده «نفی سبیل» است که از آیه شریفه «وَلَنْ یَجْعَلَ اللَّهُ لِلْکَافِرِینَ عَلَى الْمُؤْمِنِینَ سَبِیلًا» (نساء، ۱۴۱) استنباط شده است: خداوند هرگز برای کافران بر مؤمنان راه سلطه قرار نداده است. فقهای امامیه از این آیه، قاعده‌ای عام استنباط کرده‌اند که به موجب آن، هرگونه رابطه ـ اعم از فردی و حکومتی ـ که به سلطه غیرمسلمانان بر مسلمانان بینجامد، نامشروع است. تقریب استدلال بر مسئله ما: هرگاه اجرای یک معاهده بین‌المللی، موجب سلطه حقوقی، اقتصادی یا امنیتیِ طرف مقابل بر نظام اسلامی شود، ادامه اجرای آن با قاعده نفی سبیل ناسازگار می‌شود و حاکم اسلامی نه‌تنها «می‌تواند»، بلکه «باید» برای رفع این سلطه ـ از جمله از طریق تعلیق یا پایان‌دادن به معاهده ـ اقدام کند.</w:t>
      </w:r>
    </w:p>
    <w:p>
      <w:pPr>
        <w:pStyle w:val="TH-Body"/>
        <w:widowControl/>
        <w:bidi w:val="1"/>
        <w:spacing w:before="0" w:after="120" w:line="276" w:lineRule="auto"/>
        <w:jc w:val="both"/>
      </w:pPr>
      <w:r>
        <w:rPr>
          <w:rFonts w:ascii="B Lotus" w:hAnsi="B Lotus" w:cs="B Lotus" w:eastAsia="B Lotus"/>
          <w:b w:val="0"/>
          <w:i w:val="0"/>
          <w:sz w:val="28"/>
          <w:szCs w:val="28"/>
        </w:rPr>
        <w:t>نقد و تحدید: این استدلال، صحیح اما نیازمند دو تحدید مهم است: تحدید یکم: «سبیل» باید «فعلی و محقق» (یا دست‌کم قریب‌الوقوع و مستند) باشد، نه توهمی و حدسی؛ وگرنه با همین استدلال می‌توان هر معاهده‌ای را ـ از آن‌جا که هر تعهدی نوعی محدودیت است ـ مصداق سبیل دانست و باب معاهدات را به‌کلی بست؛ نتیجه‌ای که بی‌تردید مراد شارع نیست. تحدید دوم: سلطه ممنوع، سلطه «نامتعارف و خارج از حد روابط معمول بین‌المللی» است؛ زیرا نفسِ پذیرش تعهد متقابل، امری متعارف در روابط دولت‌هاست و سبیل محسوب نمی‌شود. با این دو تحدید، قاعده نفی سبیل به مؤیدی قوی ـ در کنار مصلحت و تزاحم ـ بدل می‌شود، به‌ویژه در معاهداتی که اهرم فشار یک‌جانبه بر نظام اسلامی ایجاد می‌کنند.</w:t>
      </w:r>
    </w:p>
    <w:p>
      <w:pPr>
        <w:pStyle w:val="TH-Body"/>
        <w:widowControl/>
        <w:bidi w:val="1"/>
        <w:spacing w:before="0" w:after="120" w:line="276" w:lineRule="auto"/>
        <w:jc w:val="both"/>
      </w:pPr>
      <w:r>
        <w:rPr>
          <w:rFonts w:ascii="B Lotus" w:hAnsi="B Lotus" w:cs="B Lotus" w:eastAsia="B Lotus"/>
          <w:b w:val="0"/>
          <w:i w:val="0"/>
          <w:sz w:val="28"/>
          <w:szCs w:val="28"/>
        </w:rPr>
        <w:t>نتیجه گفتار اول: پنج دسته دلیل (ولایت عامه، مصلحت و اهم و مهم، قواعد ثانوی، آیه انباذ، و قاعده نفی سبیل) بر «اصل اختیار حاکم در مدیریت سرنوشت معاهده» دلالت دارند. قوی‌ترین آن‌ها، دلیل نخست و دوم است و سه دلیل دیگر، مؤید و مکمل‌اند. اکنون باید رابطه این ادله با ادله وجوب وفا سنجیده شود.</w:t>
      </w:r>
    </w:p>
    <w:p>
      <w:pPr>
        <w:pStyle w:val="TH-Goftar"/>
        <w:widowControl/>
        <w:bidi w:val="1"/>
        <w:spacing w:before="200" w:after="120" w:line="276" w:lineRule="auto"/>
        <w:jc w:val="right"/>
      </w:pPr>
      <w:r>
        <w:rPr>
          <w:rFonts w:ascii="B Titr" w:hAnsi="B Titr" w:cs="B Titr" w:eastAsia="B Titr"/>
          <w:b/>
          <w:i w:val="0"/>
          <w:sz w:val="32"/>
          <w:szCs w:val="32"/>
        </w:rPr>
        <w:t>گفتار دوم: رابطه‌سنجی ادله؛ تعارض، تزاحم، حکومت، تخصیص یا تقیید؟</w:t>
      </w:r>
    </w:p>
    <w:p>
      <w:pPr>
        <w:pStyle w:val="TH-Band"/>
        <w:widowControl/>
        <w:bidi w:val="1"/>
        <w:spacing w:before="200" w:after="120" w:line="276" w:lineRule="auto"/>
        <w:jc w:val="right"/>
      </w:pPr>
      <w:r>
        <w:rPr>
          <w:rFonts w:ascii="B Traffic" w:hAnsi="B Traffic" w:cs="B Traffic" w:eastAsia="B Traffic"/>
          <w:b/>
          <w:i w:val="0"/>
          <w:sz w:val="28"/>
          <w:szCs w:val="28"/>
        </w:rPr>
        <w:t>بند اول: نقد فرضیه تعارض</w:t>
      </w:r>
    </w:p>
    <w:p>
      <w:pPr>
        <w:pStyle w:val="TH-Body"/>
        <w:widowControl/>
        <w:bidi w:val="1"/>
        <w:spacing w:before="0" w:after="120" w:line="276" w:lineRule="auto"/>
        <w:jc w:val="both"/>
      </w:pPr>
      <w:r>
        <w:rPr>
          <w:rFonts w:ascii="B Lotus" w:hAnsi="B Lotus" w:cs="B Lotus" w:eastAsia="B Lotus"/>
          <w:b w:val="0"/>
          <w:i w:val="0"/>
          <w:sz w:val="28"/>
          <w:szCs w:val="28"/>
        </w:rPr>
        <w:t>نخستین فرضیه محتمل درباره رابطه ادله وجوب وفا با ادله اختیار حاکم، «تعارض» است؛ یعنی تنافی دو دلیل در مقام «جعل و دلالت»، به‌گونه‌ای که جمع میان آن‌ها ممکن نباشد و ناگزیر یکی بر دیگری مقدم شود (با مرجحات باب تعارض). این فرضیه، هم از سوی قائلان به ممنوعیت مطلق (که ادله اختیار را مردود می‌شمارند) و هم از سوی قائلان به جواز مطلق (که ادله وفا را نادیده می‌گیرند) ـ هرچند غالباً ناآگاهانه ـ پذیرفته شده است.</w:t>
      </w:r>
    </w:p>
    <w:p>
      <w:pPr>
        <w:pStyle w:val="TH-Body"/>
        <w:widowControl/>
        <w:bidi w:val="1"/>
        <w:spacing w:before="0" w:after="120" w:line="276" w:lineRule="auto"/>
        <w:jc w:val="both"/>
      </w:pPr>
      <w:r>
        <w:rPr>
          <w:rFonts w:ascii="B Lotus" w:hAnsi="B Lotus" w:cs="B Lotus" w:eastAsia="B Lotus"/>
          <w:b w:val="0"/>
          <w:i w:val="0"/>
          <w:sz w:val="28"/>
          <w:szCs w:val="28"/>
        </w:rPr>
        <w:t>اما این فرضیه قابل نقد است: تعارض در اصطلاح اصولی، تنافی در مقام جعل است؛ یعنی شارع، دو حکم ناسازگار برای یک موضوع در یک شرایط جعل کرده باشد. در مسئله ما، چنین تنافی‌ای وجود ندارد؛ زیرا ادله وفا، «حکم اولیِ» پیمان را بیان می‌کنند (وفا واجب است) و ادله اختیار حاکم، «حکمِ» مرحله دیگری را بیان می‌کنند (حاکم می‌تواند در فرض مصلحت، مدیریت کند). این دو حکم، ناظر به دو «مقام» متفاوت‌اند (مقام ثبوت تکلیف فردی/عمومی، و مقام اداره نظام) و تنافی جعلی میان آن‌ها نیست؛ چنان‌که وجوب نماز با جواز افطار مسافر نیز متعارض نیست، بلکه هر یک ناظر به شرایط خود است. به بیان دیگر، شارعی که هم وفا را واجب کرده و هم برای حاکم اختیار قرار داده، خود، نظامِ جمع را نیز (از طریق مصلحت‌سنجی و تزاحم) پیش‌بینی کرده است.</w:t>
      </w:r>
    </w:p>
    <w:p>
      <w:pPr>
        <w:pStyle w:val="TH-Band"/>
        <w:widowControl/>
        <w:bidi w:val="1"/>
        <w:spacing w:before="200" w:after="120" w:line="276" w:lineRule="auto"/>
        <w:jc w:val="right"/>
      </w:pPr>
      <w:r>
        <w:rPr>
          <w:rFonts w:ascii="B Traffic" w:hAnsi="B Traffic" w:cs="B Traffic" w:eastAsia="B Traffic"/>
          <w:b/>
          <w:i w:val="0"/>
          <w:sz w:val="28"/>
          <w:szCs w:val="28"/>
        </w:rPr>
        <w:t>بند دوم: اثبات تزاحم و نظر مختار</w:t>
      </w:r>
    </w:p>
    <w:p>
      <w:pPr>
        <w:pStyle w:val="TH-Body"/>
        <w:widowControl/>
        <w:bidi w:val="1"/>
        <w:spacing w:before="0" w:after="120" w:line="276" w:lineRule="auto"/>
        <w:jc w:val="both"/>
      </w:pPr>
      <w:r>
        <w:rPr>
          <w:rFonts w:ascii="B Lotus" w:hAnsi="B Lotus" w:cs="B Lotus" w:eastAsia="B Lotus"/>
          <w:b w:val="0"/>
          <w:i w:val="0"/>
          <w:sz w:val="28"/>
          <w:szCs w:val="28"/>
        </w:rPr>
        <w:t>فرضیه صحیح ـ به نظر نگارنده ـ «تزاحم» است: تنافی دو حکم در مقام «امتثال»، با وجود سازگاری آن‌ها در مقام جعل. حاکم اسلامی در شرایط عادی، هم مکلف به وفاست و هم مأمور به اداره نظام؛ و این دو تکلیف، غالباً قابل جمع‌اند (اداره نظام از طریق وفا به پیمان‌های مفید). اما در شرایط خاص، جمع میان آن‌ها ممکن نیست: یا باید وفا کرد و مصلحت اهم نظام را فدا کرد، یا باید مصلحت اهم را گرفت و از وفا عدول کرد. این، تعریف دقیق تزاحم است و راه‌حل آن نیز در اصول فقه روشن است: تقدیم «اهم» بر «مهم».</w:t>
      </w:r>
    </w:p>
    <w:p>
      <w:pPr>
        <w:pStyle w:val="TH-Body"/>
        <w:widowControl/>
        <w:bidi w:val="1"/>
        <w:spacing w:before="0" w:after="120" w:line="276" w:lineRule="auto"/>
        <w:jc w:val="both"/>
      </w:pPr>
      <w:r>
        <w:rPr>
          <w:rFonts w:ascii="B Lotus" w:hAnsi="B Lotus" w:cs="B Lotus" w:eastAsia="B Lotus"/>
          <w:b w:val="0"/>
          <w:i w:val="0"/>
          <w:sz w:val="28"/>
          <w:szCs w:val="28"/>
        </w:rPr>
        <w:t>اما سه تقریر رقیب نیز وجود دارد که باید بررسی شود: تقریر «حکومت» (این‌که دلیل اختیار حاکم، حاکم و ناظر بر دلیل وجوب وفا و مُضیِّق آن است)؛ تقریر «تخصیص» (این‌که ادله اختیار، مخصصِ عموم ادله وفا و مُخرِجِ مورد حکم حکومتی از شمول آن است)؛ و تقریر «تقیید» (این‌که وجوب وفا از ابتدا مقید به «عدم حکم حکومتی برخلاف» بوده است). تحلیل نگارنده آن است که هر سه تقریر، در «نتیجه عملی» به یک‌جا می‌رسند (مقدم‌شدن تصمیم مصلحت‌سنجیده حاکم) و اختلاف آن‌ها، غالباً لفظی ـ تحلیلی است؛ اما دقیق‌ترین صورت‌بندی، همان «تزاحم» است، به دو دلیل: نخست، تزاحم، «موقت‌بودن» عدول را بهتر توضیح می‌دهد (در تزاحم، تکلیف مهم ساقط نمی‌شود، بلکه به‌طور موقت کنار می‌رود و با رفع تزاحم بازمی‌گردد؛ و این، دقیقاً منطق «تعلیق» است). دوم، تزاحم، «شرط اهم‌بودن» را در خود دارد (تقدم بدون احراز اهم‌بودن، موجه نیست)؛ در حالی که تقریرهای حکومت و تخصیص، اگر بدون قید اهم‌بودن فهم شوند، راه را برای سوءاستفاده و توسعه بی‌ضابطه اختیار می‌گشایند.</w:t>
      </w:r>
    </w:p>
    <w:p>
      <w:pPr>
        <w:pStyle w:val="TH-Body"/>
        <w:widowControl/>
        <w:bidi w:val="1"/>
        <w:spacing w:before="0" w:after="120" w:line="276" w:lineRule="auto"/>
        <w:jc w:val="both"/>
      </w:pPr>
      <w:r>
        <w:rPr>
          <w:rFonts w:ascii="B Lotus" w:hAnsi="B Lotus" w:cs="B Lotus" w:eastAsia="B Lotus"/>
          <w:b w:val="0"/>
          <w:i w:val="0"/>
          <w:sz w:val="28"/>
          <w:szCs w:val="28"/>
        </w:rPr>
        <w:t>نظر مختار: رابطه ادله وجوب وفا با ادله اختیار حاکم، از نوع «تزاحم» است و راه‌حل آن، قاعده «اهم و مهم» در قالب «حکم حکومتیِ» مصلحت‌سنجیده است. بر همین اساس، می‌توان طیفی از شدت عدول ترسیم کرد: (۱) تعلیق موقت و جزئی (کمترین عدول، نیازمند کمترین حد احراز)؛ (۲) تعلیق نامعین تا رفع مانع؛ (۳) انباذ اعلام‌شده و پایان‌دادن شفاف به پیمان (با رعایت آیین)؛ (۴) نقض واکنشی در برابر نقض طرف مقابل؛ و (۵) غدر و پیمان‌شکنی پنهانی (ممنوع مطلق، در هیچ فرضی جایز نیست). هرچه در این طیف به سمت عدول شدیدتر حرکت کنیم، درجه اطمینان لازم به مصلحت و اهم‌بودن آن بالاتر می‌رود؛ اصلی که می‌توان آن را «تناسب میان شدت عدول و درجه اطمینان» نامید.</w:t>
      </w:r>
    </w:p>
    <w:p>
      <w:pPr>
        <w:pStyle w:val="TH-Goftar"/>
        <w:widowControl/>
        <w:bidi w:val="1"/>
        <w:spacing w:before="200" w:after="120" w:line="276" w:lineRule="auto"/>
        <w:jc w:val="right"/>
      </w:pPr>
      <w:r>
        <w:rPr>
          <w:rFonts w:ascii="B Titr" w:hAnsi="B Titr" w:cs="B Titr" w:eastAsia="B Titr"/>
          <w:b/>
          <w:i w:val="0"/>
          <w:sz w:val="32"/>
          <w:szCs w:val="32"/>
        </w:rPr>
        <w:t>گفتار سوم: ضوابط هشت‌گانه عدول از تعهد</w:t>
      </w:r>
    </w:p>
    <w:p>
      <w:pPr>
        <w:pStyle w:val="TH-Body"/>
        <w:widowControl/>
        <w:bidi w:val="1"/>
        <w:spacing w:before="0" w:after="120" w:line="276" w:lineRule="auto"/>
        <w:jc w:val="both"/>
      </w:pPr>
      <w:r>
        <w:rPr>
          <w:rFonts w:ascii="B Lotus" w:hAnsi="B Lotus" w:cs="B Lotus" w:eastAsia="B Lotus"/>
          <w:b w:val="0"/>
          <w:i w:val="0"/>
          <w:sz w:val="28"/>
          <w:szCs w:val="28"/>
        </w:rPr>
        <w:t>اکنون که اصل اختیار (گفتار اول) و مبنای نظری آن (گفتار دوم) روشن شد، باید به پرسش اصلی سؤال فرعی دوم پاسخ داد: ضوابط فقهی عدول از تعهد کدام است؟ نگارنده با استقرا در ادله پیشین، هشت ضابطه استخراج کرده که در سه دسته سامان می‌یابند:</w:t>
      </w:r>
    </w:p>
    <w:p>
      <w:pPr>
        <w:pStyle w:val="TH-Band"/>
        <w:widowControl/>
        <w:bidi w:val="1"/>
        <w:spacing w:before="200" w:after="120" w:line="276" w:lineRule="auto"/>
        <w:jc w:val="right"/>
      </w:pPr>
      <w:r>
        <w:rPr>
          <w:rFonts w:ascii="B Traffic" w:hAnsi="B Traffic" w:cs="B Traffic" w:eastAsia="B Traffic"/>
          <w:b/>
          <w:i w:val="0"/>
          <w:sz w:val="28"/>
          <w:szCs w:val="28"/>
        </w:rPr>
        <w:t>بند اول: ضوابط ناظر به مبنا</w:t>
      </w:r>
    </w:p>
    <w:p>
      <w:pPr>
        <w:pStyle w:val="TH-Body"/>
        <w:widowControl/>
        <w:bidi w:val="1"/>
        <w:spacing w:before="0" w:after="120" w:line="276" w:lineRule="auto"/>
        <w:jc w:val="both"/>
      </w:pPr>
      <w:r>
        <w:rPr>
          <w:rFonts w:ascii="B Lotus" w:hAnsi="B Lotus" w:cs="B Lotus" w:eastAsia="B Lotus"/>
          <w:b w:val="0"/>
          <w:i w:val="0"/>
          <w:sz w:val="28"/>
          <w:szCs w:val="28"/>
        </w:rPr>
        <w:t>ضابطه یکم ـ احراز مصلحت واقعی و اهم: نخستین و مهم‌ترین ضابطه آن است که عدول، مبتنی بر «مصلحت واقعی» (نه موهوم و حدسی) و «اهم از وفا» (نه هم‌سنگ یا کم‌اهمیت‌تر) باشد. مصلحت شخصی، جناحی یا مقطعی، مجوز عدول نیست؛ و مصلحتی که با وفا قابل جمع است، مجوز عدول نیست. معیار اهم‌بودن، عقلایی ـ عرفی است: آن‌چه عقلای خبره و بی‌طرف، در مقام مقایسه، مهم‌تر بدانند؛ مانند حفظ کیان نظام در برابر وفا به یک قرارداد تجاری.</w:t>
      </w:r>
    </w:p>
    <w:p>
      <w:pPr>
        <w:pStyle w:val="TH-Body"/>
        <w:widowControl/>
        <w:bidi w:val="1"/>
        <w:spacing w:before="0" w:after="120" w:line="276" w:lineRule="auto"/>
        <w:jc w:val="both"/>
      </w:pPr>
      <w:r>
        <w:rPr>
          <w:rFonts w:ascii="B Lotus" w:hAnsi="B Lotus" w:cs="B Lotus" w:eastAsia="B Lotus"/>
          <w:b w:val="0"/>
          <w:i w:val="0"/>
          <w:sz w:val="28"/>
          <w:szCs w:val="28"/>
        </w:rPr>
        <w:t>ضابطه دوم ـ انتفای راه‌حل کم‌هزینه‌تر (اصل حداقلی‌بودن): عدول از تعهد، آخرین راه‌حل است نه نخستین آن. پیش از عدول، باید راه‌های حقوقی پیش‌بینی‌شده در خود معاهده (شرط خاتمه، شرط بازنگری، سازوکار حل اختلاف) و راه‌های پیش‌بینی‌شده در کنوانسیون وین (مذاکره مجدد، تعلیق توافقی) آزموده شود یا دست‌کم به‌صورت مستدل، بی‌فایده تشخیص داده شود. همچنین در میان صورت‌های عدول، کم‌شدت‌ترین صورتِ کافی (ترجیح تعلیق جزئی بر کلی، و تعلیق بر نقض) باید برگزیده شود. مبنای این ضابطه، قاعده «الضرورات تتقدر بقدرها» (ضرورت‌ها به‌اندازه خودشان تقدیر می‌شوند) است.</w:t>
      </w:r>
    </w:p>
    <w:p>
      <w:pPr>
        <w:pStyle w:val="TH-Band"/>
        <w:widowControl/>
        <w:bidi w:val="1"/>
        <w:spacing w:before="200" w:after="120" w:line="276" w:lineRule="auto"/>
        <w:jc w:val="right"/>
      </w:pPr>
      <w:r>
        <w:rPr>
          <w:rFonts w:ascii="B Traffic" w:hAnsi="B Traffic" w:cs="B Traffic" w:eastAsia="B Traffic"/>
          <w:b/>
          <w:i w:val="0"/>
          <w:sz w:val="28"/>
          <w:szCs w:val="28"/>
        </w:rPr>
        <w:t>بند دوم: ضوابط ناظر به مرجع و فرایند</w:t>
      </w:r>
    </w:p>
    <w:p>
      <w:pPr>
        <w:pStyle w:val="TH-Body"/>
        <w:widowControl/>
        <w:bidi w:val="1"/>
        <w:spacing w:before="0" w:after="120" w:line="276" w:lineRule="auto"/>
        <w:jc w:val="both"/>
      </w:pPr>
      <w:r>
        <w:rPr>
          <w:rFonts w:ascii="B Lotus" w:hAnsi="B Lotus" w:cs="B Lotus" w:eastAsia="B Lotus"/>
          <w:b w:val="0"/>
          <w:i w:val="0"/>
          <w:sz w:val="28"/>
          <w:szCs w:val="28"/>
        </w:rPr>
        <w:t>ضابطه سوم ـ تشخیص توسط ولی فقیه با مشورت کارشناسی: مرجع نهایی تشخیص مصلحت مجوزِ عدول، ولی فقیه است؛ زیرا هم شرعاً (ولایت عامه) و هم قانوناً (اصل ۵۷ و ۱۱۰) مسئولیت اداره نظام با اوست. اما این تشخیص، فردی و بدون مشورت نیست؛ بلکه باید مبتنی بر مشورت با خبرگان و نهادهای کارشناسی (از جمله مجمع تشخیص مصلحت نظام موضوع اصل ۱۱۲ و شورای عالی امنیت ملی موضوع اصل ۱۷۶ که مصوبات آن پس از تأیید مقام رهبری قابل اجراست)</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باشد. به بیان دیگر، «تصمیم» با ولی فقیه است، اما «کارشناسی» با نهادهای تخصصی است؛ و تصمیم بدون پشتوانه کارشناسی، با ضابطه یکم (احراز واقعی) ناسازگار است.</w:t>
      </w:r>
    </w:p>
    <w:p>
      <w:pPr>
        <w:pStyle w:val="TH-Body"/>
        <w:widowControl/>
        <w:bidi w:val="1"/>
        <w:spacing w:before="0" w:after="120" w:line="276" w:lineRule="auto"/>
        <w:jc w:val="both"/>
      </w:pPr>
      <w:r>
        <w:rPr>
          <w:rFonts w:ascii="B Lotus" w:hAnsi="B Lotus" w:cs="B Lotus" w:eastAsia="B Lotus"/>
          <w:b w:val="0"/>
          <w:i w:val="0"/>
          <w:sz w:val="28"/>
          <w:szCs w:val="28"/>
        </w:rPr>
        <w:t>ضابطه چهارم ـ تناسب: میان «شدت عدول» و «شدت مصلحت» باید تناسب باشد. تعلیق موقت یک بند از معاهده، با مصلحتی در حد خود توجیه می‌شود؛ اما نقض کلی و دائم یک معاهده بنیادین، مصلحتی در حد خود (مانند دفع خطر وجودی از نظام) می‌طلبد. این ضابطه، مانع آن است که برای مصالح کوچک، هزینه‌های بزرگ (از جمله مسئولیت بین‌المللی سنگین) بر کشور تحمیل شود.</w:t>
      </w:r>
    </w:p>
    <w:p>
      <w:pPr>
        <w:pStyle w:val="TH-Body"/>
        <w:widowControl/>
        <w:bidi w:val="1"/>
        <w:spacing w:before="0" w:after="120" w:line="276" w:lineRule="auto"/>
        <w:jc w:val="both"/>
      </w:pPr>
      <w:r>
        <w:rPr>
          <w:rFonts w:ascii="B Lotus" w:hAnsi="B Lotus" w:cs="B Lotus" w:eastAsia="B Lotus"/>
          <w:b w:val="0"/>
          <w:i w:val="0"/>
          <w:sz w:val="28"/>
          <w:szCs w:val="28"/>
        </w:rPr>
        <w:t>ضابطه پنجم ـ موقت‌بودن در تعلیق: هرگاه قالب تصمیم، «تعلیق» باشد، باید افق زمانی یا شرط بازگشت آن روشن شود؛ زیرا منطق تزاحم (که مبنای نظری این رساله است) اقتضا می‌کند که با رفع تزاحم، تکلیف مهم (وفا) بازگردد. تعلیقِ بی‌افق و نامعین، در عمل به نقض می‌انجامد و از شمول جواز تعلیق بیرون است.</w:t>
      </w:r>
    </w:p>
    <w:p>
      <w:pPr>
        <w:pStyle w:val="TH-Band"/>
        <w:widowControl/>
        <w:bidi w:val="1"/>
        <w:spacing w:before="200" w:after="120" w:line="276" w:lineRule="auto"/>
        <w:jc w:val="right"/>
      </w:pPr>
      <w:r>
        <w:rPr>
          <w:rFonts w:ascii="B Traffic" w:hAnsi="B Traffic" w:cs="B Traffic" w:eastAsia="B Traffic"/>
          <w:b/>
          <w:i w:val="0"/>
          <w:sz w:val="28"/>
          <w:szCs w:val="28"/>
        </w:rPr>
        <w:t>بند سوم: ضوابط ناظر به شکل و آثار</w:t>
      </w:r>
    </w:p>
    <w:p>
      <w:pPr>
        <w:pStyle w:val="TH-Body"/>
        <w:widowControl/>
        <w:bidi w:val="1"/>
        <w:spacing w:before="0" w:after="120" w:line="276" w:lineRule="auto"/>
        <w:jc w:val="both"/>
      </w:pPr>
      <w:r>
        <w:rPr>
          <w:rFonts w:ascii="B Lotus" w:hAnsi="B Lotus" w:cs="B Lotus" w:eastAsia="B Lotus"/>
          <w:b w:val="0"/>
          <w:i w:val="0"/>
          <w:sz w:val="28"/>
          <w:szCs w:val="28"/>
        </w:rPr>
        <w:t>ضابطه ششم ـ اعلام و شفافیت (انباذ علی سواء): پایان‌دادن به پیمان یا تعلیق آن، باید «آشکار و اعلام‌شده» باشد، نه پنهانی و غافلگیرانه. مبنای قرآنی این ضابطه، قید «عَلَى سَوَاءٍ» در آیه انباذ است و مبنای حقوقی آن، آیین اطلاع‌رسانی مواد ۶۵ تا ۶۸ کنوانسیون وین است. غدر (پیمان‌شکنی پنهانی) در هیچ فرضی جایز نیست و از دایره اختیار حاکم بیرون است. رعایت این ضابطه، افزون بر وجاهت شرعی، آثار حقوقی نیز دارد: چنان‌که در فصل پنجم خواهد آمد، رفتار شفاف و مستدل، در ارزیابی مسئولیت بین‌المللی نیز مؤثر است.</w:t>
      </w:r>
    </w:p>
    <w:p>
      <w:pPr>
        <w:pStyle w:val="TH-Body"/>
        <w:widowControl/>
        <w:bidi w:val="1"/>
        <w:spacing w:before="0" w:after="120" w:line="276" w:lineRule="auto"/>
        <w:jc w:val="both"/>
      </w:pPr>
      <w:r>
        <w:rPr>
          <w:rFonts w:ascii="B Lotus" w:hAnsi="B Lotus" w:cs="B Lotus" w:eastAsia="B Lotus"/>
          <w:b w:val="0"/>
          <w:i w:val="0"/>
          <w:sz w:val="28"/>
          <w:szCs w:val="28"/>
        </w:rPr>
        <w:t>ضابطه هفتم ـ عدم مخالفت با قواعد آمره و اصول بنیادین: اختیار حاکم، سقف دارد و سقف آن، قواعد آمره حقوق بین‌الملل (مانند منع تجاوز، منع نسل‌کشی و اصول بنیادین بشردوستانه) و احکام قطعی شرع است. هیچ مصلحتی ـ هر اندازه بزرگ ـ نمی‌تواند مجوز نقض این قواعد باشد؛ زیرا مصلحتِ مخالِفِ قطعیات، مصلحت واقعی نیست. این ضابطه، مرز میان «اختیار مقید» (نظر مختار) و «اختیار مطلق» (نظر مردود) است.</w:t>
      </w:r>
    </w:p>
    <w:p>
      <w:pPr>
        <w:pStyle w:val="TH-Body"/>
        <w:widowControl/>
        <w:bidi w:val="1"/>
        <w:spacing w:before="0" w:after="120" w:line="276" w:lineRule="auto"/>
        <w:jc w:val="both"/>
      </w:pPr>
      <w:r>
        <w:rPr>
          <w:rFonts w:ascii="B Lotus" w:hAnsi="B Lotus" w:cs="B Lotus" w:eastAsia="B Lotus"/>
          <w:b w:val="0"/>
          <w:i w:val="0"/>
          <w:sz w:val="28"/>
          <w:szCs w:val="28"/>
        </w:rPr>
        <w:t>ضابطه هشتم ـ پذیرش آثار و جبران‌پذیری: تصمیم به عدول، باید با «آگاهی از هزینه‌ها» و «پذیرش آثار» آن ـ از جمله مسئولیت بین‌المللی احتمالی ـ اتخاذ شود و سازوکار جبران (در حد ممکن) پیش‌بینی گردد. تصمیمی که بدون محاسبه هزینه اتخاذ شود، با حزم و احتیاطِ لازمِ حاکم اسلامی ناسازگار است. تفصیل آثار، موضوع فصل پنجم است؛ اما اصلِ «مسئولیت‌پذیری»، خود ضابطه‌ای فقهی است: حاکم اسلامی، هم در برابر خدا و هم در برابر امت و هم در برابر جامعه بین‌المللی، پاسخ‌گوی تصمیم خویش است.</w:t>
      </w:r>
    </w:p>
    <w:p>
      <w:pPr>
        <w:pStyle w:val="TH-Body"/>
        <w:widowControl/>
        <w:bidi w:val="1"/>
        <w:spacing w:before="0" w:after="120" w:line="276" w:lineRule="auto"/>
        <w:jc w:val="both"/>
      </w:pPr>
      <w:r>
        <w:rPr>
          <w:rFonts w:ascii="B Lotus" w:hAnsi="B Lotus" w:cs="B Lotus" w:eastAsia="B Lotus"/>
          <w:b w:val="0"/>
          <w:i w:val="0"/>
          <w:sz w:val="28"/>
          <w:szCs w:val="28"/>
        </w:rPr>
        <w:t>این ضوابط هشت‌گانه در جدول زیر خلاصه شده است:</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ضابطه</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دسته</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خلاصه</w:t>
            </w:r>
          </w:p>
        </w:tc>
        <w:tc>
          <w:tcPr>
            <w:tcW w:type="dxa" w:w="2268"/>
            <w:shd w:val="clear" w:fill="D9D9D9"/>
          </w:tcPr>
          <w:p>
            <w:pPr>
              <w:widowControl/>
              <w:bidi w:val="1"/>
              <w:spacing w:before="40" w:after="40" w:line="276" w:lineRule="auto"/>
              <w:jc w:val="center"/>
            </w:pPr>
            <w:r/>
            <w:r>
              <w:rPr>
                <w:rFonts w:ascii="B Lotus" w:hAnsi="B Lotus" w:cs="B Lotus" w:eastAsia="B Lotus"/>
                <w:b/>
                <w:i w:val="0"/>
                <w:sz w:val="24"/>
                <w:szCs w:val="24"/>
              </w:rPr>
              <w:t>مبنای اصلی</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۱. مصلحت واقعی و اهم</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مبنا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نه موهوم، نه شخصی، و اهم از وفا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قاعده اهم و مهم</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۲. حداقلی‌بودن</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مبنا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آخرین راه‌حل؛ کم‌شدت‌ترین صورت کافی</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الضرورات تتقدر بقدرها</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۳. تشخیص ولی فقیه با مشورت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مرجع و فرایند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تصمیم با ولی، کارشناسی با نهادها</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ولایت عامه؛ اصول ۵۷، ۱۱۲، ۱۷۶</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۴. تناسب</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مرجع و فرایند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تناسب شدت عدول با شدت مصلحت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عقل و بنای عقلا</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۵. موقت‌بودن تعلیق</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مرجع و فرایند</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افق زمانی یا شرط بازگشت روشن</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منطق تزاحم</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۶. اعلام و شفافیت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شکل و آثار</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انباذ علی سواء؛ نه غدر</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انفال/۵۸؛ مواد ۶۵ تا ۶۸ وین</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۷. سقف آمره</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شکل و آثار</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عدم مخالفت با jus cogens و قطعیات</w:t>
            </w:r>
          </w:p>
        </w:tc>
        <w:tc>
          <w:tcPr>
            <w:tcW w:type="dxa" w:w="2268"/>
          </w:tcPr>
          <w:p>
            <w:pPr>
              <w:widowControl/>
              <w:bidi w:val="1"/>
              <w:spacing w:before="40" w:after="40" w:line="276" w:lineRule="auto"/>
              <w:jc w:val="center"/>
            </w:pPr>
            <w:r/>
            <w:r>
              <w:rPr>
                <w:rFonts w:ascii="B Lotus" w:hAnsi="B Lotus" w:cs="B Lotus" w:eastAsia="B Lotus"/>
                <w:b w:val="0"/>
                <w:i w:val="0"/>
                <w:sz w:val="24"/>
                <w:szCs w:val="24"/>
              </w:rPr>
              <w:t>ماده ۵۳ وین؛ ادله قطعی شرع</w:t>
            </w:r>
          </w:p>
        </w:tc>
      </w:tr>
      <w:tr>
        <w:tc>
          <w:tcPr>
            <w:tcW w:type="dxa" w:w="2268"/>
          </w:tcPr>
          <w:p>
            <w:pPr>
              <w:widowControl/>
              <w:bidi w:val="1"/>
              <w:spacing w:before="40" w:after="40" w:line="276" w:lineRule="auto"/>
              <w:jc w:val="center"/>
            </w:pPr>
            <w:r/>
            <w:r>
              <w:rPr>
                <w:rFonts w:ascii="B Lotus" w:hAnsi="B Lotus" w:cs="B Lotus" w:eastAsia="B Lotus"/>
                <w:b w:val="0"/>
                <w:i w:val="0"/>
                <w:sz w:val="24"/>
                <w:szCs w:val="24"/>
              </w:rPr>
              <w:t>۸. مسئولیت‌پذیری</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شکل و آثار</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آگاهی از هزینه و پیش‌بینی جبران</w:t>
            </w:r>
          </w:p>
        </w:tc>
        <w:tc>
          <w:tcPr>
            <w:tcW w:type="dxa" w:w="2268"/>
          </w:tcPr>
          <w:p>
            <w:pPr>
              <w:widowControl/>
              <w:bidi w:val="1"/>
              <w:spacing w:before="40" w:after="40" w:line="276" w:lineRule="auto"/>
              <w:jc w:val="center"/>
            </w:pPr>
            <w:r/>
            <w:r>
              <w:rPr>
                <w:rFonts w:ascii="B Lotus" w:hAnsi="B Lotus" w:cs="B Lotus" w:eastAsia="B Lotus"/>
                <w:b w:val="0"/>
                <w:i w:val="0"/>
                <w:sz w:val="24"/>
                <w:szCs w:val="24"/>
              </w:rPr>
              <w:t>حزم حاکم؛ قواعد مسئولیت</w:t>
            </w:r>
          </w:p>
        </w:tc>
      </w:tr>
    </w:tbl>
    <w:p>
      <w:pPr>
        <w:spacing w:after="40"/>
      </w:pPr>
    </w:p>
    <w:p>
      <w:pPr>
        <w:pStyle w:val="TH-Body"/>
        <w:widowControl/>
        <w:bidi w:val="1"/>
        <w:spacing w:before="0" w:after="120" w:line="276" w:lineRule="auto"/>
        <w:jc w:val="both"/>
      </w:pPr>
      <w:r>
        <w:rPr>
          <w:rFonts w:ascii="B Lotus" w:hAnsi="B Lotus" w:cs="B Lotus" w:eastAsia="B Lotus"/>
          <w:b w:val="0"/>
          <w:i w:val="0"/>
          <w:sz w:val="28"/>
          <w:szCs w:val="28"/>
        </w:rPr>
        <w:t>پاسخ پرسش‌های سؤال فرعی دوم: (۱) آیا هر مصلحتی مجوز عدول است؟ خیر؛ تنها مصلحت واقعی، اهم و احرازشده. (۲) شرایط آن چیست؟ ضوابط هشت‌گانه بالا. (۳) چه کسی تشخیص می‌دهد؟ ولی فقیه، با پشتوانه کارشناسی نهادها. (۴) معیار تشخیص چیست؟ اهم‌بودن عقلایی و احراز واقعی. (۵) حدود اختیار کجاست؟ مقید به همین ضوابط؛ نه مطلق. (۶) آیا ضرورت باید بالفعل باشد یا احتمال عقلایی کافی است؟ تزاحم واقعی شرط است، اما «خوف عقلایی مستند به قرائن» ـ به مقتضای «تَخَافَنَّ» در آیه انباذ ـ کافی است و نیازی به وقوع بالفعل خسارت نیست؛ مشروط بر آن‌که خوف، مستند و عقلایی باشد نه موهوم، و با اصل «تناسب میان شدت عدول و درجه اطمینان» همراه شود.</w:t>
      </w:r>
    </w:p>
    <w:p>
      <w:pPr>
        <w:pStyle w:val="TH-Goftar"/>
        <w:widowControl/>
        <w:bidi w:val="1"/>
        <w:spacing w:before="200" w:after="120" w:line="276" w:lineRule="auto"/>
        <w:jc w:val="right"/>
      </w:pPr>
      <w:r>
        <w:rPr>
          <w:rFonts w:ascii="B Titr" w:hAnsi="B Titr" w:cs="B Titr" w:eastAsia="B Titr"/>
          <w:b/>
          <w:i w:val="0"/>
          <w:sz w:val="32"/>
          <w:szCs w:val="32"/>
        </w:rPr>
        <w:t>حاصل فصل چهارم</w:t>
      </w:r>
    </w:p>
    <w:p>
      <w:pPr>
        <w:pStyle w:val="TH-Body"/>
        <w:widowControl/>
        <w:bidi w:val="1"/>
        <w:spacing w:before="0" w:after="120" w:line="276" w:lineRule="auto"/>
        <w:jc w:val="both"/>
      </w:pPr>
      <w:r>
        <w:rPr>
          <w:rFonts w:ascii="B Lotus" w:hAnsi="B Lotus" w:cs="B Lotus" w:eastAsia="B Lotus"/>
          <w:b w:val="0"/>
          <w:i w:val="0"/>
          <w:sz w:val="28"/>
          <w:szCs w:val="28"/>
        </w:rPr>
        <w:t>حاصل این فصل، پاسخ به بخش فقهی سؤال اصلی و سؤال فرعی دوم است: ولی فقیه در مدیریت سرنوشت معاهدات بین‌المللی، «اختیار» دارد و مبنای این اختیار، ولایت عامه و مصلحت نظام در چارچوب «تزاحم» و قاعده «اهم و مهم» است؛ اما این اختیار، «مقید» به ضوابط هشت‌گانه (مصلحت واقعی و اهم، حداقلی‌بودن، تشخیص ولی فقیه با مشورت، تناسب، موقت‌بودن، اعلام و شفافیت، سقف آمره، و مسئولیت‌پذیری) است. بر همین اساس، «تعلیق موقتِ مصلحت‌سنجیده» اصلِ جایز، و «غدر و پیمان‌شکنی پنهانی» ممنوعِ مطلق است؛ و صورت‌های میانی، تابع شدت عدول و درجه اطمینان‌اند. اکنون باید دید این تصمیمِ مشروعِ داخلی، در سطح بین‌المللی چه سرنوشتی دارد؛ و این، موضوع فصل پنجم است.</w:t>
      </w:r>
    </w:p>
    <w:p>
      <w:r>
        <w:br w:type="page"/>
      </w:r>
    </w:p>
    <w:p/>
    <w:p/>
    <w:p/>
    <w:p/>
    <w:p>
      <w:pPr>
        <w:pStyle w:val="TH-Bakhsh"/>
        <w:widowControl/>
        <w:bidi w:val="1"/>
        <w:spacing w:before="0" w:after="120" w:line="276"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فصل پنجم: مسئولیت بین‌المللی دولت و جایگاه حقوق اساسی تصمیم</w:t>
      </w:r>
    </w:p>
    <w:p>
      <w:pPr>
        <w:pStyle w:val="TH-Body"/>
        <w:widowControl/>
        <w:bidi w:val="1"/>
        <w:spacing w:before="0" w:after="120" w:line="276" w:lineRule="auto"/>
        <w:jc w:val="both"/>
      </w:pPr>
      <w:r>
        <w:rPr>
          <w:rFonts w:ascii="B Lotus" w:hAnsi="B Lotus" w:cs="B Lotus" w:eastAsia="B Lotus"/>
          <w:b w:val="0"/>
          <w:i w:val="0"/>
          <w:sz w:val="28"/>
          <w:szCs w:val="28"/>
        </w:rPr>
        <w:t>در بخش دوم، حکم فقهی مسئله روشن شد: عدول مصلحت‌سنجیده و ضابطه‌مند از تعهد، در چارچوب تزاحم و حکم حکومتی، جایز است. اما این پاسخ، تنها نیمی از مسئله است؛ زیرا تصمیم ولی فقیه، در خلأ اتخاذ نمی‌شود، بلکه در برابر دولت‌های دیگر و در نظام حقوق بین‌الملل آثار دارد. این فصل در چهار گفتار، نخست انتساب تصمیم به دولت، سپس تحقق نقض و تفکیک سه‌گانه سطوح تحلیل، آنگاه اسباب رافع و آثار مسئولیت، و سرانجام جایگاه حقوق اساسی تصمیم را بررسی می‌کند.</w:t>
      </w:r>
    </w:p>
    <w:p>
      <w:pPr>
        <w:pStyle w:val="TH-Goftar"/>
        <w:widowControl/>
        <w:bidi w:val="1"/>
        <w:spacing w:before="200" w:after="120" w:line="276" w:lineRule="auto"/>
        <w:jc w:val="right"/>
      </w:pPr>
      <w:r>
        <w:rPr>
          <w:rFonts w:ascii="B Titr" w:hAnsi="B Titr" w:cs="B Titr" w:eastAsia="B Titr"/>
          <w:b/>
          <w:i w:val="0"/>
          <w:sz w:val="32"/>
          <w:szCs w:val="32"/>
        </w:rPr>
        <w:t>گفتار اول: انتساب تصمیم ولی فقیه به دولت ایران</w:t>
      </w:r>
    </w:p>
    <w:p>
      <w:pPr>
        <w:pStyle w:val="TH-Band"/>
        <w:widowControl/>
        <w:bidi w:val="1"/>
        <w:spacing w:before="200" w:after="120" w:line="276" w:lineRule="auto"/>
        <w:jc w:val="right"/>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76" w:lineRule="auto"/>
        <w:jc w:val="both"/>
      </w:pPr>
      <w:r>
        <w:rPr>
          <w:rFonts w:ascii="B Lotus" w:hAnsi="B Lotus" w:cs="B Lotus" w:eastAsia="B Lotus"/>
          <w:b w:val="0"/>
          <w:i w:val="0"/>
          <w:sz w:val="28"/>
          <w:szCs w:val="28"/>
        </w:rPr>
        <w:t>نخستین رکن مسئولیت بین‌المللی دولت، «انتساب» (Attribution) است: باید رفتار مورد نظر، «رفتار دولت» محسوب شود. به موجب ماده ۱ طرح مواد مسئولیت بین‌المللی دولت‌ها، «هر عمل متخلفانه بین‌المللی دولت، موجب مسئولیت بین‌المللی آن است»؛ و به موجب ماده ۲، عمل متخلفانه دو رکن دارد: (الف) انتساب رفتار به دولت، و (ب) نقض تعهد بین‌المللی.</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قاعده بنیادین انتساب در ماده ۴ آمده است: «رفتار هر رکن دولت ـ اعم از مقننه، مجریه یا قضائیه، و اعم از مرکزی یا محلی، و عالی یا دانی ـ عمل دولت محسوب می‌شود».</w:t>
      </w:r>
      <w:r>
        <w:rPr>
          <w:rFonts w:ascii="B Lotus" w:hAnsi="B Lotus" w:cs="B Lotus" w:eastAsia="B Lotus"/>
          <w:b w:val="0"/>
          <w:i w:val="0"/>
          <w:sz w:val="28"/>
          <w:szCs w:val="28"/>
          <w:vertAlign w:val="superscript"/>
        </w:rPr>
        <w:footnoteReference w:id="45"/>
      </w:r>
    </w:p>
    <w:p>
      <w:pPr>
        <w:pStyle w:val="TH-Body"/>
        <w:widowControl/>
        <w:bidi w:val="1"/>
        <w:spacing w:before="0" w:after="120" w:line="276" w:lineRule="auto"/>
        <w:jc w:val="both"/>
      </w:pPr>
      <w:r>
        <w:rPr>
          <w:rFonts w:ascii="B Lotus" w:hAnsi="B Lotus" w:cs="B Lotus" w:eastAsia="B Lotus"/>
          <w:b w:val="0"/>
          <w:i w:val="0"/>
          <w:sz w:val="28"/>
          <w:szCs w:val="28"/>
        </w:rPr>
        <w:t>دو تکمله مهم بر این قاعده وجود دارد: تکمله یکم (ماده ۷): حتی اگر رکن دولت «از حدود صلاحیت خود تجاوز کرده» یا «برخلاف دستورات» عمل کرده باشد، رفتار او ـ در صورتی که در سمت رسمی انجام شده باشد ـ همچنان به دولت منتسب است.</w:t>
      </w:r>
      <w:r>
        <w:rPr>
          <w:rFonts w:ascii="B Lotus" w:hAnsi="B Lotus" w:cs="B Lotus" w:eastAsia="B Lotus"/>
          <w:b w:val="0"/>
          <w:i w:val="0"/>
          <w:sz w:val="28"/>
          <w:szCs w:val="28"/>
          <w:vertAlign w:val="superscript"/>
        </w:rPr>
        <w:footnoteReference w:id="46"/>
      </w:r>
      <w:r>
        <w:rPr>
          <w:rFonts w:ascii="B Lotus" w:hAnsi="B Lotus" w:cs="B Lotus" w:eastAsia="B Lotus"/>
          <w:b w:val="0"/>
          <w:i w:val="0"/>
          <w:sz w:val="28"/>
          <w:szCs w:val="28"/>
        </w:rPr>
        <w:t xml:space="preserve"> منطق این قاعده، حمایت از اعتماد طرف‌های مقابل است: دولت دیگر نمی‌تواند (و نباید) در صلاحیت‌های داخلی دولت طرف، کندوکاو کند. تکمله دوم (ماده ۱۱): حتی رفتار اشخاص خصوصی نیز، هرگاه دولت آن را «تأیید و به‌مثابه عمل خود بپذیرد»، به دولت منتسب می‌شود.</w:t>
      </w:r>
      <w:r>
        <w:rPr>
          <w:rFonts w:ascii="B Lotus" w:hAnsi="B Lotus" w:cs="B Lotus" w:eastAsia="B Lotus"/>
          <w:b w:val="0"/>
          <w:i w:val="0"/>
          <w:sz w:val="28"/>
          <w:szCs w:val="28"/>
          <w:vertAlign w:val="superscript"/>
        </w:rPr>
        <w:footnoteReference w:id="47"/>
      </w:r>
      <w:r>
        <w:rPr>
          <w:rFonts w:ascii="B Lotus" w:hAnsi="B Lotus" w:cs="B Lotus" w:eastAsia="B Lotus"/>
          <w:b w:val="0"/>
          <w:i w:val="0"/>
          <w:sz w:val="28"/>
          <w:szCs w:val="28"/>
        </w:rPr>
        <w:t xml:space="preserve"> دیوان بین‌المللی دادگستری در قضیه مشهور «کارکنان دیپلماتیک و کنسولی آمریکا در تهران» (۱۹۸۰) همین منطق را به کار بست و رفتار اشغال‌کنندگان سفارت را ـ به دلیل تأیید بعدی مقامات ایران ـ به دولت ایران منتسب دانست.</w:t>
      </w:r>
      <w:r>
        <w:rPr>
          <w:rFonts w:ascii="B Lotus" w:hAnsi="B Lotus" w:cs="B Lotus" w:eastAsia="B Lotus"/>
          <w:b w:val="0"/>
          <w:i w:val="0"/>
          <w:sz w:val="28"/>
          <w:szCs w:val="28"/>
          <w:vertAlign w:val="superscript"/>
        </w:rPr>
        <w:footnoteReference w:id="48"/>
      </w:r>
    </w:p>
    <w:p>
      <w:pPr>
        <w:pStyle w:val="TH-Band"/>
        <w:widowControl/>
        <w:bidi w:val="1"/>
        <w:spacing w:before="200" w:after="120" w:line="276" w:lineRule="auto"/>
        <w:jc w:val="right"/>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76" w:lineRule="auto"/>
        <w:jc w:val="both"/>
      </w:pPr>
      <w:r>
        <w:rPr>
          <w:rFonts w:ascii="B Lotus" w:hAnsi="B Lotus" w:cs="B Lotus" w:eastAsia="B Lotus"/>
          <w:b w:val="0"/>
          <w:i w:val="0"/>
          <w:sz w:val="28"/>
          <w:szCs w:val="28"/>
        </w:rPr>
        <w:t>تطبیق این قواعد بر مسئله ما، قاطع و بی‌ابهام است: ولی فقیه، عالی‌ترین مقام دولت جمهوری اسلامی ایران است و تصمیم او درباره سرنوشت یک معاهده، بی‌تردید «رفتار رکن دولت در سمت رسمی» محسوب می‌شود. بنابراین:</w:t>
      </w:r>
    </w:p>
    <w:p>
      <w:pPr>
        <w:pStyle w:val="TH-Body"/>
        <w:widowControl/>
        <w:bidi w:val="1"/>
        <w:spacing w:before="0" w:after="120" w:line="276" w:lineRule="auto"/>
        <w:jc w:val="both"/>
      </w:pPr>
      <w:r>
        <w:rPr>
          <w:rFonts w:ascii="B Lotus" w:hAnsi="B Lotus" w:cs="B Lotus" w:eastAsia="B Lotus"/>
          <w:b w:val="0"/>
          <w:i w:val="0"/>
          <w:sz w:val="28"/>
          <w:szCs w:val="28"/>
        </w:rPr>
        <w:t>نخست، تصمیم ولی فقیه مبنی بر تعلیق یا نقض معاهده، به دولت جمهوری اسلامی ایران «منتسب» می‌شود؛ خواه این تصمیم در چارچوب صلاحیت‌های مصرح قانون اساسی باشد، خواه فراتر از آن (به مقتضای ماده ۷، تجاوز از صلاحیت داخلی، مانع انتساب نیست).</w:t>
      </w:r>
    </w:p>
    <w:p>
      <w:pPr>
        <w:pStyle w:val="TH-Body"/>
        <w:widowControl/>
        <w:bidi w:val="1"/>
        <w:spacing w:before="0" w:after="120" w:line="276" w:lineRule="auto"/>
        <w:jc w:val="both"/>
      </w:pPr>
      <w:r>
        <w:rPr>
          <w:rFonts w:ascii="B Lotus" w:hAnsi="B Lotus" w:cs="B Lotus" w:eastAsia="B Lotus"/>
          <w:b w:val="0"/>
          <w:i w:val="0"/>
          <w:sz w:val="28"/>
          <w:szCs w:val="28"/>
        </w:rPr>
        <w:t>دوم، به طریق اولی، هرگاه سایر ارکان دولت (رئیس‌جمهور، وزیر امور خارجه، مجلس) تصمیم ولی فقیه را اجرا یا تأیید کنند، رفتار آنان نیز به دولت منتسب است و زنجیره انتساب، کامل می‌شود.</w:t>
      </w:r>
    </w:p>
    <w:p>
      <w:pPr>
        <w:pStyle w:val="TH-Body"/>
        <w:widowControl/>
        <w:bidi w:val="1"/>
        <w:spacing w:before="0" w:after="120" w:line="276" w:lineRule="auto"/>
        <w:jc w:val="both"/>
      </w:pPr>
      <w:r>
        <w:rPr>
          <w:rFonts w:ascii="B Lotus" w:hAnsi="B Lotus" w:cs="B Lotus" w:eastAsia="B Lotus"/>
          <w:b w:val="0"/>
          <w:i w:val="0"/>
          <w:sz w:val="28"/>
          <w:szCs w:val="28"/>
        </w:rPr>
        <w:t>سوم، استدلال به این‌که «تصمیم ولی فقیه، تصمیم شخصی یا مذهبی اوست نه تصمیم دولت»، در حقوق بین‌الملل پذیرفته نیست؛ زیرا ملاک انتساب، «سمت رسمی» است نه انگیزه شخصی؛ و ولی فقیه در نظام جمهوری اسلامی ایران، در عالی‌ترین سمت رسمی قرار دارد.</w:t>
      </w:r>
    </w:p>
    <w:p>
      <w:pPr>
        <w:pStyle w:val="TH-Body"/>
        <w:widowControl/>
        <w:bidi w:val="1"/>
        <w:spacing w:before="0" w:after="120" w:line="276" w:lineRule="auto"/>
        <w:jc w:val="both"/>
      </w:pPr>
      <w:r>
        <w:rPr>
          <w:rFonts w:ascii="B Lotus" w:hAnsi="B Lotus" w:cs="B Lotus" w:eastAsia="B Lotus"/>
          <w:b w:val="0"/>
          <w:i w:val="0"/>
          <w:sz w:val="28"/>
          <w:szCs w:val="28"/>
        </w:rPr>
        <w:t>نتیجه این گفتار: رکن نخست مسئولیت (انتساب) در مسئله ما به‌طور کامل محقق است و هیچ راه گریزی از آن وجود ندارد. پرسش بعدی آن است که آیا رکن دوم (نقض تعهد) نیز محقق می‌شود یا نه.</w:t>
      </w:r>
    </w:p>
    <w:p>
      <w:pPr>
        <w:pStyle w:val="TH-Goftar"/>
        <w:widowControl/>
        <w:bidi w:val="1"/>
        <w:spacing w:before="200" w:after="120" w:line="276" w:lineRule="auto"/>
        <w:jc w:val="right"/>
      </w:pPr>
      <w:r>
        <w:rPr>
          <w:rFonts w:ascii="B Titr" w:hAnsi="B Titr" w:cs="B Titr" w:eastAsia="B Titr"/>
          <w:b/>
          <w:i w:val="0"/>
          <w:sz w:val="32"/>
          <w:szCs w:val="32"/>
        </w:rPr>
        <w:t>گفتار دوم: نقض تعهد و تفکیک سه‌گانه سطوح تحلیل</w:t>
      </w:r>
    </w:p>
    <w:p>
      <w:pPr>
        <w:pStyle w:val="TH-Band"/>
        <w:widowControl/>
        <w:bidi w:val="1"/>
        <w:spacing w:before="200" w:after="120" w:line="276" w:lineRule="auto"/>
        <w:jc w:val="right"/>
      </w:pPr>
      <w:r>
        <w:rPr>
          <w:rFonts w:ascii="B Traffic" w:hAnsi="B Traffic" w:cs="B Traffic" w:eastAsia="B Traffic"/>
          <w:b/>
          <w:i w:val="0"/>
          <w:sz w:val="28"/>
          <w:szCs w:val="28"/>
        </w:rPr>
        <w:t>بند اول: تحقق نقض و بی‌اعتباری توجیه داخلی</w:t>
      </w:r>
    </w:p>
    <w:p>
      <w:pPr>
        <w:pStyle w:val="TH-Body"/>
        <w:widowControl/>
        <w:bidi w:val="1"/>
        <w:spacing w:before="0" w:after="120" w:line="276" w:lineRule="auto"/>
        <w:jc w:val="both"/>
      </w:pPr>
      <w:r>
        <w:rPr>
          <w:rFonts w:ascii="B Lotus" w:hAnsi="B Lotus" w:cs="B Lotus" w:eastAsia="B Lotus"/>
          <w:b w:val="0"/>
          <w:i w:val="0"/>
          <w:sz w:val="28"/>
          <w:szCs w:val="28"/>
        </w:rPr>
        <w:t>به موجب ماده ۱۲ طرح مسئولیت، «نقض تعهد بین‌المللی هنگامی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49"/>
      </w:r>
      <w:r>
        <w:rPr>
          <w:rFonts w:ascii="B Lotus" w:hAnsi="B Lotus" w:cs="B Lotus" w:eastAsia="B Lotus"/>
          <w:b w:val="0"/>
          <w:i w:val="0"/>
          <w:sz w:val="28"/>
          <w:szCs w:val="28"/>
        </w:rPr>
        <w:t xml:space="preserve"> ملاک، «عینی» است: مقایسه رفتار دولت با متن تعهد؛ و انگیزه، حسن نیت یا مجوز داخلی دولت، در «تحقق» نقض نقشی ندارد (هرچند ممکن است در «رافع‌بودن» یا در «تخفیف آثار» مؤثر باشد). بنابراین، هرگاه دولت ایران ـ به هر دلیلی، از جمله تصمیم ولی فقیه ـ از اجرای تعهد معاهده‌ای خود سرباز زند، «نقض» محقق شده است؛ مگر آن‌که رفتار او در قالب یکی از نهادهای موجه (تعلیق موجه، خاتمه موجه، یا اسباب رافع) بگنجد.</w:t>
      </w:r>
    </w:p>
    <w:p>
      <w:pPr>
        <w:pStyle w:val="TH-Body"/>
        <w:widowControl/>
        <w:bidi w:val="1"/>
        <w:spacing w:before="0" w:after="120" w:line="276" w:lineRule="auto"/>
        <w:jc w:val="both"/>
      </w:pPr>
      <w:r>
        <w:rPr>
          <w:rFonts w:ascii="B Lotus" w:hAnsi="B Lotus" w:cs="B Lotus" w:eastAsia="B Lotus"/>
          <w:b w:val="0"/>
          <w:i w:val="0"/>
          <w:sz w:val="28"/>
          <w:szCs w:val="28"/>
        </w:rPr>
        <w:t>در این‌جا ماده ۲۷ کنوانسیون وین ـ که در فصل دوم گذشت ـ نقش قاطع دارد: «هیچ طرفی نمی‌تواند به مقررات حقوق داخلی خود به‌عنوان توجیهی برای عدم اجرای معاهده استناد کند». حکم حکومتی ولی فقیه، مصلحت نظام، و حتی قانون اساسی، همگی از نظر حقوق بین‌الملل، «حقوق داخلی» محسوب می‌شوند و هیچ‌یک نمی‌توانند توجیه عدم اجرا در برابر طرف مقابل باشند. طرح مسئولیت نیز همین منطق را در مرحله جبران تکرار کرده است: دولت مسئول نمی‌تواند برای شانه‌خالی‌کردن از جبران، به حقوق داخلی خود استناد کند.</w:t>
      </w:r>
      <w:r>
        <w:rPr>
          <w:rFonts w:ascii="B Lotus" w:hAnsi="B Lotus" w:cs="B Lotus" w:eastAsia="B Lotus"/>
          <w:b w:val="0"/>
          <w:i w:val="0"/>
          <w:sz w:val="28"/>
          <w:szCs w:val="28"/>
          <w:vertAlign w:val="superscript"/>
        </w:rPr>
        <w:footnoteReference w:id="50"/>
      </w:r>
    </w:p>
    <w:p>
      <w:pPr>
        <w:pStyle w:val="TH-Band"/>
        <w:widowControl/>
        <w:bidi w:val="1"/>
        <w:spacing w:before="200" w:after="120" w:line="276" w:lineRule="auto"/>
        <w:jc w:val="right"/>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76" w:lineRule="auto"/>
        <w:jc w:val="both"/>
      </w:pPr>
      <w:r>
        <w:rPr>
          <w:rFonts w:ascii="B Lotus" w:hAnsi="B Lotus" w:cs="B Lotus" w:eastAsia="B Lotus"/>
          <w:b w:val="0"/>
          <w:i w:val="0"/>
          <w:sz w:val="28"/>
          <w:szCs w:val="28"/>
        </w:rPr>
        <w:t>از بحث بالا، مهم‌ترین تفکیک تحلیلی این رساله به دست می‌آید: سه پرسش باید از یکدیگر جدا شوند، زیرا هر یک مرجع داوری، معیار و پاسخ خاص خود را دارد:</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814"/>
            <w:shd w:val="clear" w:fill="D9D9D9"/>
          </w:tcPr>
          <w:p>
            <w:pPr>
              <w:widowControl/>
              <w:bidi w:val="1"/>
              <w:spacing w:before="40" w:after="40" w:line="276" w:lineRule="auto"/>
              <w:jc w:val="center"/>
            </w:pPr>
            <w:r/>
            <w:r>
              <w:rPr>
                <w:rFonts w:ascii="B Lotus" w:hAnsi="B Lotus" w:cs="B Lotus" w:eastAsia="B Lotus"/>
                <w:b/>
                <w:i w:val="0"/>
                <w:sz w:val="24"/>
                <w:szCs w:val="24"/>
              </w:rPr>
              <w:t>سطح تحلیل</w:t>
            </w:r>
          </w:p>
        </w:tc>
        <w:tc>
          <w:tcPr>
            <w:tcW w:type="dxa" w:w="1814"/>
            <w:shd w:val="clear" w:fill="D9D9D9"/>
          </w:tcPr>
          <w:p>
            <w:pPr>
              <w:widowControl/>
              <w:bidi w:val="1"/>
              <w:spacing w:before="40" w:after="40" w:line="276" w:lineRule="auto"/>
              <w:jc w:val="center"/>
            </w:pPr>
            <w:r/>
            <w:r>
              <w:rPr>
                <w:rFonts w:ascii="B Lotus" w:hAnsi="B Lotus" w:cs="B Lotus" w:eastAsia="B Lotus"/>
                <w:b/>
                <w:i w:val="0"/>
                <w:sz w:val="24"/>
                <w:szCs w:val="24"/>
              </w:rPr>
              <w:t>پرسش</w:t>
            </w:r>
          </w:p>
        </w:tc>
        <w:tc>
          <w:tcPr>
            <w:tcW w:type="dxa" w:w="1814"/>
            <w:shd w:val="clear" w:fill="D9D9D9"/>
          </w:tcPr>
          <w:p>
            <w:pPr>
              <w:widowControl/>
              <w:bidi w:val="1"/>
              <w:spacing w:before="40" w:after="40" w:line="276" w:lineRule="auto"/>
              <w:jc w:val="center"/>
            </w:pPr>
            <w:r/>
            <w:r>
              <w:rPr>
                <w:rFonts w:ascii="B Lotus" w:hAnsi="B Lotus" w:cs="B Lotus" w:eastAsia="B Lotus"/>
                <w:b/>
                <w:i w:val="0"/>
                <w:sz w:val="24"/>
                <w:szCs w:val="24"/>
              </w:rPr>
              <w:t>مرجع داوری</w:t>
            </w:r>
          </w:p>
        </w:tc>
        <w:tc>
          <w:tcPr>
            <w:tcW w:type="dxa" w:w="1814"/>
            <w:shd w:val="clear" w:fill="D9D9D9"/>
          </w:tcPr>
          <w:p>
            <w:pPr>
              <w:widowControl/>
              <w:bidi w:val="1"/>
              <w:spacing w:before="40" w:after="40" w:line="276" w:lineRule="auto"/>
              <w:jc w:val="center"/>
            </w:pPr>
            <w:r/>
            <w:r>
              <w:rPr>
                <w:rFonts w:ascii="B Lotus" w:hAnsi="B Lotus" w:cs="B Lotus" w:eastAsia="B Lotus"/>
                <w:b/>
                <w:i w:val="0"/>
                <w:sz w:val="24"/>
                <w:szCs w:val="24"/>
              </w:rPr>
              <w:t>معیار</w:t>
            </w:r>
          </w:p>
        </w:tc>
        <w:tc>
          <w:tcPr>
            <w:tcW w:type="dxa" w:w="1814"/>
            <w:shd w:val="clear" w:fill="D9D9D9"/>
          </w:tcPr>
          <w:p>
            <w:pPr>
              <w:widowControl/>
              <w:bidi w:val="1"/>
              <w:spacing w:before="40" w:after="40" w:line="276" w:lineRule="auto"/>
              <w:jc w:val="center"/>
            </w:pPr>
            <w:r/>
            <w:r>
              <w:rPr>
                <w:rFonts w:ascii="B Lotus" w:hAnsi="B Lotus" w:cs="B Lotus" w:eastAsia="B Lotus"/>
                <w:b/>
                <w:i w:val="0"/>
                <w:sz w:val="24"/>
                <w:szCs w:val="24"/>
              </w:rPr>
              <w:t>پاسخ در مسئله ما</w:t>
            </w:r>
          </w:p>
        </w:tc>
      </w:tr>
      <w:tr>
        <w:tc>
          <w:tcPr>
            <w:tcW w:type="dxa" w:w="1814"/>
          </w:tcPr>
          <w:p>
            <w:pPr>
              <w:widowControl/>
              <w:bidi w:val="1"/>
              <w:spacing w:before="40" w:after="40" w:line="276" w:lineRule="auto"/>
              <w:jc w:val="center"/>
            </w:pPr>
            <w:r/>
            <w:r>
              <w:rPr>
                <w:rFonts w:ascii="B Lotus" w:hAnsi="B Lotus" w:cs="B Lotus" w:eastAsia="B Lotus"/>
                <w:b w:val="0"/>
                <w:i w:val="0"/>
                <w:sz w:val="24"/>
                <w:szCs w:val="24"/>
              </w:rPr>
              <w:t>جواز فقهی</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آیا عدول، شرعاً جایز است؟</w:t>
            </w:r>
          </w:p>
        </w:tc>
        <w:tc>
          <w:tcPr>
            <w:tcW w:type="dxa" w:w="1814"/>
          </w:tcPr>
          <w:p>
            <w:pPr>
              <w:widowControl/>
              <w:bidi w:val="1"/>
              <w:spacing w:before="40" w:after="40" w:line="276" w:lineRule="auto"/>
              <w:jc w:val="center"/>
            </w:pPr>
            <w:r/>
            <w:r>
              <w:rPr>
                <w:rFonts w:ascii="B Lotus" w:hAnsi="B Lotus" w:cs="B Lotus" w:eastAsia="B Lotus"/>
                <w:b w:val="0"/>
                <w:i w:val="0"/>
                <w:sz w:val="24"/>
                <w:szCs w:val="24"/>
              </w:rPr>
              <w:t>فقه امامیه و ولی فقیه</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ادله شرعی و مصلحت</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آری، به‌صورت مقید و ضابطه‌مند (فصل چهارم)</w:t>
            </w:r>
          </w:p>
        </w:tc>
      </w:tr>
      <w:tr>
        <w:tc>
          <w:tcPr>
            <w:tcW w:type="dxa" w:w="1814"/>
          </w:tcPr>
          <w:p>
            <w:pPr>
              <w:widowControl/>
              <w:bidi w:val="1"/>
              <w:spacing w:before="40" w:after="40" w:line="276" w:lineRule="auto"/>
              <w:jc w:val="center"/>
            </w:pPr>
            <w:r/>
            <w:r>
              <w:rPr>
                <w:rFonts w:ascii="B Lotus" w:hAnsi="B Lotus" w:cs="B Lotus" w:eastAsia="B Lotus"/>
                <w:b w:val="0"/>
                <w:i w:val="0"/>
                <w:sz w:val="24"/>
                <w:szCs w:val="24"/>
              </w:rPr>
              <w:t>مشروعیت داخلی</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آیا تصمیم در نظام حقوقی ایران معتبر است؟</w:t>
            </w:r>
          </w:p>
        </w:tc>
        <w:tc>
          <w:tcPr>
            <w:tcW w:type="dxa" w:w="1814"/>
          </w:tcPr>
          <w:p>
            <w:pPr>
              <w:widowControl/>
              <w:bidi w:val="1"/>
              <w:spacing w:before="40" w:after="40" w:line="276" w:lineRule="auto"/>
              <w:jc w:val="center"/>
            </w:pPr>
            <w:r/>
            <w:r>
              <w:rPr>
                <w:rFonts w:ascii="B Lotus" w:hAnsi="B Lotus" w:cs="B Lotus" w:eastAsia="B Lotus"/>
                <w:b w:val="0"/>
                <w:i w:val="0"/>
                <w:sz w:val="24"/>
                <w:szCs w:val="24"/>
              </w:rPr>
              <w:t>قانون اساسی و نهادهای داخلی</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اصول ق.ا و سلسله‌مراتب هنجارها</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آری، با شرایط (گفتار چهارم همین فصل)</w:t>
            </w:r>
          </w:p>
        </w:tc>
      </w:tr>
      <w:tr>
        <w:tc>
          <w:tcPr>
            <w:tcW w:type="dxa" w:w="1814"/>
          </w:tcPr>
          <w:p>
            <w:pPr>
              <w:widowControl/>
              <w:bidi w:val="1"/>
              <w:spacing w:before="40" w:after="40" w:line="276" w:lineRule="auto"/>
              <w:jc w:val="center"/>
            </w:pPr>
            <w:r/>
            <w:r>
              <w:rPr>
                <w:rFonts w:ascii="B Lotus" w:hAnsi="B Lotus" w:cs="B Lotus" w:eastAsia="B Lotus"/>
                <w:b w:val="0"/>
                <w:i w:val="0"/>
                <w:sz w:val="24"/>
                <w:szCs w:val="24"/>
              </w:rPr>
              <w:t>مسئولیت بین‌المللی</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آیا تصمیم در برابر دیگران مسئولیت می‌آورد؟</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حقوق بین‌الملل و مراجع بین‌المللی</w:t>
            </w:r>
          </w:p>
        </w:tc>
        <w:tc>
          <w:tcPr>
            <w:tcW w:type="dxa" w:w="1814"/>
          </w:tcPr>
          <w:p>
            <w:pPr>
              <w:widowControl/>
              <w:bidi w:val="1"/>
              <w:spacing w:before="40" w:after="40" w:line="276" w:lineRule="auto"/>
              <w:jc w:val="center"/>
            </w:pPr>
            <w:r/>
            <w:r>
              <w:rPr>
                <w:rFonts w:ascii="B Lotus" w:hAnsi="B Lotus" w:cs="B Lotus" w:eastAsia="B Lotus"/>
                <w:b w:val="0"/>
                <w:i w:val="0"/>
                <w:sz w:val="24"/>
                <w:szCs w:val="24"/>
              </w:rPr>
              <w:t>معاهده، عرف و اسباب رافع</w:t>
            </w:r>
          </w:p>
        </w:tc>
        <w:tc>
          <w:tcPr>
            <w:tcW w:type="dxa" w:w="1814"/>
          </w:tcPr>
          <w:p>
            <w:pPr>
              <w:widowControl/>
              <w:bidi w:val="1"/>
              <w:spacing w:before="40" w:after="40" w:line="276" w:lineRule="auto"/>
              <w:jc w:val="center"/>
            </w:pPr>
            <w:r/>
            <w:r>
              <w:rPr>
                <w:rFonts w:ascii="B Lotus" w:hAnsi="B Lotus" w:cs="B Lotus" w:eastAsia="B Lotus"/>
                <w:b w:val="0"/>
                <w:i w:val="0"/>
                <w:sz w:val="24"/>
                <w:szCs w:val="24"/>
              </w:rPr>
              <w:t>آری، مگر در فرض سبب رافع (گفتار سوم)</w:t>
            </w:r>
          </w:p>
        </w:tc>
      </w:tr>
    </w:tbl>
    <w:p>
      <w:pPr>
        <w:spacing w:after="40"/>
      </w:pPr>
    </w:p>
    <w:p>
      <w:pPr>
        <w:pStyle w:val="TH-Body"/>
        <w:widowControl/>
        <w:bidi w:val="1"/>
        <w:spacing w:before="0" w:after="120" w:line="276" w:lineRule="auto"/>
        <w:jc w:val="both"/>
      </w:pPr>
      <w:r>
        <w:rPr>
          <w:rFonts w:ascii="B Lotus" w:hAnsi="B Lotus" w:cs="B Lotus" w:eastAsia="B Lotus"/>
          <w:b w:val="0"/>
          <w:i w:val="0"/>
          <w:sz w:val="28"/>
          <w:szCs w:val="28"/>
        </w:rPr>
        <w:t>این تفکیک، پاسخ‌گوی یک خلط رایج است: برخی می‌پندارند که چون تصمیم ولی فقیه «شرعاً جایز» و «قانوناً معتبر» است، پس «بین‌المللاً» نیز بی‌هزینه است؛ و برخی دیگر می‌پندارند که چون تصمیم، «بین‌المللاً مسئولیت‌آور» است، پس «شرعاً» نیز نارواست. هر دو پندار، ناشی از خلط سطوح است. حقیقت آن است که این سه سطح، «مستقل»‌اند: جواز فقهی، نه نافی مسئولیت بین‌المللی است و نه مقتضی آن؛ و مسئولیت بین‌المللی، نه نافی جواز فقهی است و نه مقتضی آن. حاکم اسلامیِ عاقل، هر سه سطح را با هم می‌سنجد و هزینه بین‌المللی را در محاسبه مصلحت لحاظ می‌کند (ضابطه هشتم فصل چهارم)؛ اما وجود هزینه، به‌تنهایی مجوز شرعی را باطل نمی‌کند، چنان‌که مجوز شرعی نیز هزینه را از بین نمی‌برد.</w:t>
      </w:r>
    </w:p>
    <w:p>
      <w:pPr>
        <w:pStyle w:val="TH-Goftar"/>
        <w:widowControl/>
        <w:bidi w:val="1"/>
        <w:spacing w:before="200" w:after="120" w:line="276" w:lineRule="auto"/>
        <w:jc w:val="right"/>
      </w:pPr>
      <w:r>
        <w:rPr>
          <w:rFonts w:ascii="B Titr" w:hAnsi="B Titr" w:cs="B Titr" w:eastAsia="B Titr"/>
          <w:b/>
          <w:i w:val="0"/>
          <w:sz w:val="32"/>
          <w:szCs w:val="32"/>
        </w:rPr>
        <w:t>گفتار سوم: اسباب رافع، جبران و آثار</w:t>
      </w:r>
    </w:p>
    <w:p>
      <w:pPr>
        <w:pStyle w:val="TH-Band"/>
        <w:widowControl/>
        <w:bidi w:val="1"/>
        <w:spacing w:before="200" w:after="120" w:line="276" w:lineRule="auto"/>
        <w:jc w:val="right"/>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76" w:lineRule="auto"/>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(Circumstances Precluding Wrongfulness) را نیز پیش‌بینی کرده است: مواردی که در آن‌ها، رفتارِ ظاهراً مغایر با تعهد، «متخلفانه» محسوب نمی‌شود. مهم‌ترین این اسباب در طرح مسئولیت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51"/>
      </w:r>
    </w:p>
    <w:p>
      <w:pPr>
        <w:pStyle w:val="TH-Body"/>
        <w:widowControl/>
        <w:bidi w:val="1"/>
        <w:spacing w:before="0" w:after="120" w:line="276" w:lineRule="auto"/>
        <w:jc w:val="both"/>
      </w:pPr>
      <w:r>
        <w:rPr>
          <w:rFonts w:ascii="B Lotus" w:hAnsi="B Lotus" w:cs="B Lotus" w:eastAsia="B Lotus"/>
          <w:b w:val="0"/>
          <w:i w:val="0"/>
          <w:sz w:val="28"/>
          <w:szCs w:val="28"/>
        </w:rPr>
        <w:t>از میان این اسباب، دو مورد برای مسئله ما اهمیت بیشتری دارد: یکم. «ضرورت» (ماده ۲۵): دولتی می‌تواند برای «صیانت از منفعتی اساسی در برابر خطری شدید و قریب‌الوقوع» و در صورتی که رفتار او «تنها راه» چاره باشد، از تعهد خود عدول کند؛ مشروط بر آن‌که به منفعت اساسی دولت دیگر لطمه شدید نزند، تعهد، ضرورت را منتفی نکرده باشد، و خودِ دولت در ایجاد وضعیت اضطراری سهمی نداشته باشد.</w:t>
      </w:r>
      <w:r>
        <w:rPr>
          <w:rFonts w:ascii="B Lotus" w:hAnsi="B Lotus" w:cs="B Lotus" w:eastAsia="B Lotus"/>
          <w:b w:val="0"/>
          <w:i w:val="0"/>
          <w:sz w:val="28"/>
          <w:szCs w:val="28"/>
          <w:vertAlign w:val="superscript"/>
        </w:rPr>
        <w:footnoteReference w:id="52"/>
      </w:r>
      <w:r>
        <w:rPr>
          <w:rFonts w:ascii="B Lotus" w:hAnsi="B Lotus" w:cs="B Lotus" w:eastAsia="B Lotus"/>
          <w:b w:val="0"/>
          <w:i w:val="0"/>
          <w:sz w:val="28"/>
          <w:szCs w:val="28"/>
        </w:rPr>
        <w:t xml:space="preserve"> دیوان در قضیه گابچیکوو ـ ناگیماروش، این شرایط را بسیار مضیق تفسیر کرد و نشان داد که استناد موفق به ضرورت، امری استثنایی است. نسبت این نهاد با «مصلحت» فقهی، نسبت عموم و خصوص من‌وجه است: هر ضرورتِ بین‌المللی، مصلحت است، اما هر مصلحتی، ضرورتِ به معنای ماده ۲۵ نیست؛ زیرا آستانه ماده ۲۵ («خطر شدید و قریب‌الوقوع» و «تنها راه») بسیار بالاتر از آستانه مصلحت فقهی است. نتیجه عملی: مصلحتی که از نظر فقهی مجوز عدول است، لزوماً در سطح بین‌المللی رافع مسئولیت نیست.</w:t>
      </w:r>
    </w:p>
    <w:p>
      <w:pPr>
        <w:pStyle w:val="TH-Body"/>
        <w:widowControl/>
        <w:bidi w:val="1"/>
        <w:spacing w:before="0" w:after="120" w:line="276" w:lineRule="auto"/>
        <w:jc w:val="both"/>
      </w:pPr>
      <w:r>
        <w:rPr>
          <w:rFonts w:ascii="B Lotus" w:hAnsi="B Lotus" w:cs="B Lotus" w:eastAsia="B Lotus"/>
          <w:b w:val="0"/>
          <w:i w:val="0"/>
          <w:sz w:val="28"/>
          <w:szCs w:val="28"/>
        </w:rPr>
        <w:t>دوم. «اقدام متقابل» (Countermeasures): هرگاه یک طرف، تعهد خود را نقض کند، طرف دیگر می‌تواند ـ با رعایت شرایط (از جمله تناسب، اعلام قبلی، و موقت‌بودن) ـ از اجرای تعهدات متقابل خودداری کند.</w:t>
      </w:r>
      <w:r>
        <w:rPr>
          <w:rFonts w:ascii="B Lotus" w:hAnsi="B Lotus" w:cs="B Lotus" w:eastAsia="B Lotus"/>
          <w:b w:val="0"/>
          <w:i w:val="0"/>
          <w:sz w:val="28"/>
          <w:szCs w:val="28"/>
          <w:vertAlign w:val="superscript"/>
        </w:rPr>
        <w:footnoteReference w:id="53"/>
      </w:r>
      <w:r>
        <w:rPr>
          <w:rFonts w:ascii="B Lotus" w:hAnsi="B Lotus" w:cs="B Lotus" w:eastAsia="B Lotus"/>
          <w:b w:val="0"/>
          <w:i w:val="0"/>
          <w:sz w:val="28"/>
          <w:szCs w:val="28"/>
        </w:rPr>
        <w:t xml:space="preserve"> این نهاد، پشتوانه حقوقی «عدول واکنشی» (صورت چهارم طیف فصل چهارم) است و نشان می‌دهد که حقوق بین‌الملل نیز منطق «تقابل» (مشابه توبه/۷) را پذیرفته است؛ هرچند با شرایط شکلی سخت‌گیرانه.</w:t>
      </w:r>
    </w:p>
    <w:p>
      <w:pPr>
        <w:pStyle w:val="TH-Body"/>
        <w:widowControl/>
        <w:bidi w:val="1"/>
        <w:spacing w:before="0" w:after="120" w:line="276" w:lineRule="auto"/>
        <w:jc w:val="both"/>
      </w:pPr>
      <w:r>
        <w:rPr>
          <w:rFonts w:ascii="B Lotus" w:hAnsi="B Lotus" w:cs="B Lotus" w:eastAsia="B Lotus"/>
          <w:b w:val="0"/>
          <w:i w:val="0"/>
          <w:sz w:val="28"/>
          <w:szCs w:val="28"/>
        </w:rPr>
        <w:t>سقف همه این اسباب، ماده ۲۶ است: هیچ‌یک از اسباب رافع، در برابر نقض «قواعد آمره» (مانند منع تجاوز و نسل‌کشی) قابل استناد نیست.</w:t>
      </w:r>
      <w:r>
        <w:rPr>
          <w:rFonts w:ascii="B Lotus" w:hAnsi="B Lotus" w:cs="B Lotus" w:eastAsia="B Lotus"/>
          <w:b w:val="0"/>
          <w:i w:val="0"/>
          <w:sz w:val="28"/>
          <w:szCs w:val="28"/>
          <w:vertAlign w:val="superscript"/>
        </w:rPr>
        <w:footnoteReference w:id="54"/>
      </w:r>
      <w:r>
        <w:rPr>
          <w:rFonts w:ascii="B Lotus" w:hAnsi="B Lotus" w:cs="B Lotus" w:eastAsia="B Lotus"/>
          <w:b w:val="0"/>
          <w:i w:val="0"/>
          <w:sz w:val="28"/>
          <w:szCs w:val="28"/>
        </w:rPr>
        <w:t xml:space="preserve"> این همان «ضابطه هفتم» فصل چهارم در زبان حقوق بین‌الملل است.</w:t>
      </w:r>
    </w:p>
    <w:p>
      <w:pPr>
        <w:pStyle w:val="TH-Band"/>
        <w:widowControl/>
        <w:bidi w:val="1"/>
        <w:spacing w:before="200" w:after="120" w:line="276" w:lineRule="auto"/>
        <w:jc w:val="right"/>
      </w:pPr>
      <w:r>
        <w:rPr>
          <w:rFonts w:ascii="B Traffic" w:hAnsi="B Traffic" w:cs="B Traffic" w:eastAsia="B Traffic"/>
          <w:b/>
          <w:i w:val="0"/>
          <w:sz w:val="28"/>
          <w:szCs w:val="28"/>
        </w:rPr>
        <w:t>بند دوم: آثار مسئولیت؛ توقف، جبران و آثار تعلیق و خاتمه</w:t>
      </w:r>
    </w:p>
    <w:p>
      <w:pPr>
        <w:pStyle w:val="TH-Body"/>
        <w:widowControl/>
        <w:bidi w:val="1"/>
        <w:spacing w:before="0" w:after="120" w:line="276" w:lineRule="auto"/>
        <w:jc w:val="both"/>
      </w:pPr>
      <w:r>
        <w:rPr>
          <w:rFonts w:ascii="B Lotus" w:hAnsi="B Lotus" w:cs="B Lotus" w:eastAsia="B Lotus"/>
          <w:b w:val="0"/>
          <w:i w:val="0"/>
          <w:sz w:val="28"/>
          <w:szCs w:val="28"/>
        </w:rPr>
        <w:t>هرگاه نقضی رخ دهد و سبب رافعی نیز در کار نباشد، آثار زیر بر دولت مسئول بار می‌شود: یکم. «توقف» رفتار متخلفانه و ارائه تضمین‌های عدم تکرار (ماده ۳۰). دوم. «جبران کامل» خسارت (ماده ۳۱) در سه صورت: «اعاده وضع به حال سابق» (Restitution)، «غرامت مالی» (Compensation) و «جلب رضایت» (Satisfaction، مانند عذرخواهی رسمی).</w:t>
      </w:r>
      <w:r>
        <w:rPr>
          <w:rFonts w:ascii="B Lotus" w:hAnsi="B Lotus" w:cs="B Lotus" w:eastAsia="B Lotus"/>
          <w:b w:val="0"/>
          <w:i w:val="0"/>
          <w:sz w:val="28"/>
          <w:szCs w:val="28"/>
          <w:vertAlign w:val="superscript"/>
        </w:rPr>
        <w:footnoteReference w:id="55"/>
      </w:r>
      <w:r>
        <w:rPr>
          <w:rFonts w:ascii="B Lotus" w:hAnsi="B Lotus" w:cs="B Lotus" w:eastAsia="B Lotus"/>
          <w:b w:val="0"/>
          <w:i w:val="0"/>
          <w:sz w:val="28"/>
          <w:szCs w:val="28"/>
        </w:rPr>
        <w:t xml:space="preserve"> این آثار، «خودکار» نیستند (یعنی نیازمند مطالبه دولت زیان‌دیده و طی فرایند حل اختلاف‌اند)، اما «بالقوه» همیشه وجود دارند و حاکم عاقل باید آن‌ها را در محاسبه مصلحت لحاظ کند.</w:t>
      </w:r>
    </w:p>
    <w:p>
      <w:pPr>
        <w:pStyle w:val="TH-Body"/>
        <w:widowControl/>
        <w:bidi w:val="1"/>
        <w:spacing w:before="0" w:after="120" w:line="276" w:lineRule="auto"/>
        <w:jc w:val="both"/>
      </w:pPr>
      <w:r>
        <w:rPr>
          <w:rFonts w:ascii="B Lotus" w:hAnsi="B Lotus" w:cs="B Lotus" w:eastAsia="B Lotus"/>
          <w:b w:val="0"/>
          <w:i w:val="0"/>
          <w:sz w:val="28"/>
          <w:szCs w:val="28"/>
        </w:rPr>
        <w:t>در فرض «تعلیق یا خاتمه موجه» نیز آثاری بار می‌شود که باید دانسته شود: به موجب ماده ۷۰، خاتمه، اطراف را از «اجرای آتی» معاف می‌کند، اما بر «حقوق و وضعیت‌های پیش از خاتمه» اثری ندارد؛ و به موجب ماده ۷۲، در مدت تعلیق، اطراف از اجرای متقابل معاف‌اند، اما باید از اقداماتی که مانع ازسرگیری اجراست، خودداری کنند.</w:t>
      </w:r>
      <w:r>
        <w:rPr>
          <w:rFonts w:ascii="B Lotus" w:hAnsi="B Lotus" w:cs="B Lotus" w:eastAsia="B Lotus"/>
          <w:b w:val="0"/>
          <w:i w:val="0"/>
          <w:sz w:val="28"/>
          <w:szCs w:val="28"/>
          <w:vertAlign w:val="superscript"/>
        </w:rPr>
        <w:footnoteReference w:id="56"/>
      </w:r>
      <w:r>
        <w:rPr>
          <w:rFonts w:ascii="B Lotus" w:hAnsi="B Lotus" w:cs="B Lotus" w:eastAsia="B Lotus"/>
          <w:b w:val="0"/>
          <w:i w:val="0"/>
          <w:sz w:val="28"/>
          <w:szCs w:val="28"/>
        </w:rPr>
        <w:t xml:space="preserve"> نتیجه: حتی عدولِ موجه نیز «بی‌هزینه» نیست و آثار گذشته و تکالیف دوره تعلیق باقی می‌ماند.</w:t>
      </w:r>
    </w:p>
    <w:p>
      <w:pPr>
        <w:pStyle w:val="TH-Band"/>
        <w:widowControl/>
        <w:bidi w:val="1"/>
        <w:spacing w:before="200" w:after="120" w:line="276" w:lineRule="auto"/>
        <w:jc w:val="right"/>
      </w:pPr>
      <w:r>
        <w:rPr>
          <w:rFonts w:ascii="B Traffic" w:hAnsi="B Traffic" w:cs="B Traffic" w:eastAsia="B Traffic"/>
          <w:b/>
          <w:i w:val="0"/>
          <w:sz w:val="28"/>
          <w:szCs w:val="28"/>
        </w:rPr>
        <w:t>بند سوم: نمونه تحلیلی؛ تجربه برجام</w:t>
      </w:r>
    </w:p>
    <w:p>
      <w:pPr>
        <w:pStyle w:val="TH-Body"/>
        <w:widowControl/>
        <w:bidi w:val="1"/>
        <w:spacing w:before="0" w:after="120" w:line="276" w:lineRule="auto"/>
        <w:jc w:val="both"/>
      </w:pPr>
      <w:r>
        <w:rPr>
          <w:rFonts w:ascii="B Lotus" w:hAnsi="B Lotus" w:cs="B Lotus" w:eastAsia="B Lotus"/>
          <w:b w:val="0"/>
          <w:i w:val="0"/>
          <w:sz w:val="28"/>
          <w:szCs w:val="28"/>
        </w:rPr>
        <w:t>برای نشان‌دادن کاربرد عملی چارچوب تحلیلی این رساله، می‌توان به تجربه «برنامه جامع اقدام مشترک» (برجام، ۲۰۱۵) و قطعنامه ۲۲۳۱ شورای امنیت اشاره کرد؛ با این قید مهم که ماهیت حقوقی دقیق برجام (توافق سیاسی یا سند حقوقی الزام‌آور) خود محل بحث است و این رساله در آن باب داوری قطعی نمی‌کند، بلکه صرفاً چارچوب تحلیل را نشان می‌دهد.</w:t>
      </w:r>
    </w:p>
    <w:p>
      <w:pPr>
        <w:pStyle w:val="TH-Body"/>
        <w:widowControl/>
        <w:bidi w:val="1"/>
        <w:spacing w:before="0" w:after="120" w:line="276" w:lineRule="auto"/>
        <w:jc w:val="both"/>
      </w:pPr>
      <w:r>
        <w:rPr>
          <w:rFonts w:ascii="B Lotus" w:hAnsi="B Lotus" w:cs="B Lotus" w:eastAsia="B Lotus"/>
          <w:b w:val="0"/>
          <w:i w:val="0"/>
          <w:sz w:val="28"/>
          <w:szCs w:val="28"/>
        </w:rPr>
        <w:t>در این تجربه، سه مرحله قابل تفکیک است: مرحله یکم: خروج یک‌جانبه ایالات متحده از برجام (۲۰۱۸) که از نظر بسیاری از تحلیل‌گران، نقض تعهدات آن دولت محسوب می‌شد. مرحله دوم: عدول تدریجی ایران از برخی تعهدات (از ۲۰۱۹) که ایران آن را با استناد به سازوکار پیش‌بینی‌شده در خود توافق توجیه می‌کرد. مرحله سوم: مناقشه بر سر بازگشت به اجرای کامل. تحلیل این تجربه در چارچوب رساله چنین است: (۱) در سطح «جواز فقهی»، تصمیم ایران تابع همان ضوابط هشت‌گانه فصل چهارم است؛ (۲) در سطح «مشروعیت داخلی»، تابع نظام قانون اساسی است؛ و (۳) در سطح «مسئولیت بین‌المللی»، هر رفتاری با متن تعهدات (و قطعنامه ۲۲۳۱) سنجیده می‌شود و توجیهات داخلی ـ از هر طرف ـ در آن سطح پذیرفته نیست. همین پیچیدگی سه‌سطحی است که نشان می‌دهد چرا تصمیم‌گیران به چارچوبی مانند چارچوب این رساله نیاز دارند.</w:t>
      </w:r>
    </w:p>
    <w:p>
      <w:pPr>
        <w:pStyle w:val="TH-Band"/>
        <w:widowControl/>
        <w:bidi w:val="1"/>
        <w:spacing w:before="200" w:after="120" w:line="276" w:lineRule="auto"/>
        <w:jc w:val="right"/>
      </w:pPr>
      <w:r>
        <w:rPr>
          <w:rFonts w:ascii="B Traffic" w:hAnsi="B Traffic" w:cs="B Traffic" w:eastAsia="B Traffic"/>
          <w:b/>
          <w:i w:val="0"/>
          <w:sz w:val="28"/>
          <w:szCs w:val="28"/>
        </w:rPr>
        <w:t>بند چهارم: راهبردهای حقوقی کاهش مسئولیت</w:t>
      </w:r>
    </w:p>
    <w:p>
      <w:pPr>
        <w:pStyle w:val="TH-Body"/>
        <w:widowControl/>
        <w:bidi w:val="1"/>
        <w:spacing w:before="0" w:after="120" w:line="276" w:lineRule="auto"/>
        <w:jc w:val="both"/>
      </w:pPr>
      <w:r>
        <w:rPr>
          <w:rFonts w:ascii="B Lotus" w:hAnsi="B Lotus" w:cs="B Lotus" w:eastAsia="B Lotus"/>
          <w:b w:val="0"/>
          <w:i w:val="0"/>
          <w:sz w:val="28"/>
          <w:szCs w:val="28"/>
        </w:rPr>
        <w:t>پیش از ورود به بحث حقوق اساسی، یادآوری این نکته ضروری است که مسئولیت بین‌المللی، سرنوشت محتوم هر عدولی نیست؛ بلکه حقوق بین‌الملل، ابزارهایی برای «مدیریت حقوقی» عدول پیش‌بینی کرده که حاکم عاقل باید پیشاپیش از آن‌ها بهره گیرد. مهم‌ترین این راهبردها عبارت‌اند از:</w:t>
      </w:r>
    </w:p>
    <w:p>
      <w:pPr>
        <w:pStyle w:val="TH-Body"/>
        <w:widowControl/>
        <w:bidi w:val="1"/>
        <w:spacing w:before="0" w:after="120" w:line="276" w:lineRule="auto"/>
        <w:jc w:val="both"/>
      </w:pPr>
      <w:r>
        <w:rPr>
          <w:rFonts w:ascii="B Lotus" w:hAnsi="B Lotus" w:cs="B Lotus" w:eastAsia="B Lotus"/>
          <w:b w:val="0"/>
          <w:i w:val="0"/>
          <w:sz w:val="28"/>
          <w:szCs w:val="28"/>
        </w:rPr>
        <w:t>یکم. «حق شرط» (Reservation): به موجب مواد ۱۹ تا ۲۳ کنوانسیون وین، دولت می‌تواند در هنگام پذیرش معاهده چندجانبه، با اعلام حق شرط، اثر حقوقی برخی مقررات را نسبت به خود منتفی یا محدود کند؛ مشروط بر آن‌که حق شرط، ممنوع نشده و با موضوع و هدف معاهده ناسازگار نباشد.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هرچند حق شرط ناظر به مرحله پذیرش است نه مرحله اجرا، اما بهره‌گیری هوشمندانه از آن در هنگام انعقاد، نیاز به عدول بعدی را به حداقل می‌رساند.</w:t>
      </w:r>
    </w:p>
    <w:p>
      <w:pPr>
        <w:pStyle w:val="TH-Body"/>
        <w:widowControl/>
        <w:bidi w:val="1"/>
        <w:spacing w:before="0" w:after="120" w:line="276" w:lineRule="auto"/>
        <w:jc w:val="both"/>
      </w:pPr>
      <w:r>
        <w:rPr>
          <w:rFonts w:ascii="B Lotus" w:hAnsi="B Lotus" w:cs="B Lotus" w:eastAsia="B Lotus"/>
          <w:b w:val="0"/>
          <w:i w:val="0"/>
          <w:sz w:val="28"/>
          <w:szCs w:val="28"/>
        </w:rPr>
        <w:t>دوم. «اعلامیه تفسیری»: دولت می‌تواند با صدور اعلامیه، تفسیر خود از مقررات معاهده را ثبت کند و از تفسیرهای موسع بعدی جلوگیری نماید.</w:t>
      </w:r>
    </w:p>
    <w:p>
      <w:pPr>
        <w:pStyle w:val="TH-Body"/>
        <w:widowControl/>
        <w:bidi w:val="1"/>
        <w:spacing w:before="0" w:after="120" w:line="276" w:lineRule="auto"/>
        <w:jc w:val="both"/>
      </w:pPr>
      <w:r>
        <w:rPr>
          <w:rFonts w:ascii="B Lotus" w:hAnsi="B Lotus" w:cs="B Lotus" w:eastAsia="B Lotus"/>
          <w:b w:val="0"/>
          <w:i w:val="0"/>
          <w:sz w:val="28"/>
          <w:szCs w:val="28"/>
        </w:rPr>
        <w:t>سوم. «شرط بازنگری و خاتمه»: گنجاندن شرط بازنگری دوره‌ای، شرط خاتمه با اطلاع قبلی، و سازوکار حل اختلاف در متن معاهده، عدول آینده را از «نقض» به «اعمال حق قراردادی» بدل می‌کند. این، همان مقتضای ضابطه دوم فصل چهارم (تقدم راه‌های حقوقی مندرج) است.</w:t>
      </w:r>
    </w:p>
    <w:p>
      <w:pPr>
        <w:pStyle w:val="TH-Body"/>
        <w:widowControl/>
        <w:bidi w:val="1"/>
        <w:spacing w:before="0" w:after="120" w:line="276" w:lineRule="auto"/>
        <w:jc w:val="both"/>
      </w:pPr>
      <w:r>
        <w:rPr>
          <w:rFonts w:ascii="B Lotus" w:hAnsi="B Lotus" w:cs="B Lotus" w:eastAsia="B Lotus"/>
          <w:b w:val="0"/>
          <w:i w:val="0"/>
          <w:sz w:val="28"/>
          <w:szCs w:val="28"/>
        </w:rPr>
        <w:t>چهارم. «تعلیق توافقی و مذاکره مجدد»: پیش از هر اقدام یک‌جانبه، پیشنهاد مذاکره مجدد یا تعلیق توافقی به طرف مقابل، هم از نظر حقوق بین‌الملل (اصل حل‌وفصل مسالمت‌آمیز) و هم از نظر فقهی (اصل حزم و احتیاط) مقدم است.</w:t>
      </w:r>
    </w:p>
    <w:p>
      <w:pPr>
        <w:pStyle w:val="TH-Body"/>
        <w:widowControl/>
        <w:bidi w:val="1"/>
        <w:spacing w:before="0" w:after="120" w:line="276" w:lineRule="auto"/>
        <w:jc w:val="both"/>
      </w:pPr>
      <w:r>
        <w:rPr>
          <w:rFonts w:ascii="B Lotus" w:hAnsi="B Lotus" w:cs="B Lotus" w:eastAsia="B Lotus"/>
          <w:b w:val="0"/>
          <w:i w:val="0"/>
          <w:sz w:val="28"/>
          <w:szCs w:val="28"/>
        </w:rPr>
        <w:t>پنجم. «مستندسازی و شفافیت»: مستندکردن تصمیم، اعلام آشکار آن، و استناد به اسباب حقوقی پذیرفته‌شده، هرچند مسئولیت را به‌طور کامل منتفی نمی‌کند، اما در ارزیابی مراجع بین‌المللی و افکار عمومی، مؤثر است و با ضابطه ششم (انباذ علی سواء) نیز هم‌خوان است.</w:t>
      </w:r>
    </w:p>
    <w:p>
      <w:pPr>
        <w:pStyle w:val="TH-Goftar"/>
        <w:widowControl/>
        <w:bidi w:val="1"/>
        <w:spacing w:before="200" w:after="120" w:line="276" w:lineRule="auto"/>
        <w:jc w:val="right"/>
      </w:pPr>
      <w:r>
        <w:rPr>
          <w:rFonts w:ascii="B Titr" w:hAnsi="B Titr" w:cs="B Titr" w:eastAsia="B Titr"/>
          <w:b/>
          <w:i w:val="0"/>
          <w:sz w:val="32"/>
          <w:szCs w:val="32"/>
        </w:rPr>
        <w:t>گفتار چهارم: جایگاه حقوق اساسی تصمیم ولی فقیه</w:t>
      </w:r>
    </w:p>
    <w:p>
      <w:pPr>
        <w:pStyle w:val="TH-Band"/>
        <w:widowControl/>
        <w:bidi w:val="1"/>
        <w:spacing w:before="200" w:after="120" w:line="276" w:lineRule="auto"/>
        <w:jc w:val="right"/>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76" w:lineRule="auto"/>
        <w:jc w:val="both"/>
      </w:pPr>
      <w:r>
        <w:rPr>
          <w:rFonts w:ascii="B Lotus" w:hAnsi="B Lotus" w:cs="B Lotus" w:eastAsia="B Lotus"/>
          <w:b w:val="0"/>
          <w:i w:val="0"/>
          <w:sz w:val="28"/>
          <w:szCs w:val="28"/>
        </w:rPr>
        <w:t>در فصل دوم، متن اصول مرتبط اجمالاً گذشت؛ در این‌جا دلالت هر یک بر مسئله ـ مستقیم یا غیرمستقیم ـ تحلیل می‌شود:</w:t>
      </w:r>
    </w:p>
    <w:p>
      <w:pPr>
        <w:pStyle w:val="TH-Body"/>
        <w:widowControl/>
        <w:bidi w:val="1"/>
        <w:spacing w:before="0" w:after="120" w:line="276" w:lineRule="auto"/>
        <w:jc w:val="both"/>
      </w:pPr>
      <w:r>
        <w:rPr>
          <w:rFonts w:ascii="B Lotus" w:hAnsi="B Lotus" w:cs="B Lotus" w:eastAsia="B Lotus"/>
          <w:b w:val="0"/>
          <w:i w:val="0"/>
          <w:sz w:val="28"/>
          <w:szCs w:val="28"/>
        </w:rPr>
        <w:t>اصل ۵: دلالت این اصل،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58"/>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در نظام حقوقی ایران است. اما این اصل درباره «گستره اختیارات» ساکت است و تفصیل آن را به اصول دیگر (به‌ویژه ۵۷ و ۱۱۰) واگذار می‌کند.</w:t>
      </w:r>
    </w:p>
    <w:p>
      <w:pPr>
        <w:pStyle w:val="TH-Body"/>
        <w:widowControl/>
        <w:bidi w:val="1"/>
        <w:spacing w:before="0" w:after="120" w:line="276" w:lineRule="auto"/>
        <w:jc w:val="both"/>
      </w:pPr>
      <w:r>
        <w:rPr>
          <w:rFonts w:ascii="B Lotus" w:hAnsi="B Lotus" w:cs="B Lotus" w:eastAsia="B Lotus"/>
          <w:b w:val="0"/>
          <w:i w:val="0"/>
          <w:sz w:val="28"/>
          <w:szCs w:val="28"/>
        </w:rPr>
        <w:t>اصل ۵۷: دلالت این اصل، «مبنایی و غیرمستقیم» است. این اصل با عبارت «زیر نظر ولایت مطلقه امر و امامت امت»، مرجعیت نهایی ولی فقیه بر همه قواـ از جمله قوه مقننه (تصویب‌کننده معاهده) و قوه مجریه (اجرا‌کننده آن) ـ را تثبیت می‌کند. اما این اصل، «شیوه اعمال» این مرجعیت در حوزه خاص معاهدات را بیان نمی‌کند؛ ازاین‌رو، اثبات‌کننده «اصلِ مرجعیت» است، اما تعیین‌کننده «صورتِ اعمال» نیست.</w:t>
      </w:r>
    </w:p>
    <w:p>
      <w:pPr>
        <w:pStyle w:val="TH-Body"/>
        <w:widowControl/>
        <w:bidi w:val="1"/>
        <w:spacing w:before="0" w:after="120" w:line="276" w:lineRule="auto"/>
        <w:jc w:val="both"/>
      </w:pPr>
      <w:r>
        <w:rPr>
          <w:rFonts w:ascii="B Lotus" w:hAnsi="B Lotus" w:cs="B Lotus" w:eastAsia="B Lotus"/>
          <w:b w:val="0"/>
          <w:i w:val="0"/>
          <w:sz w:val="28"/>
          <w:szCs w:val="28"/>
        </w:rPr>
        <w:t>اصل ۷۷: دلالت این اصل نیز «غیرمستقیم» است: این اصل، «تصویب» (ورود به التزام) را در صلاحیت مجلس می‌داند، اما درباره «خروج از التزام» (تعلیق، خاتمه، خروج) ساکت است. از این سکوت، دو استنباط رقیب شده است: استنباط یکم (وحدت مجرا): آن مرجعی که صلاحیت ایجاد التزام را دارد (مجلس)، صلاحیت رفع آن را نیز دارد؛ پس خاتمه نیز نیازمند تصویب مجلس است. استنباط دوم (تفکیک مجرا): سکوت قانون اساسی به معنای واگذاری به مقام بالاتر (ولی فقیه) یا به عرف اساسی است. داوری نگارنده: استنباط یکم در فرض «خاتمه عادی و توافقی» پذیرفتنی است، اما در فرض «تصمیم حکومتی فوق‌العاده» (موضوع این رساله)، استنباط دوم قوی‌تر است؛ زیرا منطق حکم حکومتی ـ چنان‌که در فصل چهارم گذشت ـ دقیقاً پوشش‌دادن مواردی است که مجرای عادی برای آن کافی نیست. با این حال، در عمل، همراهی مجلس (حتی در قالب اطلاع و هماهنگی) بر وجاهت تصمیم می‌افزاید و از منظر حکمرانی مطلوب، توصیه می‌شود.</w:t>
      </w:r>
    </w:p>
    <w:p>
      <w:pPr>
        <w:pStyle w:val="TH-Body"/>
        <w:widowControl/>
        <w:bidi w:val="1"/>
        <w:spacing w:before="0" w:after="120" w:line="276" w:lineRule="auto"/>
        <w:jc w:val="both"/>
      </w:pPr>
      <w:r>
        <w:rPr>
          <w:rFonts w:ascii="B Lotus" w:hAnsi="B Lotus" w:cs="B Lotus" w:eastAsia="B Lotus"/>
          <w:b w:val="0"/>
          <w:i w:val="0"/>
          <w:sz w:val="28"/>
          <w:szCs w:val="28"/>
        </w:rPr>
        <w:t>اصل ۱۱۲: دلالت این اصل «غیرمستقیم و نهادی» است: با رسمیت‌بخشیدن به «مجمع تشخیص مصلحت نظام»، نشان می‌دهد که نظام قانون اساسی، «مصلحت» را به‌عنوان مبنای تصمیم‌گیری فوق‌العاده پذیرفته و برای تشخیص آن، نهادی تخصصی پیش‌بینی کرده است. نسبت این نهاد با تشخیص شخص ولی فقیه، چنان‌که در ضابطه سوم گذشت، نسبت «کارشناسی» به «تصمیم» است.</w:t>
      </w:r>
    </w:p>
    <w:p>
      <w:pPr>
        <w:pStyle w:val="TH-Body"/>
        <w:widowControl/>
        <w:bidi w:val="1"/>
        <w:spacing w:before="0" w:after="120" w:line="276" w:lineRule="auto"/>
        <w:jc w:val="both"/>
      </w:pPr>
      <w:r>
        <w:rPr>
          <w:rFonts w:ascii="B Lotus" w:hAnsi="B Lotus" w:cs="B Lotus" w:eastAsia="B Lotus"/>
          <w:b w:val="0"/>
          <w:i w:val="0"/>
          <w:sz w:val="28"/>
          <w:szCs w:val="28"/>
        </w:rPr>
        <w:t>اصل ۱۲۵: دلالت این اصل نیز «غیرمستقیم» است: این اصل، «امضا» (اعلام التزام) را از آنِ رئیس‌جمهور می‌داند و از رهبری نامی نمی‌برد. موافقان حصر اختیارات، به همین سکوت استناد می‌کنند؛ اما پاسخ آن است که سکوت درباره «امضا» (عمل تشریفاتی ـ اجراییِ پس از تصویب) به معنای سکوت درباره «تصمیم کلانِ سرنوشت معاهده» نیست؛ چنان‌که در خود نظام قانون اساسی نیز، تصمیم‌های کلان (جنگ و صلح، سیاست‌های کلی) با رهبری است، هرچند اجرای آن‌ها با قوه مجریه است.</w:t>
      </w:r>
    </w:p>
    <w:p>
      <w:pPr>
        <w:pStyle w:val="TH-Band"/>
        <w:widowControl/>
        <w:bidi w:val="1"/>
        <w:spacing w:before="200" w:after="120" w:line="276" w:lineRule="auto"/>
        <w:jc w:val="right"/>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76" w:lineRule="auto"/>
        <w:jc w:val="both"/>
      </w:pPr>
      <w:r>
        <w:rPr>
          <w:rFonts w:ascii="B Lotus" w:hAnsi="B Lotus" w:cs="B Lotus" w:eastAsia="B Lotus"/>
          <w:b w:val="0"/>
          <w:i w:val="0"/>
          <w:sz w:val="28"/>
          <w:szCs w:val="28"/>
        </w:rPr>
        <w:t>اکنون به حساس‌ترین گره حقوق اساسی پژوهش می‌رسیم: اصل ۱۱۰. چنان‌که در فصل دوم ثبت شد، در هیچ‌یک از یازده بند این اصل، اختیاری درباره معاهدات بین‌المللی «به‌صراحت» ذکر نشده است. بنابراین، هرگونه ادعای «ذکر صریح» چنین اختیاری در اصل ۱۱۰، خلاف واقعیت متنی است و باید اصلاح شود. پرسش صحیح چنین است: آیا اختیار رهبری در حوزه معاهدات را می‌توان از «بندهای عام» این اصل یا از «اصول دیگر» استنباط کرد؟ و آیا اختیارات رهبری «منحصر» در همین یازده بند است یا نه؟</w:t>
      </w:r>
    </w:p>
    <w:p>
      <w:pPr>
        <w:pStyle w:val="TH-Body"/>
        <w:widowControl/>
        <w:bidi w:val="1"/>
        <w:spacing w:before="0" w:after="120" w:line="276" w:lineRule="auto"/>
        <w:jc w:val="both"/>
      </w:pPr>
      <w:r>
        <w:rPr>
          <w:rFonts w:ascii="B Lotus" w:hAnsi="B Lotus" w:cs="B Lotus" w:eastAsia="B Lotus"/>
          <w:b w:val="0"/>
          <w:i w:val="0"/>
          <w:sz w:val="28"/>
          <w:szCs w:val="28"/>
        </w:rPr>
        <w:t>درباره حصر یا عدم حصر، دو دیدگاه در ادبیات حقوق اساسی ایران وجود دارد: دیدگاه یکم (حصر): اختیارات رهبری منحصر در یازده بند اصل ۱۱۰ است؛ زیرا اصل ۵۷، اعمال قوا (و نظارت بر آن‌ها) را مقید به «بر طبق اصول آینده این قانون» کرده و این قید، اطلاق «ولایت مطلقه» را محدود می‌کند. دیدگاه دوم (عدم حصر): اختیارات رهبری فراتر از یازده بند است؛ زیرا اولاً «ولایت مطلقه» در اصل ۵۷، اطلاق دارد و قید «بر طبق اصول آینده» ناظر به «شیوه اعمال قوا»ست نه نافی مرجعیت فراقانونی ولی فقیه؛ و ثانیاً بند ۸ اصل ۱۱۰ («حل معضلات نظام که از طرق عادی قابل حل نیست») با عموم و اطلاق خود، درب اختیارات فوق‌العاده را گشوده است.</w:t>
      </w:r>
      <w:r>
        <w:rPr>
          <w:rFonts w:ascii="B Lotus" w:hAnsi="B Lotus" w:cs="B Lotus" w:eastAsia="B Lotus"/>
          <w:b w:val="0"/>
          <w:i w:val="0"/>
          <w:sz w:val="28"/>
          <w:szCs w:val="28"/>
          <w:vertAlign w:val="superscript"/>
        </w:rPr>
        <w:footnoteReference w:id="59"/>
      </w:r>
    </w:p>
    <w:p>
      <w:pPr>
        <w:pStyle w:val="TH-Body"/>
        <w:widowControl/>
        <w:bidi w:val="1"/>
        <w:spacing w:before="0" w:after="120" w:line="276" w:lineRule="auto"/>
        <w:jc w:val="both"/>
      </w:pPr>
      <w:r>
        <w:rPr>
          <w:rFonts w:ascii="B Lotus" w:hAnsi="B Lotus" w:cs="B Lotus" w:eastAsia="B Lotus"/>
          <w:b w:val="0"/>
          <w:i w:val="0"/>
          <w:sz w:val="28"/>
          <w:szCs w:val="28"/>
        </w:rPr>
        <w:t>نقد و داوری: هر دو دیدگاه، وجهی از حقیقت را گرفته‌اند و دچار افراط‌اند: دیدگاه حصر، «ولایت مطلقه» را به مجموعه‌ای بسته از صلاحیت‌های احصاشده فرومی‌کاهد و با منطق حکم حکومتی (که ذاتاً فوق‌العاده و پیش‌بینی‌ناپذیر است) ناسازگار است؛ و دیدگاه عدم حصرِ بی‌ضابطه، راه را برای توسعه نامحدود اختیار می‌گشاید و با منطق «حکومت قانون» ـ که خود از اهداف نظام اسلامی است ـ در تنش است. راه میانه ـ که نظر مختار نگارنده است ـ «تفکیک انواع اختیار» است:</w:t>
      </w:r>
    </w:p>
    <w:p>
      <w:pPr>
        <w:pStyle w:val="TH-Body"/>
        <w:widowControl/>
        <w:bidi w:val="1"/>
        <w:spacing w:before="0" w:after="120" w:line="276" w:lineRule="auto"/>
        <w:jc w:val="both"/>
      </w:pPr>
      <w:r>
        <w:rPr>
          <w:rFonts w:ascii="B Lotus" w:hAnsi="B Lotus" w:cs="B Lotus" w:eastAsia="B Lotus"/>
          <w:b w:val="0"/>
          <w:i w:val="0"/>
          <w:sz w:val="28"/>
          <w:szCs w:val="28"/>
        </w:rPr>
        <w:t>یکم. «اختیار صریح»: آن‌چه در متن قانون اساسی (اصل ۱۱۰ و اصول دیگر) به‌صراحت آمده است؛ مانند فرماندهی کل قوا و اعلان جنگ و صلح. این اختیارات، نیازمند استنباط نیست.</w:t>
      </w:r>
    </w:p>
    <w:p>
      <w:pPr>
        <w:pStyle w:val="TH-Body"/>
        <w:widowControl/>
        <w:bidi w:val="1"/>
        <w:spacing w:before="0" w:after="120" w:line="276" w:lineRule="auto"/>
        <w:jc w:val="both"/>
      </w:pPr>
      <w:r>
        <w:rPr>
          <w:rFonts w:ascii="B Lotus" w:hAnsi="B Lotus" w:cs="B Lotus" w:eastAsia="B Lotus"/>
          <w:b w:val="0"/>
          <w:i w:val="0"/>
          <w:sz w:val="28"/>
          <w:szCs w:val="28"/>
        </w:rPr>
        <w:t>دوم. «اختیار ضمنی»: آن‌چه از اطلاق یا عموم بندهای اصل ۱۱۰ (به‌ویژه بندهای ۱، ۵، ۷ و ۸) استنباط می‌شود؛ مانند تصمیم درباره سرنوشت معاهده‌ای که با «سیاست‌های کلی نظام» (بند ۱) یا «معضل نظام» (بند ۸) گره خورده است. اختیار مورد بحث این رساله، دست‌کم در این مرتبه قرار دارد.</w:t>
      </w:r>
    </w:p>
    <w:p>
      <w:pPr>
        <w:pStyle w:val="TH-Body"/>
        <w:widowControl/>
        <w:bidi w:val="1"/>
        <w:spacing w:before="0" w:after="120" w:line="276" w:lineRule="auto"/>
        <w:jc w:val="both"/>
      </w:pPr>
      <w:r>
        <w:rPr>
          <w:rFonts w:ascii="B Lotus" w:hAnsi="B Lotus" w:cs="B Lotus" w:eastAsia="B Lotus"/>
          <w:b w:val="0"/>
          <w:i w:val="0"/>
          <w:sz w:val="28"/>
          <w:szCs w:val="28"/>
        </w:rPr>
        <w:t>سوم. «اختیار ولایی»: آن‌چه از «ولایت مطلقه» مذکور در اصل ۵۷ ناشی می‌شود و فراتر از نصوص خاص است؛ مانند تصمیم فوق‌العاده‌ای که هیچ بندی از اصل ۱۱۰ آن را پوشش نمی‌دهد، اما اداره نظام بدان وابسته است.</w:t>
      </w:r>
    </w:p>
    <w:p>
      <w:pPr>
        <w:pStyle w:val="TH-Body"/>
        <w:widowControl/>
        <w:bidi w:val="1"/>
        <w:spacing w:before="0" w:after="120" w:line="276" w:lineRule="auto"/>
        <w:jc w:val="both"/>
      </w:pPr>
      <w:r>
        <w:rPr>
          <w:rFonts w:ascii="B Lotus" w:hAnsi="B Lotus" w:cs="B Lotus" w:eastAsia="B Lotus"/>
          <w:b w:val="0"/>
          <w:i w:val="0"/>
          <w:sz w:val="28"/>
          <w:szCs w:val="28"/>
        </w:rPr>
        <w:t>چهارم. «اختیار حکومتی»: آن‌چه از «حکم حکومتی» ولی فقیه در مقام تزاحم ناشی می‌شود (مبنای فصل چهارم) و صورت اعمالِ دو مرتبه پیشین است.</w:t>
      </w:r>
    </w:p>
    <w:p>
      <w:pPr>
        <w:pStyle w:val="TH-Body"/>
        <w:widowControl/>
        <w:bidi w:val="1"/>
        <w:spacing w:before="0" w:after="120" w:line="276" w:lineRule="auto"/>
        <w:jc w:val="both"/>
      </w:pPr>
      <w:r>
        <w:rPr>
          <w:rFonts w:ascii="B Lotus" w:hAnsi="B Lotus" w:cs="B Lotus" w:eastAsia="B Lotus"/>
          <w:b w:val="0"/>
          <w:i w:val="0"/>
          <w:sz w:val="28"/>
          <w:szCs w:val="28"/>
        </w:rPr>
        <w:t>بر اساس این تفکیک، قانون اساسی، «کف» اختیارات رهبری است نه «سقف» آن؛ اما حرکت از کف به سقف، «مقید» است: مقید به مصلحت واقعی، تزاحم واقعی، و ضوابط هشت‌گانه فصل چهارم. به بیان دیگر، «عدم حصر» به معنای «عدم ضابطه» نیست؛ و همین، جمع میان منطق ولایت و منطق قانون است.</w:t>
      </w:r>
    </w:p>
    <w:p>
      <w:pPr>
        <w:pStyle w:val="TH-Body"/>
        <w:widowControl/>
        <w:bidi w:val="1"/>
        <w:spacing w:before="0" w:after="120" w:line="276" w:lineRule="auto"/>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کنار بزند؟ پاسخ در منطق این رساله روشن است: حکم حکومتیِ مصلحت‌سنجیده در مقام تزاحم، بر قانون عادی «مقدم» می‌شود (چنان‌که امام خمینی نیز حکومت را مقدم بر احکام فرعیه دانست)؛ اما این تقدم، «تعلیقی و موقت» است نه «نسخ دائم»؛ یعنی قانون، اعتبار خود را از دست نمی‌دهد، بلکه اجرای آن به‌طور موقت متوقف می‌شود و با رفع تزاحم، بازمی‌گردد. این تحلیل، هم با منطق تزاحم (فصل چهارم) سازگار است و هم با منطق تعلیق در حقوق بین‌الملل (ماده ۷۲ وین) هم‌خوان است.</w:t>
      </w:r>
    </w:p>
    <w:p>
      <w:pPr>
        <w:pStyle w:val="TH-Goftar"/>
        <w:widowControl/>
        <w:bidi w:val="1"/>
        <w:spacing w:before="200" w:after="120" w:line="276" w:lineRule="auto"/>
        <w:jc w:val="right"/>
      </w:pPr>
      <w:r>
        <w:rPr>
          <w:rFonts w:ascii="B Titr" w:hAnsi="B Titr" w:cs="B Titr" w:eastAsia="B Titr"/>
          <w:b/>
          <w:i w:val="0"/>
          <w:sz w:val="32"/>
          <w:szCs w:val="32"/>
        </w:rPr>
        <w:t>حاصل فصل پنجم</w:t>
      </w:r>
    </w:p>
    <w:p>
      <w:pPr>
        <w:pStyle w:val="TH-Body"/>
        <w:widowControl/>
        <w:bidi w:val="1"/>
        <w:spacing w:before="0" w:after="120" w:line="276" w:lineRule="auto"/>
        <w:jc w:val="both"/>
      </w:pPr>
      <w:r>
        <w:rPr>
          <w:rFonts w:ascii="B Lotus" w:hAnsi="B Lotus" w:cs="B Lotus" w:eastAsia="B Lotus"/>
          <w:b w:val="0"/>
          <w:i w:val="0"/>
          <w:sz w:val="28"/>
          <w:szCs w:val="28"/>
        </w:rPr>
        <w:t>حاصل این فصل، پاسخ به سؤال فرعی اول و تکمیل پاسخ سؤال اصلی است: تصمیم ولی فقیه مبنی بر تعلیق یا نقض معاهده، بی‌تردید به دولت ایران «منتسب» می‌شود (ماده ۴ طرح مسئولیت) و در صورت عدم انطباق با تعهد، «نقض» محسوب می‌شود (ماده ۱۲)؛ و هیچ توجیه داخلی ـ اعم از حکم حکومتی، مصلحت یا قانون اساسی ـ در سطح بین‌المللی پذیرفته نیست (ماده ۲۷ وین). تنها راه رهایی از مسئولیت، گنجاندن رفتار در قالب نهادهای موجه (تعلیق/خاتمه موجه یا اسباب رافع) است که آستانه‌ای بسیار بالا دارند. در سطح داخلی نیز، تصمیم ولی فقیه در چارچوب اختیار ضمنی، ولایی و حکومتی، معتبر است؛ هرچند قانون اساسی درباره آن صراحتی ندارد. بدین‌ترتیب، تصویر نهایی سه‌سطحی است: «جواز فقهیِ مقید»، «مشروعیت داخلیِ مشروط»، و «مسئولیت بین‌المللیِ بالقوه»؛ و هنر حکمرانی، مدیریت هم‌زمان هر سه سطح است.</w:t>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نتیجه‌گیری</w:t>
      </w:r>
    </w:p>
    <w:p>
      <w:pPr>
        <w:pStyle w:val="TH-Band"/>
        <w:widowControl/>
        <w:bidi w:val="1"/>
        <w:spacing w:before="200" w:after="120" w:line="276" w:lineRule="auto"/>
        <w:jc w:val="right"/>
      </w:pPr>
      <w:r>
        <w:rPr>
          <w:rFonts w:ascii="B Traffic" w:hAnsi="B Traffic" w:cs="B Traffic" w:eastAsia="B Traffic"/>
          <w:b/>
          <w:i w:val="0"/>
          <w:sz w:val="28"/>
          <w:szCs w:val="28"/>
        </w:rPr>
        <w:t>۱. پاسخ سؤال اصلی</w:t>
      </w:r>
    </w:p>
    <w:p>
      <w:pPr>
        <w:pStyle w:val="TH-Body"/>
        <w:widowControl/>
        <w:bidi w:val="1"/>
        <w:spacing w:before="0" w:after="120" w:line="276" w:lineRule="auto"/>
        <w:jc w:val="both"/>
      </w:pPr>
      <w:r>
        <w:rPr>
          <w:rFonts w:ascii="B Lotus" w:hAnsi="B Lotus" w:cs="B Lotus" w:eastAsia="B Lotus"/>
          <w:b w:val="0"/>
          <w:i w:val="0"/>
          <w:sz w:val="28"/>
          <w:szCs w:val="28"/>
        </w:rPr>
        <w:t>سؤال اصلی پژوهش چنین بود: قلمرو و ضوابط اختیارات ولی فقیه در تعلیق یا نقض یک‌جانبه معاهدات بین‌المللی چیست؟ پاسخ مستفاد از مجموع مباحث رساله، در سه گزاره خلاصه می‌شود:</w:t>
      </w:r>
    </w:p>
    <w:p>
      <w:pPr>
        <w:pStyle w:val="TH-Body"/>
        <w:widowControl/>
        <w:bidi w:val="1"/>
        <w:spacing w:before="0" w:after="120" w:line="276" w:lineRule="auto"/>
        <w:jc w:val="both"/>
      </w:pPr>
      <w:r>
        <w:rPr>
          <w:rFonts w:ascii="B Lotus" w:hAnsi="B Lotus" w:cs="B Lotus" w:eastAsia="B Lotus"/>
          <w:b w:val="0"/>
          <w:i w:val="0"/>
          <w:sz w:val="28"/>
          <w:szCs w:val="28"/>
        </w:rPr>
        <w:t>گزاره یکم (اصل اختیار): ولی فقیه در مدیریت سرنوشت معاهدات بین‌المللی دولت جمهوری اسلامی ایران ـ از جمله تعلیق یا پایان‌دادن به اجرای آن‌ها ـ «اختیار» دارد. مبنای این اختیار، ولایت عامه فقیه در اداره نظام، وجوب حفظ نظام، و قاعده تزاحم و اهم و مهم است؛ و قالب فقهی آن، «حکم حکومتی» است.</w:t>
      </w:r>
    </w:p>
    <w:p>
      <w:pPr>
        <w:pStyle w:val="TH-Body"/>
        <w:widowControl/>
        <w:bidi w:val="1"/>
        <w:spacing w:before="0" w:after="120" w:line="276" w:lineRule="auto"/>
        <w:jc w:val="both"/>
      </w:pPr>
      <w:r>
        <w:rPr>
          <w:rFonts w:ascii="B Lotus" w:hAnsi="B Lotus" w:cs="B Lotus" w:eastAsia="B Lotus"/>
          <w:b w:val="0"/>
          <w:i w:val="0"/>
          <w:sz w:val="28"/>
          <w:szCs w:val="28"/>
        </w:rPr>
        <w:t>گزاره دوم (قلمرو): قلمرو این اختیار، «تعلیق موقتِ مصلحت‌سنجیده» را به‌صورت اصلی در بر می‌گیرد؛ «انباذ اعلام‌شده» (پایان‌دادن شفاف) و «عدول واکنشی» (در برابر نقض طرف مقابل) را به‌صورت مشروط در بر می‌گیرد؛ و «غدر و پیمان‌شکنی پنهانی» را به‌هیچ‌وجه در بر نمی‌گیرد. همچنین این اختیار، مقید به «سقف» قواعد آمره حقوق بین‌الملل و احکام قطعی شرع است.</w:t>
      </w:r>
    </w:p>
    <w:p>
      <w:pPr>
        <w:pStyle w:val="TH-Body"/>
        <w:widowControl/>
        <w:bidi w:val="1"/>
        <w:spacing w:before="0" w:after="120" w:line="276" w:lineRule="auto"/>
        <w:jc w:val="both"/>
      </w:pPr>
      <w:r>
        <w:rPr>
          <w:rFonts w:ascii="B Lotus" w:hAnsi="B Lotus" w:cs="B Lotus" w:eastAsia="B Lotus"/>
          <w:b w:val="0"/>
          <w:i w:val="0"/>
          <w:sz w:val="28"/>
          <w:szCs w:val="28"/>
        </w:rPr>
        <w:t>گزاره سوم (ضوابط): اعمال این اختیار، منوط به ضوابط هشت‌گانه است: (۱) احراز مصلحت واقعی و اهم؛ (۲) انتفای راه‌حل کم‌هزینه‌تر؛ (۳) تشخیص ولی فقیه با پشتوانه کارشناسی نهادها؛ (۴) تناسب میان شدت عدول و شدت مصلحت؛ (۵) موقت‌بودن تعلیق با افق روشن؛ (۶) اعلام و شفافیت (انباذ علی سواء)؛ (۷) عدم مخالفت با قواعد آمره و قطعیات؛ و (۸) پذیرش آثار و پیش‌بینی جبران.</w:t>
      </w:r>
    </w:p>
    <w:p>
      <w:pPr>
        <w:pStyle w:val="TH-Band"/>
        <w:widowControl/>
        <w:bidi w:val="1"/>
        <w:spacing w:before="200" w:after="120" w:line="276" w:lineRule="auto"/>
        <w:jc w:val="right"/>
      </w:pPr>
      <w:r>
        <w:rPr>
          <w:rFonts w:ascii="B Traffic" w:hAnsi="B Traffic" w:cs="B Traffic" w:eastAsia="B Traffic"/>
          <w:b/>
          <w:i w:val="0"/>
          <w:sz w:val="28"/>
          <w:szCs w:val="28"/>
        </w:rPr>
        <w:t>۲. پاسخ سؤال فرعی اول</w:t>
      </w:r>
    </w:p>
    <w:p>
      <w:pPr>
        <w:pStyle w:val="TH-Body"/>
        <w:widowControl/>
        <w:bidi w:val="1"/>
        <w:spacing w:before="0" w:after="120" w:line="276" w:lineRule="auto"/>
        <w:jc w:val="both"/>
      </w:pPr>
      <w:r>
        <w:rPr>
          <w:rFonts w:ascii="B Lotus" w:hAnsi="B Lotus" w:cs="B Lotus" w:eastAsia="B Lotus"/>
          <w:b w:val="0"/>
          <w:i w:val="0"/>
          <w:sz w:val="28"/>
          <w:szCs w:val="28"/>
        </w:rPr>
        <w:t>تصمیم ولی فقیه مبنی بر تعلیق یا نقض معاهده، در سطح بین‌المللی به دولت جمهوری اسلامی ایران «منتسب» می‌شود (ماده ۴ طرح مسئولیت) و در صورت عدم انطباق رفتار با تعهد، «نقض» محسوب می‌شود (ماده ۱۲)؛ و هیچ‌یک از توجیهات داخلی ـ از جمله حکم حکومتی، مصلحت نظام و قانون اساسی ـ در برابر طرف مقابل پذیرفته نیست (ماده ۲۷ کنوانسیون وین). تنها در صورتی که رفتار دولت در قالب نهادهای موجه (تعلیق یا خاتمه موجه بر اساس مواد ۵۴ تا ۶۴ وین، یا اسباب رافع وصف متخلفانه مانند ضرورت و اقدام متقابل) بگنجد، مسئولیت منتفی می‌شود؛ و آستانه این نهادها بسیار بالاست. در غیر این صورت، آثار مسئولیت ـ توقف، جبران (اعاده وضع، غرامت، جلب رضایت) و آثار دوره تعلیق ـ بر دولت بار می‌شود. بنابراین، «جواز فقهی» تصمیم، «رافع مسئولیت بین‌المللی» نیست و حاکم عاقل باید هزینه بین‌المللی را در محاسبه مصلحت لحاظ کند.</w:t>
      </w:r>
    </w:p>
    <w:p>
      <w:pPr>
        <w:pStyle w:val="TH-Band"/>
        <w:widowControl/>
        <w:bidi w:val="1"/>
        <w:spacing w:before="200" w:after="120" w:line="276" w:lineRule="auto"/>
        <w:jc w:val="right"/>
      </w:pPr>
      <w:r>
        <w:rPr>
          <w:rFonts w:ascii="B Traffic" w:hAnsi="B Traffic" w:cs="B Traffic" w:eastAsia="B Traffic"/>
          <w:b/>
          <w:i w:val="0"/>
          <w:sz w:val="28"/>
          <w:szCs w:val="28"/>
        </w:rPr>
        <w:t>۳. پاسخ سؤال فرعی دوم</w:t>
      </w:r>
    </w:p>
    <w:p>
      <w:pPr>
        <w:pStyle w:val="TH-Body"/>
        <w:widowControl/>
        <w:bidi w:val="1"/>
        <w:spacing w:before="0" w:after="120" w:line="276" w:lineRule="auto"/>
        <w:jc w:val="both"/>
      </w:pPr>
      <w:r>
        <w:rPr>
          <w:rFonts w:ascii="B Lotus" w:hAnsi="B Lotus" w:cs="B Lotus" w:eastAsia="B Lotus"/>
          <w:b w:val="0"/>
          <w:i w:val="0"/>
          <w:sz w:val="28"/>
          <w:szCs w:val="28"/>
        </w:rPr>
        <w:t>مصلحت نظام می‌تواند مجوز عدول از تعهدات بین‌المللی باشد، اما نه «هر مصلحتی»، بلکه تنها «مصلحت واقعی، اهم و احرازشده»؛ و نه «به هر صورتی»، بلکه تنها در چارچوب ضوابط هشت‌گانه. مرجع نهایی تشخیص این مصلحت، ولی فقیه است؛ اما تشخیص او باید مبتنی بر مشورت کارشناسی نهادهای تخصصی (مجمع تشخیص مصلحت نظام و شورای عالی امنیت ملی) باشد. معیار تشخیص، «اهم‌بودن عقلایی» مصلحتِ عدول نسبت به مصلحتِ وفاست. اختیار ناشی از مصلحت، «مقید» است نه مطلق؛ و درباره درجه اطمینان لازم، «خوف عقلایی مستند به قرائن» کافی است و نیازی به وقوع بالفعل خسارت نیست، مشروط بر رعایت اصل «تناسب میان شدت عدول و درجه اطمینان».</w:t>
      </w:r>
    </w:p>
    <w:p>
      <w:pPr>
        <w:pStyle w:val="TH-Band"/>
        <w:widowControl/>
        <w:bidi w:val="1"/>
        <w:spacing w:before="200" w:after="120" w:line="276" w:lineRule="auto"/>
        <w:jc w:val="right"/>
      </w:pPr>
      <w:r>
        <w:rPr>
          <w:rFonts w:ascii="B Traffic" w:hAnsi="B Traffic" w:cs="B Traffic" w:eastAsia="B Traffic"/>
          <w:b/>
          <w:i w:val="0"/>
          <w:sz w:val="28"/>
          <w:szCs w:val="28"/>
        </w:rPr>
        <w:t>۴. یافته‌ها و نوآوری‌ها</w:t>
      </w:r>
    </w:p>
    <w:p>
      <w:pPr>
        <w:pStyle w:val="TH-Body"/>
        <w:widowControl/>
        <w:bidi w:val="1"/>
        <w:spacing w:before="0" w:after="120" w:line="276" w:lineRule="auto"/>
        <w:jc w:val="both"/>
      </w:pPr>
      <w:r>
        <w:rPr>
          <w:rFonts w:ascii="B Lotus" w:hAnsi="B Lotus" w:cs="B Lotus" w:eastAsia="B Lotus"/>
          <w:b w:val="0"/>
          <w:i w:val="0"/>
          <w:sz w:val="28"/>
          <w:szCs w:val="28"/>
        </w:rPr>
        <w:t>مهم‌ترین یافته‌ها و نوآوری‌های این پژوهش عبارت‌اند از:</w:t>
      </w:r>
    </w:p>
    <w:p>
      <w:pPr>
        <w:pStyle w:val="TH-Body"/>
        <w:widowControl/>
        <w:bidi w:val="1"/>
        <w:spacing w:before="0" w:after="120" w:line="276" w:lineRule="auto"/>
        <w:jc w:val="both"/>
      </w:pPr>
      <w:r>
        <w:rPr>
          <w:rFonts w:ascii="B Lotus" w:hAnsi="B Lotus" w:cs="B Lotus" w:eastAsia="B Lotus"/>
          <w:b w:val="0"/>
          <w:i w:val="0"/>
          <w:sz w:val="28"/>
          <w:szCs w:val="28"/>
        </w:rPr>
        <w:t>یکم. اثبات «تزاحمی‌بودن» رابطه ادله وفا با ادله اختیار حاکم (در برابر فرضیه رایجِ تعارض) و استخراج لوازم آن، به‌ویژه «موقت‌بودن» عدول و «بازگشت تکلیف وفا» با رفع تزاحم.</w:t>
      </w:r>
    </w:p>
    <w:p>
      <w:pPr>
        <w:pStyle w:val="TH-Body"/>
        <w:widowControl/>
        <w:bidi w:val="1"/>
        <w:spacing w:before="0" w:after="120" w:line="276" w:lineRule="auto"/>
        <w:jc w:val="both"/>
      </w:pPr>
      <w:r>
        <w:rPr>
          <w:rFonts w:ascii="B Lotus" w:hAnsi="B Lotus" w:cs="B Lotus" w:eastAsia="B Lotus"/>
          <w:b w:val="0"/>
          <w:i w:val="0"/>
          <w:sz w:val="28"/>
          <w:szCs w:val="28"/>
        </w:rPr>
        <w:t>دوم. ارائه «طیف شدت عدول» (از تعلیق جزئی تا غدر ممنوع) و اصل «تناسب میان شدت عدول و درجه اطمینان» که چارچوبی عملی برای درجه‌بندی تصمیم‌هاست.</w:t>
      </w:r>
    </w:p>
    <w:p>
      <w:pPr>
        <w:pStyle w:val="TH-Body"/>
        <w:widowControl/>
        <w:bidi w:val="1"/>
        <w:spacing w:before="0" w:after="120" w:line="276" w:lineRule="auto"/>
        <w:jc w:val="both"/>
      </w:pPr>
      <w:r>
        <w:rPr>
          <w:rFonts w:ascii="B Lotus" w:hAnsi="B Lotus" w:cs="B Lotus" w:eastAsia="B Lotus"/>
          <w:b w:val="0"/>
          <w:i w:val="0"/>
          <w:sz w:val="28"/>
          <w:szCs w:val="28"/>
        </w:rPr>
        <w:t>سوم. استخراج «ضوابط هشت‌گانه عدول» در سه دسته مبنا، مرجع و فرایند، و شکل و آثار، که برای نخستین‌بار در قالب یک مجموعه منسجم صورت‌بندی شده است.</w:t>
      </w:r>
    </w:p>
    <w:p>
      <w:pPr>
        <w:pStyle w:val="TH-Body"/>
        <w:widowControl/>
        <w:bidi w:val="1"/>
        <w:spacing w:before="0" w:after="120" w:line="276" w:lineRule="auto"/>
        <w:jc w:val="both"/>
      </w:pPr>
      <w:r>
        <w:rPr>
          <w:rFonts w:ascii="B Lotus" w:hAnsi="B Lotus" w:cs="B Lotus" w:eastAsia="B Lotus"/>
          <w:b w:val="0"/>
          <w:i w:val="0"/>
          <w:sz w:val="28"/>
          <w:szCs w:val="28"/>
        </w:rPr>
        <w:t>چهارم. صورت‌بندی «تفکیک سه‌گانه» جواز فقهی، مشروعیت داخلی و مسئولیت بین‌المللی، که خلط رایج میان این سه سطح را برطرف می‌کند.</w:t>
      </w:r>
    </w:p>
    <w:p>
      <w:pPr>
        <w:pStyle w:val="TH-Body"/>
        <w:widowControl/>
        <w:bidi w:val="1"/>
        <w:spacing w:before="0" w:after="120" w:line="276" w:lineRule="auto"/>
        <w:jc w:val="both"/>
      </w:pPr>
      <w:r>
        <w:rPr>
          <w:rFonts w:ascii="B Lotus" w:hAnsi="B Lotus" w:cs="B Lotus" w:eastAsia="B Lotus"/>
          <w:b w:val="0"/>
          <w:i w:val="0"/>
          <w:sz w:val="28"/>
          <w:szCs w:val="28"/>
        </w:rPr>
        <w:t>پنجم. نقد مستندِ پیش‌فرضِ «ذکر صریح اختیار معاهداتی رهبری در اصل ۱۱۰» با تکیه بر واقعیت متنی قانون اساسی، و ارائه «تفکیک چهارگانه» اختیار صریح، ضمنی، ولایی و حکومتی به‌عنوان راه میانه میان حصرگرایی و عدم حصرِ بی‌ضابطه.</w:t>
      </w:r>
    </w:p>
    <w:p>
      <w:pPr>
        <w:pStyle w:val="TH-Body"/>
        <w:widowControl/>
        <w:bidi w:val="1"/>
        <w:spacing w:before="0" w:after="120" w:line="276" w:lineRule="auto"/>
        <w:jc w:val="both"/>
      </w:pPr>
      <w:r>
        <w:rPr>
          <w:rFonts w:ascii="B Lotus" w:hAnsi="B Lotus" w:cs="B Lotus" w:eastAsia="B Lotus"/>
          <w:b w:val="0"/>
          <w:i w:val="0"/>
          <w:sz w:val="28"/>
          <w:szCs w:val="28"/>
        </w:rPr>
        <w:t>ششم. پیونددادن نهاد قرآنی «انباذ علی سواء» با آیین اطلاع‌رسانی کنوانسیون وین (مواد ۶۵ تا ۶۸) و استخراج ضابطه مشترک «اعلام و شفافیت» از هر دو نظام.</w:t>
      </w:r>
    </w:p>
    <w:p>
      <w:pPr>
        <w:pStyle w:val="TH-Band"/>
        <w:widowControl/>
        <w:bidi w:val="1"/>
        <w:spacing w:before="200" w:after="120" w:line="276" w:lineRule="auto"/>
        <w:jc w:val="right"/>
      </w:pPr>
      <w:r>
        <w:rPr>
          <w:rFonts w:ascii="B Traffic" w:hAnsi="B Traffic" w:cs="B Traffic" w:eastAsia="B Traffic"/>
          <w:b/>
          <w:i w:val="0"/>
          <w:sz w:val="28"/>
          <w:szCs w:val="28"/>
        </w:rPr>
        <w:t>۵. پیشنهادها</w:t>
      </w:r>
    </w:p>
    <w:p>
      <w:pPr>
        <w:pStyle w:val="TH-Body"/>
        <w:widowControl/>
        <w:bidi w:val="1"/>
        <w:spacing w:before="0" w:after="120" w:line="276" w:lineRule="auto"/>
        <w:jc w:val="both"/>
      </w:pPr>
      <w:r>
        <w:rPr>
          <w:rFonts w:ascii="B Lotus" w:hAnsi="B Lotus" w:cs="B Lotus" w:eastAsia="B Lotus"/>
          <w:b w:val="0"/>
          <w:i w:val="0"/>
          <w:sz w:val="28"/>
          <w:szCs w:val="28"/>
        </w:rPr>
        <w:t>در پایان، چند پیشنهاد برای پژوهش‌های آینده و برای عمل ارائه می‌شود:</w:t>
      </w:r>
    </w:p>
    <w:p>
      <w:pPr>
        <w:pStyle w:val="TH-Body"/>
        <w:widowControl/>
        <w:bidi w:val="1"/>
        <w:spacing w:before="0" w:after="120" w:line="276" w:lineRule="auto"/>
        <w:jc w:val="both"/>
      </w:pPr>
      <w:r>
        <w:rPr>
          <w:rFonts w:ascii="B Lotus" w:hAnsi="B Lotus" w:cs="B Lotus" w:eastAsia="B Lotus"/>
          <w:b w:val="0"/>
          <w:i w:val="0"/>
          <w:sz w:val="28"/>
          <w:szCs w:val="28"/>
        </w:rPr>
        <w:t>پیشنهاد یکم (پژوهشی): بررسی تطبیقی مسئله در فقه عامه (به‌ویژه آرای مذاهب چهارگانه درباره صلح و هدنه) و مقایسه آن با یافته‌های این رساله، کاری شایسته است.</w:t>
      </w:r>
    </w:p>
    <w:p>
      <w:pPr>
        <w:pStyle w:val="TH-Body"/>
        <w:widowControl/>
        <w:bidi w:val="1"/>
        <w:spacing w:before="0" w:after="120" w:line="276" w:lineRule="auto"/>
        <w:jc w:val="both"/>
      </w:pPr>
      <w:r>
        <w:rPr>
          <w:rFonts w:ascii="B Lotus" w:hAnsi="B Lotus" w:cs="B Lotus" w:eastAsia="B Lotus"/>
          <w:b w:val="0"/>
          <w:i w:val="0"/>
          <w:sz w:val="28"/>
          <w:szCs w:val="28"/>
        </w:rPr>
        <w:t>پیشنهاد دوم (پژوهشی): گردآوری و تحلیل «رویه عملی» جمهوری اسلامی ایران در تعلیق، خاتمه و خروج از معاهدات (از جمله تجربه برجام) در قالب پژوهشی مستقل و میدانی ـ اسنادی.</w:t>
      </w:r>
    </w:p>
    <w:p>
      <w:pPr>
        <w:pStyle w:val="TH-Body"/>
        <w:widowControl/>
        <w:bidi w:val="1"/>
        <w:spacing w:before="0" w:after="120" w:line="276" w:lineRule="auto"/>
        <w:jc w:val="both"/>
      </w:pPr>
      <w:r>
        <w:rPr>
          <w:rFonts w:ascii="B Lotus" w:hAnsi="B Lotus" w:cs="B Lotus" w:eastAsia="B Lotus"/>
          <w:b w:val="0"/>
          <w:i w:val="0"/>
          <w:sz w:val="28"/>
          <w:szCs w:val="28"/>
        </w:rPr>
        <w:t>پیشنهاد سوم (پژوهشی): بررسی تفصیلی نسبت «حکم حکومتی» با «قانون عادیِ تصویب‌کننده معاهده» در سلسله‌مراتب هنجارهای نظام حقوقی ایران.</w:t>
      </w:r>
    </w:p>
    <w:p>
      <w:pPr>
        <w:pStyle w:val="TH-Body"/>
        <w:widowControl/>
        <w:bidi w:val="1"/>
        <w:spacing w:before="0" w:after="120" w:line="276" w:lineRule="auto"/>
        <w:jc w:val="both"/>
      </w:pPr>
      <w:r>
        <w:rPr>
          <w:rFonts w:ascii="B Lotus" w:hAnsi="B Lotus" w:cs="B Lotus" w:eastAsia="B Lotus"/>
          <w:b w:val="0"/>
          <w:i w:val="0"/>
          <w:sz w:val="28"/>
          <w:szCs w:val="28"/>
        </w:rPr>
        <w:t>پیشنهاد چهارم (عملی): تدوین «دستورالعمل راهبردی مدیریت تعهدات بین‌المللی» بر اساس ضوابط هشت‌گانه این رساله، برای استفاده نهادهای تصمیم‌گیر.</w:t>
      </w:r>
    </w:p>
    <w:p>
      <w:pPr>
        <w:pStyle w:val="TH-Body"/>
        <w:widowControl/>
        <w:bidi w:val="1"/>
        <w:spacing w:before="0" w:after="120" w:line="276" w:lineRule="auto"/>
        <w:jc w:val="both"/>
      </w:pPr>
      <w:r>
        <w:rPr>
          <w:rFonts w:ascii="B Lotus" w:hAnsi="B Lotus" w:cs="B Lotus" w:eastAsia="B Lotus"/>
          <w:b w:val="0"/>
          <w:i w:val="0"/>
          <w:sz w:val="28"/>
          <w:szCs w:val="28"/>
        </w:rPr>
        <w:t>پیشنهاد پنجم (عملی): گنجاندن «شرط بازنگری» و «سازوکار حل اختلاف» در همه معاهدات آتی دولت ایران، تا نیاز به عدول فوق‌العاده به حداقل برسد (مقتضای ضابطه دوم).</w:t>
      </w:r>
    </w:p>
    <w:p>
      <w:pPr>
        <w:pStyle w:val="TH-Body"/>
        <w:widowControl/>
        <w:bidi w:val="1"/>
        <w:spacing w:before="0" w:after="120" w:line="276" w:lineRule="auto"/>
        <w:jc w:val="both"/>
      </w:pPr>
      <w:r>
        <w:rPr>
          <w:rFonts w:ascii="B Lotus" w:hAnsi="B Lotus" w:cs="B Lotus" w:eastAsia="B Lotus"/>
          <w:b w:val="0"/>
          <w:i w:val="0"/>
          <w:sz w:val="28"/>
          <w:szCs w:val="28"/>
        </w:rPr>
        <w:t>و در پایان، نگارنده اذعان می‌کند که این رساله، گامی نخستین در مسئله‌ای پیچیده و چندلایه است؛ و از همه اساتید و داوران ارجمند، تذکرات اصلاحی و تکمیلی را با سپاس می‌پذیرد. «وَمَا تَوْفِیقِی إِلَّا بِاللَّهِ» (هود، ۸۸).</w:t>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فهرست منابع</w:t>
      </w:r>
    </w:p>
    <w:p>
      <w:pPr>
        <w:pStyle w:val="TH-Goftar"/>
        <w:widowControl/>
        <w:bidi w:val="1"/>
        <w:spacing w:before="200" w:after="120" w:line="276" w:lineRule="auto"/>
        <w:jc w:val="right"/>
      </w:pPr>
      <w:r>
        <w:rPr>
          <w:rFonts w:ascii="B Titr" w:hAnsi="B Titr" w:cs="B Titr" w:eastAsia="B Titr"/>
          <w:b/>
          <w:i w:val="0"/>
          <w:sz w:val="32"/>
          <w:szCs w:val="32"/>
        </w:rPr>
        <w:t>۱. قرآن کریم و منابع حدیثی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قرآن کریم.</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نهج‌البلاغه (گردآوری: سید رضی، محمد بن حسین).</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حرّ عاملی، محمد بن حسن، وسائل‌الشیعة إلی تحصیل مسائل الشریعة.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کلینی، محمد بن یعقوب، الکافی.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تهذیب‌الاحکام.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الاستبصار فیما اختلف من الأخبار.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صدوق، محمد بن علی بن بابویه، من لایحضره الفقیه.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صدوق، محمد بن علی بن بابویه، کمال‌الدین و تمام‌النعمة.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طبرسی، احمد بن علی، الاحتجاج علی أهل اللجاج.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طبرسی، فضل بن حسن، مجمع‌البیان فی تفسیر القرآن.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طباطبایی، سیدمحمدحسین، المیزان فی تفسیر القرآن. (مشخصات چاپی: نیازمند تطبیق با نسخه موجود)</w:t>
      </w:r>
    </w:p>
    <w:p>
      <w:pPr>
        <w:pStyle w:val="TH-Goftar"/>
        <w:widowControl/>
        <w:bidi w:val="1"/>
        <w:spacing w:before="200" w:after="120" w:line="276" w:lineRule="auto"/>
        <w:jc w:val="right"/>
      </w:pPr>
      <w:r>
        <w:rPr>
          <w:rFonts w:ascii="B Titr" w:hAnsi="B Titr" w:cs="B Titr" w:eastAsia="B Titr"/>
          <w:b/>
          <w:i w:val="0"/>
          <w:sz w:val="32"/>
          <w:szCs w:val="32"/>
        </w:rPr>
        <w:t>۲. کتب فقهی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طوسی، محمد بن حسن، المبسوط فی فقه الإمامیة.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محقق حلی، جعفر بن حسن، شرائع‌الاسلام فی مسائل الحلال و الحرام.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علامه حلی، حسن بن یوسف، تذکرة‌الفقهاء.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شهید ثانی، زین‌الدین بن علی، مسالک‌الافهام إلی تنقیح شرائع‌الاسلام.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نجفی، محمدحسن، جواهرالکلام فی شرح شرائع‌الاسلام.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انصاری، مرتضی، المکاسب.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خویی، سیدابوالقاسم، مصباح‌الفقاهة.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کتاب‌البیع.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تحریرالوسیلة.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صحیفه امام (مجموعه آثار). (مشخصات چاپی: نیازمند تطبیق با نسخه موجود)</w:t>
      </w:r>
    </w:p>
    <w:p>
      <w:pPr>
        <w:pStyle w:val="TH-Goftar"/>
        <w:widowControl/>
        <w:bidi w:val="1"/>
        <w:spacing w:before="200" w:after="120" w:line="276" w:lineRule="auto"/>
        <w:jc w:val="right"/>
      </w:pPr>
      <w:r>
        <w:rPr>
          <w:rFonts w:ascii="B Titr" w:hAnsi="B Titr" w:cs="B Titr" w:eastAsia="B Titr"/>
          <w:b/>
          <w:i w:val="0"/>
          <w:sz w:val="32"/>
          <w:szCs w:val="32"/>
        </w:rPr>
        <w:t>۳. کتب اصولی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آخوند خراسانی، محمدکاظم، کفایة‌الاصول.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انصاری، مرتضی، فرائدالاصول (الرسائل).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نائینی، محمدحسین (تقریر: کاظمی خراسانی، محمدعلی)، فوائدالاصول. (مشخصات چاپی: نیازمند تطبیق با نسخه موجود)</w:t>
      </w:r>
    </w:p>
    <w:p>
      <w:pPr>
        <w:pStyle w:val="TH-Goftar"/>
        <w:widowControl/>
        <w:bidi w:val="1"/>
        <w:spacing w:before="200" w:after="120" w:line="276" w:lineRule="auto"/>
        <w:jc w:val="right"/>
      </w:pPr>
      <w:r>
        <w:rPr>
          <w:rFonts w:ascii="B Titr" w:hAnsi="B Titr" w:cs="B Titr" w:eastAsia="B Titr"/>
          <w:b/>
          <w:i w:val="0"/>
          <w:sz w:val="32"/>
          <w:szCs w:val="32"/>
        </w:rPr>
        <w:t>۴. کتب فقه سیاسی و اندیشه سیاسی اسلام</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نائینی، محمدحسین، تنبیه‌الامة و تنزیه‌الملّة.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امام خمینی، سیدروح‌الله، ولایت فقیه (تقریر درس).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مطهری، مرتضی، ولاءها و ولایت‌ها.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عمید زنجانی، عباسعلی، فقه سیاسی. (مشخصات چاپی: نیازمند تطبیق با نسخه موجود)</w:t>
      </w:r>
    </w:p>
    <w:p>
      <w:pPr>
        <w:pStyle w:val="TH-Goftar"/>
        <w:widowControl/>
        <w:bidi w:val="1"/>
        <w:spacing w:before="200" w:after="120" w:line="276" w:lineRule="auto"/>
        <w:jc w:val="right"/>
      </w:pPr>
      <w:r>
        <w:rPr>
          <w:rFonts w:ascii="B Titr" w:hAnsi="B Titr" w:cs="B Titr" w:eastAsia="B Titr"/>
          <w:b/>
          <w:i w:val="0"/>
          <w:sz w:val="32"/>
          <w:szCs w:val="32"/>
        </w:rPr>
        <w:t>۵. کتب حقوق اساسی و حقوق بین‌الملل</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قاضی شریعت‌پناهی، سیدابوالفضل، حقوق اساسی و نهادهای سیاسی.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هاشمی، سیدمحمد، حقوق اساسی جمهوری اسلامی ایران (دو جلد). (مشخصات چاپی: نیازمند تطبیق با نسخه موجود)</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ضیایی بیگدلی، محمدرضا، حقوق بین‌الملل عمومی. (مشخصات چاپی: نیازمند تطبیق با نسخه موجود)</w:t>
      </w:r>
    </w:p>
    <w:p>
      <w:pPr>
        <w:pStyle w:val="TH-Goftar"/>
        <w:widowControl/>
        <w:bidi w:val="1"/>
        <w:spacing w:before="200" w:after="120" w:line="276" w:lineRule="auto"/>
        <w:jc w:val="right"/>
      </w:pPr>
      <w:r>
        <w:rPr>
          <w:rFonts w:ascii="B Titr" w:hAnsi="B Titr" w:cs="B Titr" w:eastAsia="B Titr"/>
          <w:b/>
          <w:i w:val="0"/>
          <w:sz w:val="32"/>
          <w:szCs w:val="32"/>
        </w:rPr>
        <w:t>۶. مقالات و منابع اینترنتی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«قراردادهای بین‌المللی در اسلام»، پرتال جامع علوم انسانی، به نشانی: https://ensani.ir/fa/article/66940 (بازیابی: ۳۰ شهریور ۱۴۰۵).</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«حق شرط در معاهدات بین‌المللی (۱)»، پایگاه اطلاع‌رسانی حوزه، به نشانی: https://hawzah.net/fa/Article/View/79856 (بازیابی: ۳۰ شهریور ۱۴۰۵).</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«ولایت مطلقه فقیه در قانون اساسی»، پایگاه اطلاع‌رسانی حوزه، به نشانی: https://hawzah.net/fa/Article/View/5323 (بازیابی: ۳۰ شهریور ۱۴۰۵).</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«مفهوم ولایت مطلقه فقیه در قانون اساسی جمهوری اسلامی ایران»، پایگاه اطلاع‌رسانی حوزه، به نشانی: https://hawzah.net/fa/Article/View/95815 (بازیابی: ۳۰ شهریور ۱۴۰۵).</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«وفای به عهد در نهج‌البلاغه»، امامت‌پدیا (دانشنامه امامت و ولایت)، به نشانی: https://fa.imamatpedia.com/wiki/وفای_به_عهد_در_نهج_البلاغه (بازیابی: ۳۰ شهریور ۱۴۰۵).</w:t>
      </w:r>
    </w:p>
    <w:p>
      <w:pPr>
        <w:pStyle w:val="TH-Goftar"/>
        <w:widowControl/>
        <w:bidi w:val="1"/>
        <w:spacing w:before="200" w:after="120" w:line="276" w:lineRule="auto"/>
        <w:jc w:val="right"/>
      </w:pPr>
      <w:r>
        <w:rPr>
          <w:rFonts w:ascii="B Titr" w:hAnsi="B Titr" w:cs="B Titr" w:eastAsia="B Titr"/>
          <w:b/>
          <w:i w:val="0"/>
          <w:sz w:val="32"/>
          <w:szCs w:val="32"/>
        </w:rPr>
        <w:t>۷. اسناد، قوانین و آرای بین‌المللی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قانون اساسی جمهوری اسلامی ایران (مصوب ۱۳۵۸، بازنگری ۱۳۶۸)، اصول ۵، ۵۷، ۷۷، ۱۱۰، ۱۱۲، ۱۲۵ و ۱۷۶.</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کنوانسیون وین حقوق معاهدات (۱۹۶۹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طرح مواد کمیسیون حقوق بین‌الملل درباره مسئولیت بین‌المللی دولت‌ها (۲۰۰۱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منشور سازمان ملل متحد (۱۹۴۵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اساسنامه دیوان بین‌المللی دادگستری (۱۹۴۵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قطعنامه ۲۲۳۱ شورای امنیت سازمان ملل متحد (۲۰۱۵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برنامه جامع اقدام مشترک (برجام) (۲۰۱۵ میلادی).</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رأی دیوان بین‌المللی دادگستری در قضیه کارکنان دیپلماتیک و کنسولی ایالات متحده در تهران (۱۹۸۰).</w:t>
      </w:r>
    </w:p>
    <w:p>
      <w:pPr>
        <w:pStyle w:val="TH-Body"/>
        <w:widowControl/>
        <w:bidi w:val="1"/>
        <w:spacing w:before="0" w:after="80" w:line="276" w:lineRule="auto"/>
        <w:ind w:right="425"/>
        <w:jc w:val="both"/>
      </w:pPr>
      <w:r>
        <w:rPr>
          <w:rFonts w:ascii="B Lotus" w:hAnsi="B Lotus" w:cs="B Lotus" w:eastAsia="B Lotus"/>
          <w:b w:val="0"/>
          <w:i w:val="0"/>
          <w:sz w:val="24"/>
          <w:szCs w:val="24"/>
        </w:rPr>
        <w:t xml:space="preserve">◾ </w:t>
      </w:r>
      <w:r>
        <w:rPr>
          <w:rFonts w:ascii="B Lotus" w:hAnsi="B Lotus" w:cs="B Lotus" w:eastAsia="B Lotus"/>
          <w:b w:val="0"/>
          <w:i w:val="0"/>
          <w:sz w:val="28"/>
          <w:szCs w:val="28"/>
        </w:rPr>
        <w:t>رأی دیوان بین‌المللی دادگستری در قضیه گابچیکوو ـ ناگیماروش (۱۹۹۷).</w:t>
      </w:r>
    </w:p>
    <w:p>
      <w:r>
        <w:br w:type="page"/>
      </w:r>
    </w:p>
    <w:p>
      <w:pPr>
        <w:pStyle w:val="TH-Fasl"/>
        <w:widowControl/>
        <w:bidi w:val="1"/>
        <w:spacing w:before="120" w:after="200" w:line="276" w:lineRule="auto"/>
        <w:jc w:val="center"/>
        <w:pBdr>
          <w:bottom w:val="single" w:sz="12" w:space="6" w:color="1F3864"/>
        </w:pBdr>
      </w:pPr>
      <w:r>
        <w:rPr>
          <w:rFonts w:ascii="B Titr" w:hAnsi="B Titr" w:cs="B Titr" w:eastAsia="B Titr"/>
          <w:b/>
          <w:i w:val="0"/>
          <w:sz w:val="40"/>
          <w:szCs w:val="40"/>
        </w:rPr>
        <w:t>پیوست‌ها</w:t>
      </w:r>
    </w:p>
    <w:p>
      <w:pPr>
        <w:pStyle w:val="TH-Goftar"/>
        <w:widowControl/>
        <w:bidi w:val="1"/>
        <w:spacing w:before="200" w:after="120" w:line="276" w:lineRule="auto"/>
        <w:jc w:val="right"/>
      </w:pPr>
      <w:r>
        <w:rPr>
          <w:rFonts w:ascii="B Titr" w:hAnsi="B Titr" w:cs="B Titr" w:eastAsia="B Titr"/>
          <w:b/>
          <w:i w:val="0"/>
          <w:sz w:val="32"/>
          <w:szCs w:val="32"/>
        </w:rPr>
        <w:t>پیوست ۱: مواد کنوانسیون وین مورد استناد در این رساله</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ماده</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موضوع</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خلاصه کاربرد در رساله</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تعریف معاهده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مبنای مفهوم‌شناسی «معاهده» در فصل اول</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اصل وفای به عهد با حسن نیت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اصل بنیادین در برابر استثناها (فصل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۲۷</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عدم پذیرش استناد به حقوق داخلی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بنیاد تفکیک سطوح و مسئولیت (فصل پنجم)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۴۶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نقض آشکار قاعده بنیادین داخلی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استثنای محدودِ ناظر به مرحله انعقاد (فصل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۵۳</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بطلان معاهده متعارض با قاعده آمره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سقف نظام معاهدات؛ ضابطه هفتم (فصل چهارم)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۵۴ تا ۵۹</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خاتمه و تعلیق توافقی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راه‌حل‌های مقدم بر عدول یک‌جانبه؛ ضابطه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۶۰</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نقض اساسی و حق تعلیق/خاتمه واکنشی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پشتوانه «عدول واکنشی» (فصل پنجم)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۶۱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عدم امکان اجرا</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سبب موجه مضیق (فصل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۶۲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تغییر بنیادین اوضاع و احوال</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سبب موجه استثنایی با تفسیر مضیق دیوان (فصل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۶۴</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خاتمه با پیدایش قاعده آمره جدید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تکمیل سقف آمره (فصل دوم)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۶۵ تا ۶۸</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آیین اطلاع‌رسانی و مهلت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مبنای حقوقی ضابطه «اعلام و شفافیت» (فصل چهارم)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۷۰</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آثار خاتمه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بقای حقوق پیشین (فصل پنجم)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۷۲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آثار تعلیق</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معافیت موقت از اجرا با بقای رابطه حقوقی (فصل اول و پنجم)</w:t>
            </w:r>
          </w:p>
        </w:tc>
      </w:tr>
    </w:tbl>
    <w:p>
      <w:pPr>
        <w:spacing w:after="40"/>
      </w:pPr>
    </w:p>
    <w:p>
      <w:pPr>
        <w:pStyle w:val="TH-Goftar"/>
        <w:widowControl/>
        <w:bidi w:val="1"/>
        <w:spacing w:before="200" w:after="120" w:line="276" w:lineRule="auto"/>
        <w:jc w:val="right"/>
      </w:pPr>
      <w:r>
        <w:rPr>
          <w:rFonts w:ascii="B Titr" w:hAnsi="B Titr" w:cs="B Titr" w:eastAsia="B Titr"/>
          <w:b/>
          <w:i w:val="0"/>
          <w:sz w:val="32"/>
          <w:szCs w:val="32"/>
        </w:rPr>
        <w:t>پیوست ۲: مواد طرح مسئولیت بین‌المللی دولت‌ها مورد استناد در این رساله</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ماده</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موضوع</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خلاصه کاربرد در رساله</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اصل مسئولیت ناشی از عمل متخلفانه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چارچوب کلی فصل پنجم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دو رکن عمل متخلفانه (انتساب و نقض)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ساختار گفتار اول و دوم فصل پنجم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۴</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انتساب رفتار ارکان دولت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انتساب تصمیم ولی فقیه به دولت ایران</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۷</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انتساب با وجود تجاوز از صلاحیت داخلی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بی‌اثری صلاحیت داخلی در انتساب</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۱۱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انتساب با تأیید و پذیرش بعدی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مؤید (قضیه گروگان‌ها)</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۱۲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تعریف نقض تعهد (ملاک عینی)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تحقق نقض با عدم انطباق رفتار با تعهد</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۲۰ تا ۲۵</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اسباب رافع وصف متخلفانه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راه‌های رهایی از مسئولیت (گفتار سوم)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۲۵</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ضرورت (شرایط سخت‌گیرانه)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مقایسه با «مصلحت» فقهی؛ آستانه بالاتر</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۲۶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عدم شمول اسباب رافع در برابر قواعد آمره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سقف مشترک با ضابطه هفتم</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۳۰</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توقف رفتار و تضمین عدم تکرار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از آثار مسئولیت</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۳۱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جبران کامل خسارت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از آثار مسئولیت</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۳۲</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بی‌اعتباری استناد به حقوق داخلی در جبران</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تکمیل ماده ۲۷ وین</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۳۴ تا ۳۷</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صور جبران (اعاده وضع، غرامت، جلب رضایت)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تفصیل آثار مسئولیت</w:t>
            </w:r>
          </w:p>
        </w:tc>
      </w:tr>
    </w:tbl>
    <w:p>
      <w:pPr>
        <w:spacing w:after="40"/>
      </w:pPr>
    </w:p>
    <w:p>
      <w:pPr>
        <w:pStyle w:val="TH-Goftar"/>
        <w:widowControl/>
        <w:bidi w:val="1"/>
        <w:spacing w:before="200" w:after="120" w:line="276" w:lineRule="auto"/>
        <w:jc w:val="right"/>
      </w:pPr>
      <w:r>
        <w:rPr>
          <w:rFonts w:ascii="B Titr" w:hAnsi="B Titr" w:cs="B Titr" w:eastAsia="B Titr"/>
          <w:b/>
          <w:i w:val="0"/>
          <w:sz w:val="32"/>
          <w:szCs w:val="32"/>
        </w:rPr>
        <w:t>پیوست ۳: واژه‌نامه فارسی ـ عربی ـ انگلیسی اصطلاحات کلیدی</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فارسی</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عربی</w:t>
            </w:r>
          </w:p>
        </w:tc>
        <w:tc>
          <w:tcPr>
            <w:tcW w:type="dxa" w:w="3024"/>
            <w:shd w:val="clear" w:fill="D9D9D9"/>
          </w:tcPr>
          <w:p>
            <w:pPr>
              <w:widowControl/>
              <w:bidi w:val="1"/>
              <w:spacing w:before="40" w:after="40" w:line="276" w:lineRule="auto"/>
              <w:jc w:val="center"/>
            </w:pPr>
            <w:r/>
            <w:r>
              <w:rPr>
                <w:rFonts w:ascii="B Lotus" w:hAnsi="B Lotus" w:cs="B Lotus" w:eastAsia="B Lotus"/>
                <w:b/>
                <w:i w:val="0"/>
                <w:sz w:val="24"/>
                <w:szCs w:val="24"/>
              </w:rPr>
              <w:t>انگلیسی</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معاهده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المعاهدة</w:t>
            </w:r>
          </w:p>
        </w:tc>
        <w:tc>
          <w:tcPr>
            <w:tcW w:type="dxa" w:w="3024"/>
          </w:tcPr>
          <w:p>
            <w:pPr>
              <w:widowControl/>
              <w:bidi w:val="1"/>
              <w:spacing w:before="40" w:after="40" w:line="276" w:lineRule="auto"/>
              <w:jc w:val="center"/>
            </w:pPr>
            <w:r/>
            <w:r>
              <w:rPr>
                <w:rFonts w:ascii="B Lotus" w:hAnsi="B Lotus" w:cs="B Lotus" w:eastAsia="B Lotus"/>
                <w:b w:val="0"/>
                <w:i w:val="0"/>
                <w:sz w:val="24"/>
                <w:szCs w:val="24"/>
              </w:rPr>
              <w:t>Treaty</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تعلیق</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التعلیق</w:t>
            </w:r>
          </w:p>
        </w:tc>
        <w:tc>
          <w:tcPr>
            <w:tcW w:type="dxa" w:w="3024"/>
          </w:tcPr>
          <w:p>
            <w:pPr>
              <w:widowControl/>
              <w:bidi w:val="1"/>
              <w:spacing w:before="40" w:after="40" w:line="276" w:lineRule="auto"/>
              <w:jc w:val="center"/>
            </w:pPr>
            <w:r/>
            <w:r>
              <w:rPr>
                <w:rFonts w:ascii="B Lotus" w:hAnsi="B Lotus" w:cs="B Lotus" w:eastAsia="B Lotus"/>
                <w:b w:val="0"/>
                <w:i w:val="0"/>
                <w:sz w:val="24"/>
                <w:szCs w:val="24"/>
              </w:rPr>
              <w:t>Suspension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نقض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النقض / الإخلال</w:t>
            </w:r>
          </w:p>
        </w:tc>
        <w:tc>
          <w:tcPr>
            <w:tcW w:type="dxa" w:w="3024"/>
          </w:tcPr>
          <w:p>
            <w:pPr>
              <w:widowControl/>
              <w:bidi w:val="1"/>
              <w:spacing w:before="40" w:after="40" w:line="276" w:lineRule="auto"/>
              <w:jc w:val="center"/>
            </w:pPr>
            <w:r/>
            <w:r>
              <w:rPr>
                <w:rFonts w:ascii="B Lotus" w:hAnsi="B Lotus" w:cs="B Lotus" w:eastAsia="B Lotus"/>
                <w:b w:val="0"/>
                <w:i w:val="0"/>
                <w:sz w:val="24"/>
                <w:szCs w:val="24"/>
              </w:rPr>
              <w:t>Breach / Violation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خاتمه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الإنهاء</w:t>
            </w:r>
          </w:p>
        </w:tc>
        <w:tc>
          <w:tcPr>
            <w:tcW w:type="dxa" w:w="3024"/>
          </w:tcPr>
          <w:p>
            <w:pPr>
              <w:widowControl/>
              <w:bidi w:val="1"/>
              <w:spacing w:before="40" w:after="40" w:line="276" w:lineRule="auto"/>
              <w:jc w:val="center"/>
            </w:pPr>
            <w:r/>
            <w:r>
              <w:rPr>
                <w:rFonts w:ascii="B Lotus" w:hAnsi="B Lotus" w:cs="B Lotus" w:eastAsia="B Lotus"/>
                <w:b w:val="0"/>
                <w:i w:val="0"/>
                <w:sz w:val="24"/>
                <w:szCs w:val="24"/>
              </w:rPr>
              <w:t>Termination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خروج</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الانسحاب</w:t>
            </w:r>
          </w:p>
        </w:tc>
        <w:tc>
          <w:tcPr>
            <w:tcW w:type="dxa" w:w="3024"/>
          </w:tcPr>
          <w:p>
            <w:pPr>
              <w:widowControl/>
              <w:bidi w:val="1"/>
              <w:spacing w:before="40" w:after="40" w:line="276" w:lineRule="auto"/>
              <w:jc w:val="center"/>
            </w:pPr>
            <w:r/>
            <w:r>
              <w:rPr>
                <w:rFonts w:ascii="B Lotus" w:hAnsi="B Lotus" w:cs="B Lotus" w:eastAsia="B Lotus"/>
                <w:b w:val="0"/>
                <w:i w:val="0"/>
                <w:sz w:val="24"/>
                <w:szCs w:val="24"/>
              </w:rPr>
              <w:t>Withdrawal / Denunciation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وفای به عهد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الوفاء بالعهد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Pacta sunt servanda</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حکم حکومتی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الحکم الحکومی</w:t>
            </w:r>
          </w:p>
        </w:tc>
        <w:tc>
          <w:tcPr>
            <w:tcW w:type="dxa" w:w="3024"/>
          </w:tcPr>
          <w:p>
            <w:pPr>
              <w:widowControl/>
              <w:bidi w:val="1"/>
              <w:spacing w:before="40" w:after="40" w:line="276" w:lineRule="auto"/>
              <w:jc w:val="center"/>
            </w:pPr>
            <w:r/>
            <w:r>
              <w:rPr>
                <w:rFonts w:ascii="B Lotus" w:hAnsi="B Lotus" w:cs="B Lotus" w:eastAsia="B Lotus"/>
                <w:b w:val="0"/>
                <w:i w:val="0"/>
                <w:sz w:val="24"/>
                <w:szCs w:val="24"/>
              </w:rPr>
              <w:t>Governmental ruling</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مصلحت نظام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مصلحة النظام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Interest of the system (maslaha)</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حفظ نظام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حفظ النظام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Preservation of the system</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تزاحم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التزاحم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Conflict of obligations (tazahum)</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اهم و مهم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الأهم والمهم</w:t>
            </w:r>
          </w:p>
        </w:tc>
        <w:tc>
          <w:tcPr>
            <w:tcW w:type="dxa" w:w="3024"/>
          </w:tcPr>
          <w:p>
            <w:pPr>
              <w:widowControl/>
              <w:bidi w:val="1"/>
              <w:spacing w:before="40" w:after="40" w:line="276" w:lineRule="auto"/>
              <w:jc w:val="center"/>
            </w:pPr>
            <w:r/>
            <w:r>
              <w:rPr>
                <w:rFonts w:ascii="B Lotus" w:hAnsi="B Lotus" w:cs="B Lotus" w:eastAsia="B Lotus"/>
                <w:b w:val="0"/>
                <w:i w:val="0"/>
                <w:sz w:val="24"/>
                <w:szCs w:val="24"/>
              </w:rPr>
              <w:t>The more and less important</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ضرورت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الضرورة</w:t>
            </w:r>
          </w:p>
        </w:tc>
        <w:tc>
          <w:tcPr>
            <w:tcW w:type="dxa" w:w="3024"/>
          </w:tcPr>
          <w:p>
            <w:pPr>
              <w:widowControl/>
              <w:bidi w:val="1"/>
              <w:spacing w:before="40" w:after="40" w:line="276" w:lineRule="auto"/>
              <w:jc w:val="center"/>
            </w:pPr>
            <w:r/>
            <w:r>
              <w:rPr>
                <w:rFonts w:ascii="B Lotus" w:hAnsi="B Lotus" w:cs="B Lotus" w:eastAsia="B Lotus"/>
                <w:b w:val="0"/>
                <w:i w:val="0"/>
                <w:sz w:val="24"/>
                <w:szCs w:val="24"/>
              </w:rPr>
              <w:t>Necessity</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اضطرار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الاضطرار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Duress / Exigency</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انتساب</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الإسناد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Attribution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جبران خسارت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جبر الضرر / التعویض</w:t>
            </w:r>
          </w:p>
        </w:tc>
        <w:tc>
          <w:tcPr>
            <w:tcW w:type="dxa" w:w="3024"/>
          </w:tcPr>
          <w:p>
            <w:pPr>
              <w:widowControl/>
              <w:bidi w:val="1"/>
              <w:spacing w:before="40" w:after="40" w:line="276" w:lineRule="auto"/>
              <w:jc w:val="center"/>
            </w:pPr>
            <w:r/>
            <w:r>
              <w:rPr>
                <w:rFonts w:ascii="B Lotus" w:hAnsi="B Lotus" w:cs="B Lotus" w:eastAsia="B Lotus"/>
                <w:b w:val="0"/>
                <w:i w:val="0"/>
                <w:sz w:val="24"/>
                <w:szCs w:val="24"/>
              </w:rPr>
              <w:t>Reparation</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اقدام متقابل</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الإجراء المضاد</w:t>
            </w:r>
          </w:p>
        </w:tc>
        <w:tc>
          <w:tcPr>
            <w:tcW w:type="dxa" w:w="3024"/>
          </w:tcPr>
          <w:p>
            <w:pPr>
              <w:widowControl/>
              <w:bidi w:val="1"/>
              <w:spacing w:before="40" w:after="40" w:line="276" w:lineRule="auto"/>
              <w:jc w:val="center"/>
            </w:pPr>
            <w:r/>
            <w:r>
              <w:rPr>
                <w:rFonts w:ascii="B Lotus" w:hAnsi="B Lotus" w:cs="B Lotus" w:eastAsia="B Lotus"/>
                <w:b w:val="0"/>
                <w:i w:val="0"/>
                <w:sz w:val="24"/>
                <w:szCs w:val="24"/>
              </w:rPr>
              <w:t>Countermeasure</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فورس‌ماژور</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القوة القاهرة</w:t>
            </w:r>
          </w:p>
        </w:tc>
        <w:tc>
          <w:tcPr>
            <w:tcW w:type="dxa" w:w="3024"/>
          </w:tcPr>
          <w:p>
            <w:pPr>
              <w:widowControl/>
              <w:bidi w:val="1"/>
              <w:spacing w:before="40" w:after="40" w:line="276" w:lineRule="auto"/>
              <w:jc w:val="center"/>
            </w:pPr>
            <w:r/>
            <w:r>
              <w:rPr>
                <w:rFonts w:ascii="B Lotus" w:hAnsi="B Lotus" w:cs="B Lotus" w:eastAsia="B Lotus"/>
                <w:b w:val="0"/>
                <w:i w:val="0"/>
                <w:sz w:val="24"/>
                <w:szCs w:val="24"/>
              </w:rPr>
              <w:t>Force majeure</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قاعده آمره</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القاعدة الآمرة</w:t>
            </w:r>
          </w:p>
        </w:tc>
        <w:tc>
          <w:tcPr>
            <w:tcW w:type="dxa" w:w="3024"/>
          </w:tcPr>
          <w:p>
            <w:pPr>
              <w:widowControl/>
              <w:bidi w:val="1"/>
              <w:spacing w:before="40" w:after="40" w:line="276" w:lineRule="auto"/>
              <w:jc w:val="center"/>
            </w:pPr>
            <w:r/>
            <w:r>
              <w:rPr>
                <w:rFonts w:ascii="B Lotus" w:hAnsi="B Lotus" w:cs="B Lotus" w:eastAsia="B Lotus"/>
                <w:b w:val="0"/>
                <w:i w:val="0"/>
                <w:sz w:val="24"/>
                <w:szCs w:val="24"/>
              </w:rPr>
              <w:t>Peremptory norm (jus cogens)</w:t>
            </w:r>
          </w:p>
        </w:tc>
      </w:tr>
      <w:tr>
        <w:tc>
          <w:tcPr>
            <w:tcW w:type="dxa" w:w="3024"/>
          </w:tcPr>
          <w:p>
            <w:pPr>
              <w:widowControl/>
              <w:bidi w:val="1"/>
              <w:spacing w:before="40" w:after="40" w:line="276" w:lineRule="auto"/>
              <w:jc w:val="center"/>
            </w:pPr>
            <w:r/>
            <w:r>
              <w:rPr>
                <w:rFonts w:ascii="B Lotus" w:hAnsi="B Lotus" w:cs="B Lotus" w:eastAsia="B Lotus"/>
                <w:b w:val="0"/>
                <w:i w:val="0"/>
                <w:sz w:val="24"/>
                <w:szCs w:val="24"/>
              </w:rPr>
              <w:t>حسن نیت</w:t>
            </w:r>
          </w:p>
        </w:tc>
        <w:tc>
          <w:tcPr>
            <w:tcW w:type="dxa" w:w="3024"/>
          </w:tcPr>
          <w:p>
            <w:pPr>
              <w:widowControl/>
              <w:bidi w:val="1"/>
              <w:spacing w:before="40" w:after="40" w:line="276" w:lineRule="auto"/>
              <w:jc w:val="center"/>
            </w:pPr>
            <w:r/>
            <w:r>
              <w:rPr>
                <w:rFonts w:ascii="B Lotus" w:hAnsi="B Lotus" w:cs="B Lotus" w:eastAsia="B Lotus"/>
                <w:b w:val="0"/>
                <w:i w:val="0"/>
                <w:sz w:val="24"/>
                <w:szCs w:val="24"/>
              </w:rPr>
              <w:t>حسن النیة</w:t>
            </w:r>
          </w:p>
        </w:tc>
        <w:tc>
          <w:tcPr>
            <w:tcW w:type="dxa" w:w="3024"/>
          </w:tcPr>
          <w:p>
            <w:pPr>
              <w:widowControl/>
              <w:bidi w:val="1"/>
              <w:spacing w:before="40" w:after="40" w:line="276" w:lineRule="auto"/>
              <w:jc w:val="center"/>
            </w:pPr>
            <w:r/>
            <w:r>
              <w:rPr>
                <w:rFonts w:ascii="B Lotus" w:hAnsi="B Lotus" w:cs="B Lotus" w:eastAsia="B Lotus"/>
                <w:b w:val="0"/>
                <w:i w:val="0"/>
                <w:sz w:val="24"/>
                <w:szCs w:val="24"/>
              </w:rPr>
              <w:t>Good faith</w:t>
            </w:r>
          </w:p>
        </w:tc>
      </w:tr>
    </w:tbl>
    <w:p>
      <w:pPr>
        <w:spacing w:after="40"/>
      </w:pPr>
    </w:p>
    <w:sectPr w:rsidR="00FC693F" w:rsidRPr="0006063C" w:rsidSect="00034616">
      <w:headerReference w:type="default" r:id="rId9"/>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در این رساله، ارجاع به آیات قرآن کریم در متن و با ذکر نام سوره و شماره آیه انجام می‌شود.</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مشخصات کامل این منابع در فهرست پایانی رساله آمده است. در ارجاع‌های این رساله، نشانی مجلد و صفحه بر اساس نسخه‌های چاپی رایج ذکر شده و در موارد تردید، از عبارت «ر.ک» (رجوع کنید) استفاده شده است تا خواننده به اصل منبع مراجعه کند.</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«قراردادهای بین‌المللی در اسلام»، پرتال جامع علوم انسانی، به نشانی اینترنتی: https://ensani.ir/fa/article/66940 (بازیابی: ۳۰ شهریور ۱۴۰۵).</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«حق شرط در معاهدات بین‌المللی (۱)»، پایگاه اطلاع‌رسانی حوزه، به نشانی اینترنتی: https://hawzah.net/fa/Article/View/79856 (بازیابی: ۳۰ شهریور ۱۴۰۵).</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«ولایت مطلقه فقیه در قانون اساسی»، پایگاه اطلاع‌رسانی حوزه، به نشانی اینترنتی: https://hawzah.net/fa/Article/View/5323 ؛ و «مفهوم ولایت مطلقه فقیه در قانون اساسی جمهوری اسلامی ایران»، همان پایگاه، به نشانی اینترنتی: https://hawzah.net/fa/Article/View/95815 (بازیابی هر دو: ۳۰ شهریور ۱۴۰۵).</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«وفای به عهد در نهج‌البلاغه»، امامت‌پدیا (دانشنامه امامت و ولایت)، به نشانی اینترنتی: https://fa.imamatpedia.com/wiki/وفای_به_عهد_در_نهج_البلاغه (بازیابی: ۳۰ شهریور ۱۴۰۵).</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مشخصات کامل این آثار در فهرست منابع پایانی آمده است.</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درباره وضعیت عضویت ایران در کنوانسیون وین، ر.ک: مجموعه معاهدات سازمان ملل متحد (UNTC). بنابر مشهور، ایران از امضاکنندگان کنوانسیون است ولی آن را تصویب نکرده است؛ با این حال، استناد این رساله به کنوانسیون، از باب بیان قواعد عام حقوق معاهدات (و غالباً عرفی) است نه از باب عضویت ایران.</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(۱۹۶۹)، ماده ۲، بند ۱ (الف). مضمون این تعریف در همه کتب حقوق بین‌الملل مورد اتفاق است؛ ر.ک: محمدرضا ضیایی بیگدلی، حقوق بین‌الملل عمومی.</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۵۷، ۵۸، ۶۰ و ۷۲.</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ماده ۱۲.</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بحث ولایت فقیه؛ و نیز: صحیفه امام، نامه مشهور زمستان ۱۳۶۶ درباره اختیارات حکومت اسلامی (نشانی دقیق مجلد و صفحه، نیازمند تطبیق با نسخه چاپی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۹۴.</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۳۸، بند ۱.</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 در این قضیه، دیوان هم استناد مجارستان به تغییر بنیادین اوضاع و هم استناد آن به ضرورت زیست‌محیطی را نپذیرفت و معیارهای سخت‌گیرانه‌ای برای هر دو نهاد مقرر کرد.</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۵۳ و ۶۴.</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طبرسی، مجمع‌البیان؛ و طباطبایی، المیزان، ذیل آیه ۱ سوره مائده.</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این روایت نبوی مشهور، در جوامع روایی فریقین نقل شده است؛ از جمله ر.ک: حرّ عاملی، وسائل‌الشیعة (نشانی دقیق مجلد و صفحه، نیازمند تطبیق با نسخه چاپی است). فقها این روایت را در ابواب شروط و خیارات مورد استناد قرار داده‌اند.</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به نقل مشهور در جوامع روایی؛ ر.ک: منابع حدیثی باب وفای به عهد (نشانی دقیق، نیازمند بررسی منبع اصلی است).</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منابع سیره و تاریخ اسلام، وقایع سال ششم هجری، صلح حدیبیه (از جمله: ابن‌هشام، السیرة النبویة؛ و طبری، تاریخ الأمم و الملوک).</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طوسی، المبسوط، کتاب الجهاد؛ محقق حلی، شرائع‌الاسلام، کتاب الجهاد؛ علامه حلی، تذکرة‌الفقهاء، کتاب الجهاد؛ شهید ثانی، مسالک‌الافهام، کتاب الجهاد؛ نجفی، جواهرالکلام، کتاب الجهاد (نشانی دقیق مجلد و صفحه در هر مورد، نیازمند تطبیق با نسخه چاپی است).</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انصاری، المکاسب، بحث شروط؛ و خویی، مصباح‌الفقاهة، بحث شروط (نشانی دقیق، نیازمند تطبیق با نسخه چاپی است).</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مقبوله عمر بن حنظله، ر.ک: کلینی، الکافی؛ و طوسی، تهذیب‌الاحکام. توقیع شریف، ر.ک: صدوق، کمال‌الدین و تمام‌النعمة؛ و طبرسی، الاحتجاج (نشانی دقیق در هر مورد، نیازمند تطبیق با نسخه چاپی است).</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همو، ولایت فقیه (تقریر درس).</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صحیفه امام، نامه زمستان ۱۳۶۶ درباره اختیارات حکومت اسلامی (نقل به مضمون مشهور؛ متن دقیق، نیازمند مراجعه به صحیفه امام است).</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کتاب‌البیع، مبحث ولایت فقیه؛ و صحیفه امام (نشانی دقیق، نیازمند تطبیق با نسخه چاپی است).</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روایت نبوی مشهور؛ ر.ک: کلینی، الکافی؛ و حرّ عاملی، وسائل‌الشیعة (نشانی دقیق، نیازمند تطبیق با نسخه چاپی است).</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۱۱۲ و ۱۷۶.</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مشاهده صورت‌بندی دو دیدگاه، ر.ک: «ولایت مطلقه فقیه در قانون اساسی» و «مفهوم ولایت مطلقه فقیه در قانون اساسی جمهوری اسلامی ایران»، پایگاه اطلاع‌رسانی حوزه، به نشانی‌های اینترنتی یادشده در پیشینه پژوهش (فصل مقدمه). همچنین ر.ک: سیدابوالفضل قاضی شریعت‌پناهی، حقوق اساسی و نهادهای سیاسی؛ و سیدمحمد هاشمی، حقوق اساسی جمهوری اسلامی ایران.</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76"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قلمرو اختیارات ولی فقیه در تعلیق و نقض یک‌جانبه معاهدات بین‌المللی (مطالعه فقهی ـ حقوقی)</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