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widowControl/>
        <w:bidi w:val="1"/>
        <w:spacing w:before="0" w:after="120" w:line="336" w:lineRule="auto"/>
        <w:jc w:val="right"/>
      </w:pPr>
      <w:r>
        <w:rPr>
          <w:rFonts w:ascii="B Titr" w:hAnsi="B Titr" w:cs="B Titr" w:eastAsia="B Titr"/>
          <w:b w:val="0"/>
          <w:i w:val="0"/>
          <w:sz w:val="32"/>
          <w:szCs w:val="32"/>
        </w:rPr>
        <w:t>حوزه‌های علمیه</w:t>
      </w:r>
    </w:p>
    <w:p>
      <w:pPr>
        <w:widowControl/>
        <w:bidi w:val="1"/>
        <w:spacing w:before="0" w:after="240" w:line="336" w:lineRule="auto"/>
        <w:jc w:val="right"/>
      </w:pPr>
      <w:r>
        <w:rPr>
          <w:rFonts w:ascii="B Titr" w:hAnsi="B Titr" w:cs="B Titr" w:eastAsia="B Titr"/>
          <w:b/>
          <w:i w:val="0"/>
          <w:sz w:val="44"/>
          <w:szCs w:val="44"/>
        </w:rPr>
        <w:t>رساله علمی سطح سه</w:t>
      </w:r>
    </w:p>
    <w:p>
      <w:pPr>
        <w:widowControl/>
        <w:bidi w:val="1"/>
        <w:spacing w:before="0" w:after="240" w:line="336" w:lineRule="auto"/>
        <w:ind w:right="1701" w:left="1701"/>
        <w:jc w:val="right"/>
        <w:pBdr>
          <w:bottom w:val="single" w:sz="12" w:space="6" w:color="1F3864"/>
        </w:pBdr>
      </w:pPr>
    </w:p>
    <w:p>
      <w:pPr>
        <w:widowControl/>
        <w:bidi w:val="1"/>
        <w:spacing w:before="0" w:after="120" w:line="336" w:lineRule="auto"/>
        <w:jc w:val="right"/>
      </w:pPr>
      <w:r>
        <w:rPr>
          <w:rFonts w:ascii="B Titr" w:hAnsi="B Titr" w:cs="B Titr" w:eastAsia="B Titr"/>
          <w:b/>
          <w:i w:val="0"/>
          <w:sz w:val="44"/>
          <w:szCs w:val="44"/>
        </w:rPr>
        <w:t>عدول ولی فقیه از تعهدات بین‌المللی دولت اسلامی</w:t>
      </w:r>
    </w:p>
    <w:p>
      <w:pPr>
        <w:widowControl/>
        <w:bidi w:val="1"/>
        <w:spacing w:before="0" w:after="240" w:line="336" w:lineRule="auto"/>
        <w:jc w:val="right"/>
      </w:pPr>
      <w:r>
        <w:rPr>
          <w:rFonts w:ascii="B Titr" w:hAnsi="B Titr" w:cs="B Titr" w:eastAsia="B Titr"/>
          <w:b/>
          <w:i w:val="0"/>
          <w:sz w:val="34"/>
          <w:szCs w:val="34"/>
        </w:rPr>
        <w:t>از منظر فقه امامیه و حقوق بین‌الملل</w:t>
      </w:r>
    </w:p>
    <w:p>
      <w:pPr>
        <w:widowControl/>
        <w:bidi w:val="1"/>
        <w:spacing w:before="0" w:after="240" w:line="336" w:lineRule="auto"/>
        <w:ind w:right="1701" w:left="1701"/>
        <w:jc w:val="right"/>
        <w:pBdr>
          <w:bottom w:val="single" w:sz="12" w:space="6" w:color="1F3864"/>
        </w:pBdr>
      </w:pPr>
    </w:p>
    <w:p>
      <w:pPr>
        <w:widowControl/>
        <w:bidi w:val="1"/>
        <w:spacing w:before="0" w:after="200" w:line="336" w:lineRule="auto"/>
        <w:jc w:val="right"/>
      </w:pPr>
      <w:r>
        <w:rPr>
          <w:rFonts w:ascii="B Lotus" w:hAnsi="B Lotus" w:cs="B Lotus" w:eastAsia="B Lotus"/>
          <w:b/>
          <w:i w:val="0"/>
          <w:sz w:val="32"/>
          <w:szCs w:val="32"/>
        </w:rPr>
        <w:t>نگارنده: هادی شبستانی</w:t>
      </w:r>
    </w:p>
    <w:p>
      <w:pPr>
        <w:widowControl/>
        <w:bidi w:val="1"/>
        <w:spacing w:before="0" w:after="120" w:line="336" w:lineRule="auto"/>
        <w:jc w:val="right"/>
      </w:pPr>
      <w:r>
        <w:rPr>
          <w:rFonts w:ascii="B Lotus" w:hAnsi="B Lotus" w:cs="B Lotus" w:eastAsia="B Lotus"/>
          <w:b w:val="0"/>
          <w:i w:val="0"/>
          <w:sz w:val="28"/>
          <w:szCs w:val="28"/>
        </w:rPr>
        <w:t>استاد راهنما: …………………………</w:t>
      </w:r>
    </w:p>
    <w:p>
      <w:pPr>
        <w:widowControl/>
        <w:bidi w:val="1"/>
        <w:spacing w:before="0" w:after="120" w:line="336" w:lineRule="auto"/>
        <w:jc w:val="right"/>
      </w:pPr>
      <w:r>
        <w:rPr>
          <w:rFonts w:ascii="B Lotus" w:hAnsi="B Lotus" w:cs="B Lotus" w:eastAsia="B Lotus"/>
          <w:b w:val="0"/>
          <w:i w:val="0"/>
          <w:sz w:val="28"/>
          <w:szCs w:val="28"/>
        </w:rPr>
        <w:t>استاد مشاور: …………………………</w:t>
      </w:r>
    </w:p>
    <w:p>
      <w:pPr>
        <w:widowControl/>
        <w:bidi w:val="1"/>
        <w:spacing w:before="0" w:after="240" w:line="336" w:lineRule="auto"/>
        <w:jc w:val="right"/>
      </w:pPr>
      <w:r>
        <w:rPr>
          <w:rFonts w:ascii="B Lotus" w:hAnsi="B Lotus" w:cs="B Lotus" w:eastAsia="B Lotus"/>
          <w:b w:val="0"/>
          <w:i w:val="0"/>
          <w:sz w:val="28"/>
          <w:szCs w:val="28"/>
        </w:rPr>
        <w:t>گرایش: فقه و اصول</w:t>
      </w:r>
    </w:p>
    <w:p>
      <w:pPr>
        <w:widowControl/>
        <w:bidi w:val="1"/>
        <w:spacing w:before="0" w:after="120" w:line="336" w:lineRule="auto"/>
        <w:jc w:val="right"/>
      </w:pPr>
      <w:r>
        <w:rPr>
          <w:rFonts w:ascii="B Lotus" w:hAnsi="B Lotus" w:cs="B Lotus" w:eastAsia="B Lotus"/>
          <w:b w:val="0"/>
          <w:i w:val="0"/>
          <w:sz w:val="28"/>
          <w:szCs w:val="28"/>
        </w:rPr>
        <w:t>سال تحصیلی ۱۴۰۵ ـ ۱۴۰۶</w:t>
      </w:r>
    </w:p>
    <w:p>
      <w:pPr>
        <w:sectPr>
          <w:pgSz w:w="11906" w:h="16838"/>
          <w:pgMar w:top="1417" w:right="1701" w:bottom="1417" w:left="1134" w:header="680" w:footer="680" w:gutter="0"/>
          <w:cols w:space="720"/>
          <w:docGrid w:linePitch="360"/>
          <w:pgBorders w:offsetFrom="page">
            <w:top w:val="single" w:sz="12" w:space="24" w:color="1F3864"/>
            <w:left w:val="single" w:sz="12" w:space="24" w:color="1F3864"/>
            <w:bottom w:val="single" w:sz="12" w:space="24" w:color="1F3864"/>
            <w:right w:val="single" w:sz="12" w:space="24" w:color="1F3864"/>
          </w:pgBorders>
        </w:sectPr>
      </w:pPr>
    </w:p>
    <w:p/>
    <w:p/>
    <w:p/>
    <w:p/>
    <w:p/>
    <w:p>
      <w:pPr>
        <w:widowControl/>
        <w:bidi w:val="1"/>
        <w:spacing w:before="0" w:after="240" w:line="336" w:lineRule="auto"/>
        <w:jc w:val="right"/>
      </w:pPr>
      <w:r>
        <w:rPr>
          <w:rFonts w:ascii="B Titr" w:hAnsi="B Titr" w:cs="B Titr" w:eastAsia="B Titr"/>
          <w:b/>
          <w:i w:val="0"/>
          <w:sz w:val="44"/>
          <w:szCs w:val="44"/>
        </w:rPr>
        <w:t>بِسْمِ اللَّهِ الرَّحْمَنِ الرَّحِيمِ</w:t>
      </w:r>
    </w:p>
    <w:p>
      <w:pPr>
        <w:widowControl/>
        <w:bidi w:val="1"/>
        <w:spacing w:before="0" w:after="200" w:line="336" w:lineRule="auto"/>
        <w:ind w:right="2835" w:left="2835"/>
        <w:jc w:val="right"/>
        <w:pBdr>
          <w:bottom w:val="single" w:sz="12" w:space="6" w:color="1F3864"/>
        </w:pBdr>
      </w:pPr>
    </w:p>
    <w:p>
      <w:r>
        <w:br w:type="page"/>
      </w:r>
    </w:p>
    <w:p>
      <w:pPr>
        <w:widowControl/>
        <w:bidi w:val="1"/>
        <w:spacing w:before="120" w:after="240" w:line="336" w:lineRule="auto"/>
        <w:jc w:val="right"/>
        <w:keepNext w:val="1"/>
      </w:pPr>
      <w:r>
        <w:rPr>
          <w:rFonts w:ascii="B Titr" w:hAnsi="B Titr" w:cs="B Titr" w:eastAsia="B Titr"/>
          <w:b/>
          <w:i w:val="0"/>
          <w:sz w:val="36"/>
          <w:szCs w:val="36"/>
          <w:rtl/>
        </w:rPr>
        <w:t>عدول ولی فقیه از تعهدات بین‌المللی دولت اسلامی از منظر فقه امامیه و حقوق بین‌الملل</w:t>
      </w:r>
    </w:p>
    <w:p>
      <w:pPr>
        <w:widowControl/>
        <w:bidi w:val="1"/>
        <w:spacing w:before="0" w:after="240" w:line="336" w:lineRule="auto"/>
        <w:ind w:right="1701" w:left="1701"/>
        <w:jc w:val="right"/>
        <w:pBdr>
          <w:bottom w:val="single" w:sz="12" w:space="6" w:color="1F3864"/>
        </w:pBdr>
      </w:pPr>
    </w:p>
    <w:p>
      <w:pPr>
        <w:widowControl/>
        <w:bidi w:val="1"/>
        <w:spacing w:before="0" w:after="200" w:line="336" w:lineRule="auto"/>
        <w:jc w:val="right"/>
      </w:pPr>
      <w:r>
        <w:rPr>
          <w:rFonts w:ascii="B Lotus" w:hAnsi="B Lotus" w:cs="B Lotus" w:eastAsia="B Lotus"/>
          <w:b w:val="0"/>
          <w:i w:val="0"/>
          <w:sz w:val="28"/>
          <w:szCs w:val="28"/>
        </w:rPr>
        <w:t>رساله علمی سطح سه حوزه‌های علمیه</w:t>
      </w:r>
    </w:p>
    <w:p>
      <w:pPr>
        <w:widowControl/>
        <w:bidi w:val="1"/>
        <w:spacing w:before="0" w:after="200" w:line="336" w:lineRule="auto"/>
        <w:jc w:val="right"/>
      </w:pPr>
      <w:r>
        <w:rPr>
          <w:rFonts w:ascii="B Lotus" w:hAnsi="B Lotus" w:cs="B Lotus" w:eastAsia="B Lotus"/>
          <w:b w:val="0"/>
          <w:i w:val="0"/>
          <w:sz w:val="28"/>
          <w:szCs w:val="28"/>
        </w:rPr>
        <w:t>گرایش: فقه و اصول</w:t>
      </w:r>
    </w:p>
    <w:p>
      <w:pPr>
        <w:widowControl/>
        <w:bidi w:val="1"/>
        <w:spacing w:before="0" w:after="200" w:line="336" w:lineRule="auto"/>
        <w:jc w:val="right"/>
      </w:pPr>
      <w:r>
        <w:rPr>
          <w:rFonts w:ascii="B Lotus" w:hAnsi="B Lotus" w:cs="B Lotus" w:eastAsia="B Lotus"/>
          <w:b w:val="0"/>
          <w:i w:val="0"/>
          <w:sz w:val="28"/>
          <w:szCs w:val="28"/>
        </w:rPr>
        <w:t>نگارنده: هادی شبستانی</w:t>
      </w:r>
    </w:p>
    <w:p>
      <w:pPr>
        <w:widowControl/>
        <w:bidi w:val="1"/>
        <w:spacing w:before="0" w:after="200" w:line="336" w:lineRule="auto"/>
        <w:jc w:val="right"/>
      </w:pPr>
      <w:r>
        <w:rPr>
          <w:rFonts w:ascii="B Lotus" w:hAnsi="B Lotus" w:cs="B Lotus" w:eastAsia="B Lotus"/>
          <w:b w:val="0"/>
          <w:i w:val="0"/>
          <w:sz w:val="28"/>
          <w:szCs w:val="28"/>
        </w:rPr>
        <w:t>استاد راهنما: (نام استاد راهنما)</w:t>
      </w:r>
    </w:p>
    <w:p>
      <w:pPr>
        <w:widowControl/>
        <w:bidi w:val="1"/>
        <w:spacing w:before="0" w:after="200" w:line="336" w:lineRule="auto"/>
        <w:jc w:val="right"/>
      </w:pPr>
      <w:r>
        <w:rPr>
          <w:rFonts w:ascii="B Lotus" w:hAnsi="B Lotus" w:cs="B Lotus" w:eastAsia="B Lotus"/>
          <w:b w:val="0"/>
          <w:i w:val="0"/>
          <w:sz w:val="28"/>
          <w:szCs w:val="28"/>
        </w:rPr>
        <w:t>استاد مشاور: (نام استاد مشاور)</w:t>
      </w:r>
    </w:p>
    <w:p>
      <w:pPr>
        <w:widowControl/>
        <w:bidi w:val="1"/>
        <w:spacing w:before="0" w:after="200" w:line="336" w:lineRule="auto"/>
        <w:jc w:val="right"/>
      </w:pPr>
      <w:r>
        <w:rPr>
          <w:rFonts w:ascii="B Lotus" w:hAnsi="B Lotus" w:cs="B Lotus" w:eastAsia="B Lotus"/>
          <w:b w:val="0"/>
          <w:i w:val="0"/>
          <w:sz w:val="28"/>
          <w:szCs w:val="28"/>
        </w:rPr>
        <w:t>سال تحصیلی ۱۴۰۵ ـ ۱۴۰۶</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بِسْمِ اللَّهِ الرَّحْمَنِ الرَّحِيمِ</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يَا أَيُّهَا الَّذِينَ آمَنُوا أَوْفُوا بِالْعُقُودِ</w:t>
      </w:r>
      <w:r>
        <w:rPr>
          <w:rFonts w:ascii="B Badr" w:hAnsi="B Badr" w:cs="B Badr" w:eastAsia="B Badr"/>
          <w:b w:val="0"/>
          <w:i w:val="0"/>
          <w:sz w:val="26"/>
          <w:szCs w:val="26"/>
          <w:vertAlign w:val="superscript"/>
        </w:rPr>
        <w:footnoteReference w:id="2"/>
      </w:r>
    </w:p>
    <w:p>
      <w:r>
        <w:br w:type="page"/>
      </w:r>
    </w:p>
    <w:p>
      <w:pPr>
        <w:widowControl/>
        <w:bidi w:val="1"/>
        <w:spacing w:before="120" w:after="240" w:line="336" w:lineRule="auto"/>
        <w:jc w:val="right"/>
        <w:keepNext w:val="1"/>
      </w:pPr>
      <w:r>
        <w:rPr>
          <w:rFonts w:ascii="B Titr" w:hAnsi="B Titr" w:cs="B Titr" w:eastAsia="B Titr"/>
          <w:b/>
          <w:i w:val="0"/>
          <w:sz w:val="36"/>
          <w:szCs w:val="36"/>
          <w:rtl/>
        </w:rPr>
        <w:t>تقدیم</w:t>
      </w:r>
    </w:p>
    <w:p>
      <w:pPr>
        <w:widowControl/>
        <w:bidi w:val="1"/>
        <w:spacing w:before="0" w:after="200" w:line="336" w:lineRule="auto"/>
        <w:jc w:val="right"/>
      </w:pPr>
      <w:r>
        <w:rPr>
          <w:rFonts w:ascii="B Lotus" w:hAnsi="B Lotus" w:cs="B Lotus" w:eastAsia="B Lotus"/>
          <w:b w:val="0"/>
          <w:i w:val="0"/>
          <w:sz w:val="28"/>
          <w:szCs w:val="28"/>
        </w:rPr>
        <w:t>این رساله را ـ با همه کاستی‌هایش ـ تقدیم می‌کنم به ساحت مقدس حضرت ولی‌عصر (عجل‌الله‌تعالی‌فرجه‌الشریف)؛ آن‌که حکومت عدلش آرزوی دیرینه همه مظلومان تاریخ است و هر سطری که در باب حکومت اسلامی نوشته می‌شود، قطره‌ای است در دریای انتظارش.</w:t>
      </w:r>
    </w:p>
    <w:p>
      <w:pPr>
        <w:widowControl/>
        <w:bidi w:val="1"/>
        <w:spacing w:before="0" w:after="200" w:line="336" w:lineRule="auto"/>
        <w:jc w:val="right"/>
      </w:pPr>
      <w:r>
        <w:rPr>
          <w:rFonts w:ascii="B Lotus" w:hAnsi="B Lotus" w:cs="B Lotus" w:eastAsia="B Lotus"/>
          <w:b w:val="0"/>
          <w:i w:val="0"/>
          <w:sz w:val="28"/>
          <w:szCs w:val="28"/>
        </w:rPr>
        <w:t>و به روح بلند امام خمینی (رضوان‌الله‌تعالی‌علیه)؛ فقیهی که ثابت کرد فقه فقط احکام طهارت و صلات نیست و می‌شود با آن حکومت کرد و دنیا را تکان داد. اگر نظریه حکم حکومتی او نبود، این رساله اصلاً موضوعی نداشت.</w:t>
      </w:r>
    </w:p>
    <w:p>
      <w:pPr>
        <w:widowControl/>
        <w:bidi w:val="1"/>
        <w:spacing w:before="0" w:after="200" w:line="336" w:lineRule="auto"/>
        <w:jc w:val="right"/>
      </w:pPr>
      <w:r>
        <w:rPr>
          <w:rFonts w:ascii="B Lotus" w:hAnsi="B Lotus" w:cs="B Lotus" w:eastAsia="B Lotus"/>
          <w:b w:val="0"/>
          <w:i w:val="0"/>
          <w:sz w:val="28"/>
          <w:szCs w:val="28"/>
        </w:rPr>
        <w:t>و به همه شهدای راه اسلام و انقلاب؛ آنان که با خونشان برای ما امنیت خریدند تا ما بتوانیم بنشینیم و درباره «مصلحت نظام» قلم بزنیم. امید که این قلم‌زدن‌ها، ذره‌ای از دِین ما را به آن‌ها ادا کند.</w:t>
      </w:r>
    </w:p>
    <w:p>
      <w:pPr>
        <w:widowControl/>
        <w:bidi w:val="1"/>
        <w:spacing w:before="0" w:after="200" w:line="336" w:lineRule="auto"/>
        <w:jc w:val="right"/>
      </w:pPr>
      <w:r>
        <w:rPr>
          <w:rFonts w:ascii="B Lotus" w:hAnsi="B Lotus" w:cs="B Lotus" w:eastAsia="B Lotus"/>
          <w:b w:val="0"/>
          <w:i w:val="0"/>
          <w:sz w:val="28"/>
          <w:szCs w:val="28"/>
        </w:rPr>
        <w:t>و به پدر و مادرم؛ که هرچه دارم از دعای آن‌هاست و هرچه ندارم از کوتاهی خودم.</w:t>
      </w:r>
    </w:p>
    <w:p>
      <w:r>
        <w:br w:type="page"/>
      </w:r>
    </w:p>
    <w:p>
      <w:pPr>
        <w:widowControl/>
        <w:bidi w:val="1"/>
        <w:spacing w:before="120" w:after="240" w:line="336" w:lineRule="auto"/>
        <w:jc w:val="right"/>
        <w:keepNext w:val="1"/>
      </w:pPr>
      <w:r>
        <w:rPr>
          <w:rFonts w:ascii="B Titr" w:hAnsi="B Titr" w:cs="B Titr" w:eastAsia="B Titr"/>
          <w:b/>
          <w:i w:val="0"/>
          <w:sz w:val="36"/>
          <w:szCs w:val="36"/>
          <w:rtl/>
        </w:rPr>
        <w:t>سپاسگزاری</w:t>
      </w:r>
    </w:p>
    <w:p>
      <w:pPr>
        <w:widowControl/>
        <w:bidi w:val="1"/>
        <w:spacing w:before="0" w:after="200" w:line="336" w:lineRule="auto"/>
        <w:jc w:val="right"/>
      </w:pPr>
      <w:r>
        <w:rPr>
          <w:rFonts w:ascii="B Lotus" w:hAnsi="B Lotus" w:cs="B Lotus" w:eastAsia="B Lotus"/>
          <w:b w:val="0"/>
          <w:i w:val="0"/>
          <w:sz w:val="28"/>
          <w:szCs w:val="28"/>
        </w:rPr>
        <w:t>حمد و سپاس خدای را که توفیق داد این رساله به سرانجام برسد. اگر نکته درستی در این صفحات هست، از اوست؛ و اگر خطایی هست، از نادانی من است و از خوانندگان بزرگوار پوزش می‌خواهم و اصلاحم را دریغ نکنند.</w:t>
      </w:r>
    </w:p>
    <w:p>
      <w:pPr>
        <w:widowControl/>
        <w:bidi w:val="1"/>
        <w:spacing w:before="0" w:after="200" w:line="336" w:lineRule="auto"/>
        <w:jc w:val="right"/>
      </w:pPr>
      <w:r>
        <w:rPr>
          <w:rFonts w:ascii="B Lotus" w:hAnsi="B Lotus" w:cs="B Lotus" w:eastAsia="B Lotus"/>
          <w:b w:val="0"/>
          <w:i w:val="0"/>
          <w:sz w:val="28"/>
          <w:szCs w:val="28"/>
        </w:rPr>
        <w:t>از استاد راهنمای بزرگوارم که با صبر و حوصله، پیش‌نویس‌های مکرر این رساله را خواندند و با تذکرات دقیقشان مرا از لغزش‌های بسیار بازداشتند، صمیمانه سپاسگزارم. بی‌راهنمایی ایشان، این کار نه آغاز می‌شد نه به پایان می‌رسید.</w:t>
      </w:r>
    </w:p>
    <w:p>
      <w:pPr>
        <w:widowControl/>
        <w:bidi w:val="1"/>
        <w:spacing w:before="0" w:after="200" w:line="336" w:lineRule="auto"/>
        <w:jc w:val="right"/>
      </w:pPr>
      <w:r>
        <w:rPr>
          <w:rFonts w:ascii="B Lotus" w:hAnsi="B Lotus" w:cs="B Lotus" w:eastAsia="B Lotus"/>
          <w:b w:val="0"/>
          <w:i w:val="0"/>
          <w:sz w:val="28"/>
          <w:szCs w:val="28"/>
        </w:rPr>
        <w:t>از استاد مشاور ارجمندم که در مباحث حقوق بین‌الملل ـ که حوزه تخصصی من نبود ـ راهنمایی‌های ارزشمندی فرمودند و مرا با ادبیات این رشته آشنا کردند، قدردانی می‌کنم.</w:t>
      </w:r>
    </w:p>
    <w:p>
      <w:pPr>
        <w:widowControl/>
        <w:bidi w:val="1"/>
        <w:spacing w:before="0" w:after="200" w:line="336" w:lineRule="auto"/>
        <w:jc w:val="right"/>
      </w:pPr>
      <w:r>
        <w:rPr>
          <w:rFonts w:ascii="B Lotus" w:hAnsi="B Lotus" w:cs="B Lotus" w:eastAsia="B Lotus"/>
          <w:b w:val="0"/>
          <w:i w:val="0"/>
          <w:sz w:val="28"/>
          <w:szCs w:val="28"/>
        </w:rPr>
        <w:t>از اساتیدم در حوزه علمیه که درسشان چراغ راه این پژوهش بود؛ از دوستان و هم‌بحثانم که در جلسات مباحثه، ایرادهایشان مرا به تأمل بیشتر واداشت؛ و از خانواده‌ام که صبوری کردند تا این رساله نوشته شود، یکایک ممنونم.</w:t>
      </w:r>
    </w:p>
    <w:p>
      <w:pPr>
        <w:widowControl/>
        <w:bidi w:val="1"/>
        <w:spacing w:before="0" w:after="200" w:line="336" w:lineRule="auto"/>
        <w:jc w:val="right"/>
      </w:pPr>
      <w:r>
        <w:rPr>
          <w:rFonts w:ascii="B Lotus" w:hAnsi="B Lotus" w:cs="B Lotus" w:eastAsia="B Lotus"/>
          <w:b w:val="0"/>
          <w:i w:val="0"/>
          <w:sz w:val="28"/>
          <w:szCs w:val="28"/>
        </w:rPr>
        <w:t>و در پایان، از داوران محترم این رساله پیشاپیش تشکر می‌کنم و نقدهایشان را ـ هرچه باشد ـ غنیمت می‌دانم؛ که کار علمی با نقد زنده است و بی‌نقد می‌میرد.</w:t>
      </w:r>
    </w:p>
    <w:p>
      <w:r>
        <w:br w:type="page"/>
      </w:r>
    </w:p>
    <w:p>
      <w:pPr>
        <w:pStyle w:val="TH-Front"/>
        <w:widowControl/>
        <w:bidi w:val="1"/>
        <w:spacing w:before="120" w:after="240" w:line="336" w:lineRule="auto"/>
        <w:jc w:val="right"/>
        <w:keepNext w:val="1"/>
      </w:pPr>
      <w:bookmarkStart w:id="1" w:name="_Toc000001"/>
      <w:r>
        <w:rPr>
          <w:rFonts w:ascii="B Titr" w:hAnsi="B Titr" w:cs="B Titr" w:eastAsia="B Titr"/>
          <w:b/>
          <w:i w:val="0"/>
          <w:sz w:val="36"/>
          <w:szCs w:val="36"/>
          <w:rtl/>
        </w:rPr>
        <w:t>چکیده</w:t>
      </w:r>
      <w:bookmarkEnd w:id="1"/>
    </w:p>
    <w:p>
      <w:pPr>
        <w:widowControl/>
        <w:bidi w:val="1"/>
        <w:spacing w:before="0" w:after="200" w:line="336" w:lineRule="auto"/>
        <w:jc w:val="both"/>
      </w:pPr>
      <w:r>
        <w:rPr>
          <w:rFonts w:ascii="B Lotus" w:hAnsi="B Lotus" w:cs="B Lotus" w:eastAsia="B Lotus"/>
          <w:b w:val="0"/>
          <w:i w:val="0"/>
          <w:sz w:val="28"/>
          <w:szCs w:val="28"/>
        </w:rPr>
        <w:t>پرسش اصلی این رساله این است: اگر ادامه اجرای پیمانی بین‌المللی به ضرر کشور و نظام اسلامی بدل شود، آیا ولی فقیه می‌تواند از آن عدول کند؟ و اگر می‌تواند، با چه مبنایی، با چه شرایطی و با چه آثاری؟ این پرسش محل تلاقی سه نظام هنجاری است ـ فقه امامیه، حقوق اساسی جمهوری اسلامی و حقوق بین‌الملل ـ و همین تلاقی، هم دشواری‌اش را می‌سازد هم ضرورتش را.</w:t>
      </w:r>
    </w:p>
    <w:p>
      <w:pPr>
        <w:widowControl/>
        <w:bidi w:val="1"/>
        <w:spacing w:before="0" w:after="200" w:line="336" w:lineRule="auto"/>
        <w:ind w:firstLine="283"/>
        <w:jc w:val="both"/>
      </w:pPr>
      <w:r>
        <w:rPr>
          <w:rFonts w:ascii="B Lotus" w:hAnsi="B Lotus" w:cs="B Lotus" w:eastAsia="B Lotus"/>
          <w:b w:val="0"/>
          <w:i w:val="0"/>
          <w:sz w:val="28"/>
          <w:szCs w:val="28"/>
        </w:rPr>
        <w:t>روش پژوهش کتابخانه‌ای، تحلیلی و استنباطی است. در فقه از روش اجتهادی مصطلح (استقصای ادله، بررسی سندی و دلالی، دفع اشکالات) بهره گرفته‌ام؛ در حقوق بین‌الملل از روش تفسیری ـ تحلیلیِ متون و رویه؛ و در حقوق اساسی از روش تفسیری اصول و داوری میان دیدگاه مفسران. رساله در سه بخش و پنج فصل سامان یافته: بخش اول (مفاهیم و کلیات)، بخش دوم (تحلیل فقهی: ادله وجوب وفا و مبانی جواز عدول) و بخش سوم (تحلیل حقوقی: مسئولیت بین‌المللی و جایگاه حقوق اساسی تصمیم).</w:t>
      </w:r>
    </w:p>
    <w:p>
      <w:pPr>
        <w:widowControl/>
        <w:bidi w:val="1"/>
        <w:spacing w:before="0" w:after="200" w:line="336" w:lineRule="auto"/>
        <w:ind w:firstLine="283"/>
        <w:jc w:val="both"/>
      </w:pPr>
      <w:r>
        <w:rPr>
          <w:rFonts w:ascii="B Lotus" w:hAnsi="B Lotus" w:cs="B Lotus" w:eastAsia="B Lotus"/>
          <w:b w:val="0"/>
          <w:i w:val="0"/>
          <w:sz w:val="28"/>
          <w:szCs w:val="28"/>
        </w:rPr>
        <w:t>یافته‌های پژوهش در پنج دستاورد خلاصه می‌شود: (۱) قاعده اولی، وجوب وفای به عهد است که با آیات، روایات، سیره و عقل اثبات می‌شود و در اصلش اختلافی نیست؛ (۲) خروج از این قاعده فقط در قالب تصمیم حکومتی ولی فقیه در مقام تزاحم مصلحتی جایز است که با چهار مبنای مستقل (تزاحم، حکم حکومتی، لاضرر و لاحرج، و سیره) مستدل شده؛ (۳) این جواز با هشت ضابطه عملی مهار می‌شود که مجموعاً دستورالعمل تصمیم‌گیر است؛ (۴) سه سطح تحلیل ـ جواز فقهی، مشروعیت داخلی و مسئولیت بین‌المللی ـ مستقل‌اند و خلطشان منشأ خطاهای فاحش است؛ و (۵) اختیار ولی فقیه در این حوزه «ضمنی و ولایی» است نه صریح، و با تفکیک چهارگانه مراتب اختیار (صریح، ضمنی، ولایی، حکومتی) تبیین می‌شود.</w:t>
      </w:r>
    </w:p>
    <w:p>
      <w:pPr>
        <w:widowControl/>
        <w:bidi w:val="1"/>
        <w:spacing w:before="240" w:after="200" w:line="336" w:lineRule="auto"/>
        <w:jc w:val="both"/>
      </w:pPr>
      <w:r>
        <w:rPr>
          <w:rFonts w:ascii="B Lotus" w:hAnsi="B Lotus" w:cs="B Lotus" w:eastAsia="B Lotus"/>
          <w:b/>
          <w:i w:val="0"/>
          <w:sz w:val="28"/>
          <w:szCs w:val="28"/>
        </w:rPr>
        <w:t xml:space="preserve">کلیدواژه‌ها: </w:t>
      </w:r>
      <w:r>
        <w:rPr>
          <w:rFonts w:ascii="B Lotus" w:hAnsi="B Lotus" w:cs="B Lotus" w:eastAsia="B Lotus"/>
          <w:b w:val="0"/>
          <w:i w:val="0"/>
          <w:sz w:val="28"/>
          <w:szCs w:val="28"/>
        </w:rPr>
        <w:t>ولی فقیه، تعهدات بین‌المللی، معاهدات، وفای به عهد، حکم حکومتی، تزاحم، مصلحت، مسئولیت بین‌المللی، کنوانسیون وین، قانون اساسی.</w:t>
      </w:r>
    </w:p>
    <w:p>
      <w:r>
        <w:br w:type="page"/>
      </w:r>
    </w:p>
    <w:p>
      <w:pPr>
        <w:pStyle w:val="TH-Front"/>
        <w:widowControl/>
        <w:bidi w:val="1"/>
        <w:spacing w:before="120" w:after="240" w:line="336" w:lineRule="auto"/>
        <w:jc w:val="right"/>
        <w:keepNext w:val="1"/>
      </w:pPr>
      <w:bookmarkStart w:id="2" w:name="_Toc000002"/>
      <w:r>
        <w:rPr>
          <w:rFonts w:ascii="B Titr" w:hAnsi="B Titr" w:cs="B Titr" w:eastAsia="B Titr"/>
          <w:b/>
          <w:i w:val="0"/>
          <w:sz w:val="36"/>
          <w:szCs w:val="36"/>
          <w:rtl/>
        </w:rPr>
        <w:t>پیشگفتار</w:t>
      </w:r>
      <w:bookmarkEnd w:id="2"/>
    </w:p>
    <w:p>
      <w:pPr>
        <w:widowControl/>
        <w:bidi w:val="1"/>
        <w:spacing w:before="0" w:after="200" w:line="336" w:lineRule="auto"/>
        <w:jc w:val="both"/>
      </w:pPr>
      <w:r>
        <w:rPr>
          <w:rFonts w:ascii="B Lotus" w:hAnsi="B Lotus" w:cs="B Lotus" w:eastAsia="B Lotus"/>
          <w:b w:val="0"/>
          <w:i w:val="0"/>
          <w:sz w:val="28"/>
          <w:szCs w:val="28"/>
        </w:rPr>
        <w:t>بگذارید صادقانه بگویم این رساله از کجا آغاز شد. مثل خیلی از کارهای علمی، نه از یک طرحِ ازپیش‌اندیشیده، بلکه از یک حیرت. سال‌ها پیش، در بحبوحه مناقشه‌های برجام، یک پرسش ساده ذهنم را مشغول کرد و رهایم نکرد: این‌همه بحث سیاسی و جناحی که درباره «ماندن یا رفتن» می‌شود، مبنای فقهی‌اش کجاست؟ ما که حکومتمن اسلامی است و تصمیم‌گیر نهایی‌مان فقیه است، آیا برای چنین تصمیم سرنوشت‌سازی چارچوب شرعیِ مدون و ضابطه‌مندی داریم؟ هرچه گشتم، کمتر یافتم. حرف‌های پراکنده بود، استنادهای گزینشی به آیات و روایات بود، شعار بود؛ ولی تحلیل جامع و منصفانه‌ای که هم فقه را ببیند هم قانون اساسی را هم حقوق بین‌الملل را، نبود. این رساله حاصل تلاشی است برای پر کردن همین خلأ؛ تلاشی که نمی‌دانم چقدر موفق بوده، ولی می‌دانم صادقانه بوده.</w:t>
      </w:r>
    </w:p>
    <w:p>
      <w:pPr>
        <w:widowControl/>
        <w:bidi w:val="1"/>
        <w:spacing w:before="0" w:after="200" w:line="336" w:lineRule="auto"/>
        <w:ind w:firstLine="283"/>
        <w:jc w:val="both"/>
      </w:pPr>
      <w:r>
        <w:rPr>
          <w:rFonts w:ascii="B Lotus" w:hAnsi="B Lotus" w:cs="B Lotus" w:eastAsia="B Lotus"/>
          <w:b w:val="0"/>
          <w:i w:val="0"/>
          <w:sz w:val="28"/>
          <w:szCs w:val="28"/>
        </w:rPr>
        <w:t>مسیر پژوهش هموار نبود. سه دشواری اصلی داشتم که گفتنشان را لازم می‌دانم، چون هم عذر کاستی‌هاست هم راهنمای خواننده. دشواری اول، میان‌رشته‌ای بودن موضوع بود: فقه می‌دانستم ولی حقوق بین‌الملل را باید از صفر می‌آموختم؛ و هرکس که گذرش به متون حقوقی افتاده باشد می‌داند که ورود به یک رشته جدید، مثل ورود به یک شهر غریب است ـ اولش همه‌چیز ناآشناست و آدم مدام گم می‌شود. اگر در فهم مفاهیم حقوقی خطایی رخ داده، مسئولش منم و از حقوق‌دانان پوزش می‌خواهم.</w:t>
      </w:r>
    </w:p>
    <w:p>
      <w:pPr>
        <w:widowControl/>
        <w:bidi w:val="1"/>
        <w:spacing w:before="0" w:after="200" w:line="336" w:lineRule="auto"/>
        <w:ind w:firstLine="283"/>
        <w:jc w:val="both"/>
      </w:pPr>
      <w:r>
        <w:rPr>
          <w:rFonts w:ascii="B Lotus" w:hAnsi="B Lotus" w:cs="B Lotus" w:eastAsia="B Lotus"/>
          <w:b w:val="0"/>
          <w:i w:val="0"/>
          <w:sz w:val="28"/>
          <w:szCs w:val="28"/>
        </w:rPr>
        <w:t>دشواری دوم، کم‌کاری ادبیات فقهی در این باب بود. فقهای ما درباره هدنه و امان و ذمه بسیار گفته‌اند ـ و من همه را خوانده‌ام و وامدارشانم ـ ولی معاهده بین‌المللی امروزی، با سازوکارهای پیچیده‌اش (حق شرط، تعلیق، خاتمه، مسئولیت، داوری)، پدیده‌ای است که در کتب قدمای ما سابقه مستقیم ندارد. پس ناگزیر بودم از قواعد عام به مسائل خاص برسم؛ و این راه ـ چنان‌که اهل فن می‌دانند ـ هم دشوار است هم پرخطر، چون هر قدمی که از نص دور می‌شوی، احتمال لغزش بیشتر می‌شود. کوشیده‌ام با احتیاط قدم بردارم و هرجا به ظن رسیده‌ام نه یقین، صادقانه بگویم.</w:t>
      </w:r>
    </w:p>
    <w:p>
      <w:pPr>
        <w:widowControl/>
        <w:bidi w:val="1"/>
        <w:spacing w:before="0" w:after="200" w:line="336" w:lineRule="auto"/>
        <w:ind w:firstLine="283"/>
        <w:jc w:val="both"/>
      </w:pPr>
      <w:r>
        <w:rPr>
          <w:rFonts w:ascii="B Lotus" w:hAnsi="B Lotus" w:cs="B Lotus" w:eastAsia="B Lotus"/>
          <w:b w:val="0"/>
          <w:i w:val="0"/>
          <w:sz w:val="28"/>
          <w:szCs w:val="28"/>
        </w:rPr>
        <w:t>و دشواری سوم، حساسیت سیاسی موضوع بود. هر جمله‌ای که درباره تصمیم‌های حکومتی معاصر بنویسی، خواننده‌ای پیدا می‌شود که آن را تأیید یا رد جناح خودش بخواند. من از اول تصمیم گرفتم وارد این بازی نشوم: نه مداحم نه منتقد سیاسی؛ فقط یک طلبه‌ام که می‌خواهد تکلیف شرعی مسئله را بفهمد. اگر تحلیل‌هایم گاهی به مذاق این طرف خوش نیامده یا آن طرف را نرنجانده، عمدی در کار نبوده؛ منطق بحث هرجا رفته، من هم رفته‌ام.</w:t>
      </w:r>
    </w:p>
    <w:p>
      <w:pPr>
        <w:widowControl/>
        <w:bidi w:val="1"/>
        <w:spacing w:before="0" w:after="200" w:line="336" w:lineRule="auto"/>
        <w:ind w:firstLine="283"/>
        <w:jc w:val="both"/>
      </w:pPr>
      <w:r>
        <w:rPr>
          <w:rFonts w:ascii="B Lotus" w:hAnsi="B Lotus" w:cs="B Lotus" w:eastAsia="B Lotus"/>
          <w:b w:val="0"/>
          <w:i w:val="0"/>
          <w:sz w:val="28"/>
          <w:szCs w:val="28"/>
        </w:rPr>
        <w:t>درباره ساختار رساله هم توضیحی بدهم. رساله در سه بخش و پنج فصل آمده که منطقش روشن است: اول باید بدانیم درباره چه حرف می‌زنیم (مفاهیم و کلیات)، بعد باید حکم شرعی‌اش را پیدا کنیم (ادله وجوب وفا و مبانی جواز عدول)، و آخر باید آثار حقوقی‌اش را بسنجیم (مسئولیت بین‌المللی و حقوق اساسی). این ترتیب از کلی به جزئی و از مبنا به حکم و از نظر به عمل است؛ و اگر خواننده‌ای فصل‌ها را به همین ترتیب بخواند، سیر بحث برایش طبیعی و روان خواهد بود.</w:t>
      </w:r>
    </w:p>
    <w:p>
      <w:pPr>
        <w:widowControl/>
        <w:bidi w:val="1"/>
        <w:spacing w:before="0" w:after="200" w:line="336" w:lineRule="auto"/>
        <w:ind w:firstLine="283"/>
        <w:jc w:val="both"/>
      </w:pPr>
      <w:r>
        <w:rPr>
          <w:rFonts w:ascii="B Lotus" w:hAnsi="B Lotus" w:cs="B Lotus" w:eastAsia="B Lotus"/>
          <w:b w:val="0"/>
          <w:i w:val="0"/>
          <w:sz w:val="28"/>
          <w:szCs w:val="28"/>
        </w:rPr>
        <w:t>نکته آخر این‌که: این رساله را نه برای قفسه کتابخانه نوشته‌ام، بلکه برای میز تصمیم‌گیر. اگر روزی یکی از آقایانی که در جلسات سرنوشت‌ساز می‌نشینند، این صفحات را ورق بزند و حتی یک ضابطه‌اش به کارش بیاید، من اجر خودم را گرفته‌ام. و اگر هم نخوانند، دست‌کم خودم در این مسیر چیزها آموخته‌ام که هیچ‌چیز دیگری نمی‌توانست بیاموزدم. والحمدلله رب العالمین.</w:t>
      </w:r>
    </w:p>
    <w:p>
      <w:r>
        <w:br w:type="page"/>
      </w:r>
    </w:p>
    <w:p>
      <w:pPr>
        <w:widowControl/>
        <w:bidi w:val="1"/>
        <w:spacing w:before="120" w:after="240" w:line="336" w:lineRule="auto"/>
        <w:jc w:val="right"/>
        <w:keepNext w:val="1"/>
      </w:pPr>
      <w:r>
        <w:rPr>
          <w:rFonts w:ascii="B Titr" w:hAnsi="B Titr" w:cs="B Titr" w:eastAsia="B Titr"/>
          <w:b/>
          <w:i w:val="0"/>
          <w:sz w:val="36"/>
          <w:szCs w:val="36"/>
          <w:rtl/>
        </w:rPr>
        <w:t>Abstract</w:t>
      </w:r>
    </w:p>
    <w:p>
      <w:pPr>
        <w:widowControl/>
        <w:spacing w:before="0" w:after="200" w:line="336" w:lineRule="auto"/>
        <w:jc w:val="both"/>
      </w:pPr>
      <w:r>
        <w:rPr>
          <w:rFonts w:ascii="B Lotus" w:hAnsi="B Lotus" w:cs="B Lotus" w:eastAsia="B Lotus"/>
          <w:b w:val="0"/>
          <w:i w:val="0"/>
          <w:sz w:val="26"/>
          <w:szCs w:val="26"/>
        </w:rPr>
        <w:t>This thesis addresses a single, pressing question: if the continued performance of an international treaty turns harmful to the Islamic state, may the Guardian Jurist (Vali-e Faqih) withdraw from it? And if so, on what basis, under what conditions, and with what consequences? The question lies at the intersection of three normative systems — Imami jurisprudence, the constitutional law of the Islamic Republic of Iran, and public international law — and none of the three can answer it alone.</w:t>
      </w:r>
    </w:p>
    <w:p>
      <w:pPr>
        <w:widowControl/>
        <w:spacing w:before="0" w:after="200" w:line="336" w:lineRule="auto"/>
        <w:ind w:firstLine="283"/>
        <w:jc w:val="both"/>
      </w:pPr>
      <w:r>
        <w:rPr>
          <w:rFonts w:ascii="B Lotus" w:hAnsi="B Lotus" w:cs="B Lotus" w:eastAsia="B Lotus"/>
          <w:b w:val="0"/>
          <w:i w:val="0"/>
          <w:sz w:val="26"/>
          <w:szCs w:val="26"/>
        </w:rPr>
        <w:t>The method is library-based, analytical and inferential: ijtihadi reasoning in fiqh, textual and case-law analysis in international law, and constitutional interpretation in domestic law. The thesis is organized in three parts and five chapters: concepts and preliminaries; the juristic analysis (the obligation of fidelity to treaties and the grounds for lawful withdrawal); and the legal analysis (international responsibility and the constitutional status of the decision).</w:t>
      </w:r>
    </w:p>
    <w:p>
      <w:pPr>
        <w:widowControl/>
        <w:spacing w:before="0" w:after="200" w:line="336" w:lineRule="auto"/>
        <w:ind w:firstLine="283"/>
        <w:jc w:val="both"/>
      </w:pPr>
      <w:r>
        <w:rPr>
          <w:rFonts w:ascii="B Lotus" w:hAnsi="B Lotus" w:cs="B Lotus" w:eastAsia="B Lotus"/>
          <w:b w:val="0"/>
          <w:i w:val="0"/>
          <w:sz w:val="26"/>
          <w:szCs w:val="26"/>
        </w:rPr>
        <w:t>The findings are five. First, the primary rule is the obligation of fidelity (wafa), established by Quranic verses, traditions, the practice of the Infallibles, and reason. Second, departure from this rule is lawful only as a governmental decision (hukm hukumati) of the Guardian Jurist in a situation of genuine conflict of interests (tazahum), supported by four independent grounds: tazahum itself, the theory of governmental ordinance, the rules of negation of harm and hardship, and the paramount duty of preserving the Islamic system. Third, this permission is fenced by eight practical conditions that together form a decision-maker's checklist. Fourth, three levels of analysis must be strictly separated: juristic permissibility, domestic constitutionality, and international responsibility — each with its own forum and criteria. Fifth, the Guardian Jurist's authority in this domain is implicit and guardianship-based rather than express, and is best explained through a fourfold division of authority (express, implicit, guardianship-based, governmental).</w:t>
      </w:r>
    </w:p>
    <w:p>
      <w:pPr>
        <w:widowControl/>
        <w:spacing w:before="0" w:after="200" w:line="336" w:lineRule="auto"/>
        <w:ind w:firstLine="283"/>
        <w:jc w:val="both"/>
      </w:pPr>
      <w:r>
        <w:rPr>
          <w:rFonts w:ascii="B Lotus" w:hAnsi="B Lotus" w:cs="B Lotus" w:eastAsia="B Lotus"/>
          <w:b/>
          <w:i w:val="0"/>
          <w:sz w:val="26"/>
          <w:szCs w:val="26"/>
        </w:rPr>
        <w:t>Keywords:</w:t>
      </w:r>
      <w:r>
        <w:rPr>
          <w:rFonts w:ascii="B Lotus" w:hAnsi="B Lotus" w:cs="B Lotus" w:eastAsia="B Lotus"/>
          <w:b w:val="0"/>
          <w:i w:val="0"/>
          <w:sz w:val="26"/>
          <w:szCs w:val="26"/>
        </w:rPr>
        <w:t xml:space="preserve"> Guardian Jurist, international obligations, treaties, fidelity to covenants, governmental ordinance, tazahum, expediency, international responsibility, Vienna Convention, constitution.</w:t>
      </w:r>
    </w:p>
    <w:p>
      <w:r>
        <w:br w:type="page"/>
      </w:r>
    </w:p>
    <w:p>
      <w:pPr>
        <w:widowControl/>
        <w:bidi w:val="1"/>
        <w:spacing w:before="120" w:after="240" w:line="336" w:lineRule="auto"/>
        <w:jc w:val="right"/>
        <w:keepNext w:val="1"/>
        <w:pBdr>
          <w:top w:val="single" w:sz="12" w:space="8" w:color="1F3864"/>
          <w:bottom w:val="single" w:sz="12" w:space="8" w:color="1F3864"/>
        </w:pBdr>
      </w:pPr>
      <w:r>
        <w:rPr>
          <w:rFonts w:ascii="B Titr" w:hAnsi="B Titr" w:cs="B Titr" w:eastAsia="B Titr"/>
          <w:b/>
          <w:i w:val="0"/>
          <w:sz w:val="36"/>
          <w:szCs w:val="36"/>
          <w:rtl/>
        </w:rPr>
        <w:t>فهرست مطالب</w:t>
      </w:r>
    </w:p>
    <w:p>
      <w:pPr>
        <w:widowControl/>
        <w:bidi w:val="1"/>
        <w:spacing w:before="0" w:after="200" w:line="336" w:lineRule="auto"/>
        <w:jc w:val="right"/>
      </w:pPr>
      <w:r>
        <w:rPr>
          <w:rFonts w:ascii="B Lotus" w:hAnsi="B Lotus" w:cs="B Lotus" w:eastAsia="B Lotus"/>
          <w:b w:val="0"/>
          <w:i w:val="0"/>
          <w:sz w:val="28"/>
          <w:szCs w:val="28"/>
        </w:rPr>
        <w:fldChar w:fldCharType="begin"/>
      </w:r>
      <w:r>
        <w:rPr>
          <w:rFonts w:ascii="B Lotus" w:hAnsi="B Lotus" w:cs="B Lotus" w:eastAsia="B Lotus"/>
          <w:b w:val="0"/>
          <w:i w:val="0"/>
          <w:sz w:val="28"/>
          <w:szCs w:val="28"/>
        </w:rPr>
        <w:instrText xml:space="preserve"> TOC \o "1-4" \h \z \u </w:instrText>
      </w:r>
      <w:r>
        <w:rPr>
          <w:rFonts w:ascii="B Lotus" w:hAnsi="B Lotus" w:cs="B Lotus" w:eastAsia="B Lotus"/>
          <w:b w:val="0"/>
          <w:i w:val="0"/>
          <w:sz w:val="28"/>
          <w:szCs w:val="28"/>
        </w:rPr>
        <w:fldChar w:fldCharType="separate"/>
      </w:r>
    </w:p>
    <w:p>
      <w:pPr>
        <w:pStyle w:val="TOC2"/>
        <w:bidi w:val="1"/>
        <w:jc w:val="right"/>
      </w:pPr>
      <w:r>
        <w:rPr>
          <w:rFonts w:ascii="B Lotus" w:hAnsi="B Lotus" w:cs="B Lotus" w:eastAsia="B Lotus"/>
          <w:b w:val="0"/>
          <w:i w:val="0"/>
          <w:sz w:val="26"/>
          <w:szCs w:val="26"/>
          <w:rtl/>
        </w:rPr>
        <w:t>چکیده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_Toc000001 \h </w:instrText>
      </w:r>
      <w:r>
        <w:rPr>
          <w:rFonts w:ascii="B Lotus" w:hAnsi="B Lotus" w:cs="B Lotus" w:eastAsia="B Lotus"/>
          <w:b w:val="0"/>
          <w:i w:val="0"/>
          <w:sz w:val="26"/>
          <w:szCs w:val="26"/>
        </w:rPr>
        <w:fldChar w:fldCharType="separate"/>
      </w:r>
      <w:r>
        <w:rPr>
          <w:rFonts w:ascii="B Lotus" w:hAnsi="B Lotus" w:cs="B Lotus"/>
          <w:sz w:val="26"/>
          <w:szCs w:val="26"/>
          <w:rtl/>
        </w:rPr>
        <w:t xml:space="preserve">۶</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پیشگفتار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_Toc000002 \h </w:instrText>
      </w:r>
      <w:r>
        <w:rPr>
          <w:rFonts w:ascii="B Lotus" w:hAnsi="B Lotus" w:cs="B Lotus" w:eastAsia="B Lotus"/>
          <w:b w:val="0"/>
          <w:i w:val="0"/>
          <w:sz w:val="26"/>
          <w:szCs w:val="26"/>
        </w:rPr>
        <w:fldChar w:fldCharType="separate"/>
      </w:r>
      <w:r>
        <w:rPr>
          <w:rFonts w:ascii="B Lotus" w:hAnsi="B Lotus" w:cs="B Lotus"/>
          <w:sz w:val="26"/>
          <w:szCs w:val="26"/>
          <w:rtl/>
        </w:rPr>
        <w:t xml:space="preserve">۷</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مقدمه: کلیات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_Toc000003 \h </w:instrText>
      </w:r>
      <w:r>
        <w:rPr>
          <w:rFonts w:ascii="B Lotus" w:hAnsi="B Lotus" w:cs="B Lotus" w:eastAsia="B Lotus"/>
          <w:b w:val="0"/>
          <w:i w:val="0"/>
          <w:sz w:val="26"/>
          <w:szCs w:val="26"/>
        </w:rPr>
        <w:fldChar w:fldCharType="separate"/>
      </w:r>
      <w:r>
        <w:rPr>
          <w:rFonts w:ascii="B Lotus" w:hAnsi="B Lotus" w:cs="B Lotus"/>
          <w:sz w:val="26"/>
          <w:szCs w:val="26"/>
          <w:rtl/>
        </w:rPr>
        <w:t xml:space="preserve">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بیان مسئله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_Toc000004 \h </w:instrText>
      </w:r>
      <w:r>
        <w:rPr>
          <w:rFonts w:ascii="B Lotus" w:hAnsi="B Lotus" w:cs="B Lotus" w:eastAsia="B Lotus"/>
          <w:b w:val="0"/>
          <w:i w:val="0"/>
          <w:sz w:val="26"/>
          <w:szCs w:val="26"/>
        </w:rPr>
        <w:fldChar w:fldCharType="separate"/>
      </w:r>
      <w:r>
        <w:rPr>
          <w:rFonts w:ascii="B Lotus" w:hAnsi="B Lotus" w:cs="B Lotus"/>
          <w:sz w:val="26"/>
          <w:szCs w:val="26"/>
          <w:rtl/>
        </w:rPr>
        <w:t xml:space="preserve">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ضرورت و اهمیت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_Toc000005 \h </w:instrText>
      </w:r>
      <w:r>
        <w:rPr>
          <w:rFonts w:ascii="B Lotus" w:hAnsi="B Lotus" w:cs="B Lotus" w:eastAsia="B Lotus"/>
          <w:b w:val="0"/>
          <w:i w:val="0"/>
          <w:sz w:val="26"/>
          <w:szCs w:val="26"/>
        </w:rPr>
        <w:fldChar w:fldCharType="separate"/>
      </w:r>
      <w:r>
        <w:rPr>
          <w:rFonts w:ascii="B Lotus" w:hAnsi="B Lotus" w:cs="B Lotus"/>
          <w:sz w:val="26"/>
          <w:szCs w:val="26"/>
          <w:rtl/>
        </w:rPr>
        <w:t xml:space="preserve">۲</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اهداف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_Toc000006 \h </w:instrText>
      </w:r>
      <w:r>
        <w:rPr>
          <w:rFonts w:ascii="B Lotus" w:hAnsi="B Lotus" w:cs="B Lotus" w:eastAsia="B Lotus"/>
          <w:b w:val="0"/>
          <w:i w:val="0"/>
          <w:sz w:val="26"/>
          <w:szCs w:val="26"/>
        </w:rPr>
        <w:fldChar w:fldCharType="separate"/>
      </w:r>
      <w:r>
        <w:rPr>
          <w:rFonts w:ascii="B Lotus" w:hAnsi="B Lotus" w:cs="B Lotus"/>
          <w:sz w:val="26"/>
          <w:szCs w:val="26"/>
          <w:rtl/>
        </w:rPr>
        <w:t xml:space="preserve">۲</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سؤالات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_Toc000007 \h </w:instrText>
      </w:r>
      <w:r>
        <w:rPr>
          <w:rFonts w:ascii="B Lotus" w:hAnsi="B Lotus" w:cs="B Lotus" w:eastAsia="B Lotus"/>
          <w:b w:val="0"/>
          <w:i w:val="0"/>
          <w:sz w:val="26"/>
          <w:szCs w:val="26"/>
        </w:rPr>
        <w:fldChar w:fldCharType="separate"/>
      </w:r>
      <w:r>
        <w:rPr>
          <w:rFonts w:ascii="B Lotus" w:hAnsi="B Lotus" w:cs="B Lotus"/>
          <w:sz w:val="26"/>
          <w:szCs w:val="26"/>
          <w:rtl/>
        </w:rPr>
        <w:t xml:space="preserve">۳</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فرضیه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_Toc000008 \h </w:instrText>
      </w:r>
      <w:r>
        <w:rPr>
          <w:rFonts w:ascii="B Lotus" w:hAnsi="B Lotus" w:cs="B Lotus" w:eastAsia="B Lotus"/>
          <w:b w:val="0"/>
          <w:i w:val="0"/>
          <w:sz w:val="26"/>
          <w:szCs w:val="26"/>
        </w:rPr>
        <w:fldChar w:fldCharType="separate"/>
      </w:r>
      <w:r>
        <w:rPr>
          <w:rFonts w:ascii="B Lotus" w:hAnsi="B Lotus" w:cs="B Lotus"/>
          <w:sz w:val="26"/>
          <w:szCs w:val="26"/>
          <w:rtl/>
        </w:rPr>
        <w:t xml:space="preserve">۳</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پیشینه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_Toc000009 \h </w:instrText>
      </w:r>
      <w:r>
        <w:rPr>
          <w:rFonts w:ascii="B Lotus" w:hAnsi="B Lotus" w:cs="B Lotus" w:eastAsia="B Lotus"/>
          <w:b w:val="0"/>
          <w:i w:val="0"/>
          <w:sz w:val="26"/>
          <w:szCs w:val="26"/>
        </w:rPr>
        <w:fldChar w:fldCharType="separate"/>
      </w:r>
      <w:r>
        <w:rPr>
          <w:rFonts w:ascii="B Lotus" w:hAnsi="B Lotus" w:cs="B Lotus"/>
          <w:sz w:val="26"/>
          <w:szCs w:val="26"/>
          <w:rtl/>
        </w:rPr>
        <w:t xml:space="preserve">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روش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_Toc000010 \h </w:instrText>
      </w:r>
      <w:r>
        <w:rPr>
          <w:rFonts w:ascii="B Lotus" w:hAnsi="B Lotus" w:cs="B Lotus" w:eastAsia="B Lotus"/>
          <w:b w:val="0"/>
          <w:i w:val="0"/>
          <w:sz w:val="26"/>
          <w:szCs w:val="26"/>
        </w:rPr>
        <w:fldChar w:fldCharType="separate"/>
      </w:r>
      <w:r>
        <w:rPr>
          <w:rFonts w:ascii="B Lotus" w:hAnsi="B Lotus" w:cs="B Lotus"/>
          <w:sz w:val="26"/>
          <w:szCs w:val="26"/>
          <w:rtl/>
        </w:rPr>
        <w:t xml:space="preserve">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ساماندهی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_Toc000011 \h </w:instrText>
      </w:r>
      <w:r>
        <w:rPr>
          <w:rFonts w:ascii="B Lotus" w:hAnsi="B Lotus" w:cs="B Lotus" w:eastAsia="B Lotus"/>
          <w:b w:val="0"/>
          <w:i w:val="0"/>
          <w:sz w:val="26"/>
          <w:szCs w:val="26"/>
        </w:rPr>
        <w:fldChar w:fldCharType="separate"/>
      </w:r>
      <w:r>
        <w:rPr>
          <w:rFonts w:ascii="B Lotus" w:hAnsi="B Lotus" w:cs="B Lotus"/>
          <w:sz w:val="26"/>
          <w:szCs w:val="26"/>
          <w:rtl/>
        </w:rPr>
        <w:t xml:space="preserve">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قلمرو، محدودیت‌ها و اصطلاحات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_Toc000012 \h </w:instrText>
      </w:r>
      <w:r>
        <w:rPr>
          <w:rFonts w:ascii="B Lotus" w:hAnsi="B Lotus" w:cs="B Lotus" w:eastAsia="B Lotus"/>
          <w:b w:val="0"/>
          <w:i w:val="0"/>
          <w:sz w:val="26"/>
          <w:szCs w:val="26"/>
        </w:rPr>
        <w:fldChar w:fldCharType="separate"/>
      </w:r>
      <w:r>
        <w:rPr>
          <w:rFonts w:ascii="B Lotus" w:hAnsi="B Lotus" w:cs="B Lotus"/>
          <w:sz w:val="26"/>
          <w:szCs w:val="26"/>
          <w:rtl/>
        </w:rPr>
        <w:t xml:space="preserve">۶</w:t>
      </w:r>
      <w:r>
        <w:rPr>
          <w:rFonts w:ascii="B Lotus" w:hAnsi="B Lotus" w:cs="B Lotus" w:eastAsia="B Lotus"/>
          <w:b w:val="0"/>
          <w:i w:val="0"/>
          <w:sz w:val="26"/>
          <w:szCs w:val="26"/>
        </w:rPr>
        <w:fldChar w:fldCharType="end"/>
      </w:r>
    </w:p>
    <w:p>
      <w:pPr>
        <w:pStyle w:val="TOC1"/>
        <w:bidi w:val="1"/>
        <w:jc w:val="right"/>
      </w:pPr>
      <w:r>
        <w:rPr>
          <w:rFonts w:ascii="B Lotus" w:hAnsi="B Lotus" w:cs="B Lotus" w:eastAsia="B Lotus"/>
          <w:b w:val="0"/>
          <w:i w:val="0"/>
          <w:sz w:val="26"/>
          <w:szCs w:val="26"/>
          <w:rtl/>
        </w:rPr>
        <w:t>بخش اول: مبانی و کلیات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_Toc000013 \h </w:instrText>
      </w:r>
      <w:r>
        <w:rPr>
          <w:rFonts w:ascii="B Lotus" w:hAnsi="B Lotus" w:cs="B Lotus" w:eastAsia="B Lotus"/>
          <w:b w:val="0"/>
          <w:i w:val="0"/>
          <w:sz w:val="26"/>
          <w:szCs w:val="26"/>
        </w:rPr>
        <w:fldChar w:fldCharType="separate"/>
      </w:r>
      <w:r>
        <w:rPr>
          <w:rFonts w:ascii="B Lotus" w:hAnsi="B Lotus" w:cs="B Lotus"/>
          <w:sz w:val="26"/>
          <w:szCs w:val="26"/>
          <w:rtl/>
        </w:rPr>
        <w:t xml:space="preserve">۷</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فصل اول: مفهوم‌شناسی و چارچوب نظری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_Toc000014 \h </w:instrText>
      </w:r>
      <w:r>
        <w:rPr>
          <w:rFonts w:ascii="B Lotus" w:hAnsi="B Lotus" w:cs="B Lotus" w:eastAsia="B Lotus"/>
          <w:b w:val="0"/>
          <w:i w:val="0"/>
          <w:sz w:val="26"/>
          <w:szCs w:val="26"/>
        </w:rPr>
        <w:fldChar w:fldCharType="separate"/>
      </w:r>
      <w:r>
        <w:rPr>
          <w:rFonts w:ascii="B Lotus" w:hAnsi="B Lotus" w:cs="B Lotus"/>
          <w:sz w:val="26"/>
          <w:szCs w:val="26"/>
          <w:rtl/>
        </w:rPr>
        <w:t xml:space="preserve">۹</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اول: مفهوم معاهده و تعهد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_Toc000015 \h </w:instrText>
      </w:r>
      <w:r>
        <w:rPr>
          <w:rFonts w:ascii="B Lotus" w:hAnsi="B Lotus" w:cs="B Lotus" w:eastAsia="B Lotus"/>
          <w:b w:val="0"/>
          <w:i w:val="0"/>
          <w:sz w:val="26"/>
          <w:szCs w:val="26"/>
        </w:rPr>
        <w:fldChar w:fldCharType="separate"/>
      </w:r>
      <w:r>
        <w:rPr>
          <w:rFonts w:ascii="B Lotus" w:hAnsi="B Lotus" w:cs="B Lotus"/>
          <w:sz w:val="26"/>
          <w:szCs w:val="26"/>
          <w:rtl/>
        </w:rPr>
        <w:t xml:space="preserve">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تعریف لغوی و اصطلاحی معاهده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_Toc000016 \h </w:instrText>
      </w:r>
      <w:r>
        <w:rPr>
          <w:rFonts w:ascii="B Lotus" w:hAnsi="B Lotus" w:cs="B Lotus" w:eastAsia="B Lotus"/>
          <w:b w:val="0"/>
          <w:i w:val="0"/>
          <w:sz w:val="26"/>
          <w:szCs w:val="26"/>
        </w:rPr>
        <w:fldChar w:fldCharType="separate"/>
      </w:r>
      <w:r>
        <w:rPr>
          <w:rFonts w:ascii="B Lotus" w:hAnsi="B Lotus" w:cs="B Lotus"/>
          <w:sz w:val="26"/>
          <w:szCs w:val="26"/>
          <w:rtl/>
        </w:rPr>
        <w:t xml:space="preserve">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اقسام معاهدات و محل بحث</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_Toc000017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مفهوم تعهد و ارکان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_Toc000018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دوم: مفهوم ولی فقیه و گستره اختیارات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_Toc000019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۱۱</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تعریف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_Toc000020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۱۱</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مراتب اختیار؛ صریح، ضمنی، ولایی،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_Toc000021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سوم: مفهوم عدول و مفاهیم خویشاوند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_Toc000022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تعریف عدول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_Toc000023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تمایز از مفاهیم خویشاوند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_Toc000024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طیف پنج‌صورتِ عدول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_Toc000025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۱۳</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چهارم: مفهوم مصلحت و چارچوب نظری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_Toc000026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مصلحت در لغت و اصطلاح</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_Toc000027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نسبت مصلحت با ضرورت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_Toc000028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چارچوب نظری پژوهش</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_Toc000029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پنجم: پیشینه مفهومی عهد در فقه؛ هدنه، امان، ذمه و صلح</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_Toc000030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چرا پیشینه فقهی لازم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_Toc000031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هدنه؛ آتش‌بس موقت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_Toc000032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امان؛ تأمین فردی و جمعی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_Toc000033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ذمه و صلح؛ پیمان‌های دائم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_Toc000034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پنجم: جمع‌بندی؛ از نهادهای کهن تا معاهده مدرن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_Toc000035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۱۷</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حاصل فصل اول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_Toc000036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۱۷</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فصل دوم: کلیات حقوق معاهدات و قانون اساسی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_Toc000037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۱۸</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اول: تاریخچه و اصول حقوق معاهدات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_Toc000038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از عرف تا وین؛ تاریخچه‌ای کوتاه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_Toc000039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اصل بنیادین؛ پاکتا سونت سرواندا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_Toc000040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ماده ۲۷؛ دیوار میان داخلی و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_Toc000041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۱۹</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دوم: سازوکارهای تعلیق و خاتمه موجه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_Toc000042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منطق کلی؛ خاتمه فقط از مجرای قانون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_Toc000043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توافق اطراف و حق مندرج در متن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_Toc000044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نقض اساسی طرف مقابل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_Toc000045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تغییر بنیادین اوضاع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_Toc000046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پنجم: عدم امکان اجرا و آیین ادعا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_Toc000047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۲۱</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ششم: حق شرط و اعلامیه تفسیری؛ انعطافِ هنگامِ پذیرش</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_Toc000048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سوم: قواعد تفسیر معاهدات؛ فهم متن پیش از عمل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_Toc000049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قاعده عام تفسیر؛ متن، سیاق، هدف</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_Toc000050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نقش سوابق انعقاد و رفتار بعدی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_Toc000051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۲۲</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چهارم: اعتبار معاهدات؛ اهلیت، رضایت و عیوب اراده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_Toc000052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شرایط اعتبار؛ چرا بحث اعتبار به مسئله ما مربوط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_Toc000053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اهلیت و صلاحیت انعقاد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_Toc000054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عیوب اراده؛ اشتباه، فریب و اجبار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_Toc000055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ثبت معاهدات و اثر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_Toc000056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پنجم: اصول قانون اساسی مرتبط</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_Toc000057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اصل ۵؛ تثبیت مرجعیت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_Toc000058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اصل ۵۷؛ ولایت مطلقه و قید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_Toc000059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اصول ۷۷ و ۱۲۵؛ ورود به التزام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_Toc000060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اصول ۱۱۰ و ۱۱۲؛ اختیارات و مصلحت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_Toc000061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پنجم: اصول ۱۵۲ تا ۱۵۴ و ۱۷۶؛ جهت‌گیری سیاست خارجی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_Toc000062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۲۶</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حاصل فصل دوم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_Toc000063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۲۷</w:t>
      </w:r>
      <w:r>
        <w:rPr>
          <w:rFonts w:ascii="B Lotus" w:hAnsi="B Lotus" w:cs="B Lotus" w:eastAsia="B Lotus"/>
          <w:b w:val="0"/>
          <w:i w:val="0"/>
          <w:sz w:val="26"/>
          <w:szCs w:val="26"/>
        </w:rPr>
        <w:fldChar w:fldCharType="end"/>
      </w:r>
    </w:p>
    <w:p>
      <w:pPr>
        <w:pStyle w:val="TOC1"/>
        <w:bidi w:val="1"/>
        <w:jc w:val="right"/>
      </w:pPr>
      <w:r>
        <w:rPr>
          <w:rFonts w:ascii="B Lotus" w:hAnsi="B Lotus" w:cs="B Lotus" w:eastAsia="B Lotus"/>
          <w:b w:val="0"/>
          <w:i w:val="0"/>
          <w:sz w:val="26"/>
          <w:szCs w:val="26"/>
          <w:rtl/>
        </w:rPr>
        <w:t>بخش دوم: تحلیل فقهی مسئله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_Toc000064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۲۸</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فصل سوم: ادله وجوب وفای به عهد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_Toc000065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اول: آیات عام وجوب وفا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_Toc000066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آیه اوفوا بالعقود؛ امّ ادله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_Toc000067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آیات نحل و اسراء و رعد و مؤمنون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_Toc000068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۳۱</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دفع یک توهم؛ عموم یا اطلاق؟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_Toc000069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۳۲</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دوم: آیات خاص جهاد و عهدنامه‌ها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_Toc000070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آیات توبه؛ وفا در برابر استقامت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_Toc000071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آیات انفال؛ انباذ و یاری مظلوم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_Toc000072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۳۳</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سوم: روایات وفای به عهد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_Toc000073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حدیث شروط؛ المؤمنون عند شروطهم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_Toc000074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عهدنامه مالک اشتر؛ منشور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_Toc000075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سایر روایات؛ لعنت بر ناقض</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_Toc000076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چهارم: سیره معصومان در عهدنامه‌ها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_Toc000077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صلح حدیبیه؛ الگوی صبر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_Toc000078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فتح مکه و برائت؛ عدولِ موجهِ قرآنی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_Toc000079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سیره امیرالمؤمنین؛ از صفین تا حکمیت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_Toc000080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جمع‌بندی سیره؛ سه الگو</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_Toc000081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۳۶</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پنجم: دلیل عقل و بنای عقلا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_Toc000082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حکم عقل به قبح نقض عهد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_Toc000083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بنای عقلا؛ از بازار تا سازمان ملل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_Toc000084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۳۶</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ششم: قواعد فقهی مؤید وجوب وفا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_Toc000085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۳۷</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اصالة اللزوم در عقود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_Toc000086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۳۷</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حرمت غدر و خیانت؛ مرز اخلاقی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_Toc000087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۳۷</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قاعده نفی سبیل؛ مرز دیگر وفا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_Toc000088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۳۷</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هفتم: ادله تکمیلی؛ امانت، سوگند و آرای فقها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_Toc000089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ادای امانت؛ نساء/۵۸</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_Toc000090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حفظ سوگند؛ مائده/۸۹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_Toc000091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نشانه منافق؛ وعده‌خلافی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_Toc000092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میثاق مدینه و عهدنامه نجران؛ دو الگوی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_Toc000093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پنجم: آرای فقها؛ از جواهر تا تحریر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_Toc000094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هشتم: واژه‌شناسی قرآنی؛ عهد، عقد، میثاق و وعد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_Toc000095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چرا واژه‌شناسی؟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_Toc000096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عهد و عقد؛ التزام و گره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_Toc000097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میثاق و وعد؛ پیمانِ محکم و وعده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_Toc000098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۴۱</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ایمان و ذمه؛ سوگند و عهده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_Toc000099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حاصل فصل سوم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_Toc000100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۴۲</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فصل چهارم: مبانی جواز عدول و ضوابط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_Toc000101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۴۳</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اول: قاعده تزاحم؛ قلب تپنده استدلال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_Toc000102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تعارض و تزاحم؛ فرقی که سرنوشت‌ساز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_Toc000103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شرایط تحقق تزاحم در مسئله ما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_Toc000104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پاسخ به اشکال مقدّر؛ آیا تزاحم در احکام حکومتی جاری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_Toc000105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دوم: حکم حکومتی؛ ابزار حل تزاحم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_Toc000106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نظریه حکم حکومتی امام خمینی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_Toc000107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۴۴</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شرایط حکم حکومتی در مسئله ما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_Toc000108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پاسخ به اشکال مقدّر؛ آیا حکم حکومتی شامل تعهدات بین‌المللی می‌شود؟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_Toc000109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سوم: قواعد نفی ضرر و حرج و مصلحت نظام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_Toc000110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قاعده لاضرر؛ ضرر به نظام، ضرر به امت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_Toc000111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قاعده لاحرج؛ حرج اداره کشور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_Toc000112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مصلحت نظام؛ اوجب واجبات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_Toc000113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۴۶</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چهارم: ضوابط هشت‌گانه عدول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_Toc000114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۴۷</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ضابطه اول تا سوم؛ تزاحم، تقدم راه حقوقی، تشخیص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_Toc000115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۴۷</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ضابطه چهارم تا ششم؛ تناسب، موقت بودن، انباذ</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_Toc000116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۴۷</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ضابطه هفتم و هشتم؛ قواعد آمره و لحاظ آثار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_Toc000117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۴۸</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پنجم: دفع اشکالات مقدّر؛ آزمون استحکام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_Toc000118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آیا تقدیم مصلحت بر نص، تعطیل نص نیست؟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_Toc000119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آیا این راه به توجیه هر عهدشکنی نمی‌انجامد؟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_Toc000120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آیا حاکم در دعوای خودش داور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_Toc000121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۴۹</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ششم: پیشینه نظری؛ از نراقی تا امام خمینی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_Toc000122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نراقی و تأسیس بحث ولایت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_Toc000123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نائینی و دولت مشروطه؛ تجربه تلخ و درس شیرین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_Toc000124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امام خمینی؛ از کشف اسرار تا صحیفه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_Toc000125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صلح امام حسن؛ بزرگ‌ترین الگوی مصلحت‌سنجی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_Toc000126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۵۱</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پنجم: مراتب تزاحم؛ اهم، مهم و محتمل‌الاهمیه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_Toc000127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حاصل فصل چهارم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_Toc000128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۵۲</w:t>
      </w:r>
      <w:r>
        <w:rPr>
          <w:rFonts w:ascii="B Lotus" w:hAnsi="B Lotus" w:cs="B Lotus" w:eastAsia="B Lotus"/>
          <w:b w:val="0"/>
          <w:i w:val="0"/>
          <w:sz w:val="26"/>
          <w:szCs w:val="26"/>
        </w:rPr>
        <w:fldChar w:fldCharType="end"/>
      </w:r>
    </w:p>
    <w:p>
      <w:pPr>
        <w:pStyle w:val="TOC1"/>
        <w:bidi w:val="1"/>
        <w:jc w:val="right"/>
      </w:pPr>
      <w:r>
        <w:rPr>
          <w:rFonts w:ascii="B Lotus" w:hAnsi="B Lotus" w:cs="B Lotus" w:eastAsia="B Lotus"/>
          <w:b w:val="0"/>
          <w:i w:val="0"/>
          <w:sz w:val="26"/>
          <w:szCs w:val="26"/>
          <w:rtl/>
        </w:rPr>
        <w:t>بخش سوم: تحلیل حقوقی مسئله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_Toc000129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۵۳</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فصل پنجم: مسئولیت بین‌المللی دولت و جایگاه حقوق اساسی تصمیم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_Toc000130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اول: چارچوب مسئولیت بین‌المللی دولت‌ها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_Toc000131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تاریخچه تدوین؛ از آگو تا کرافورد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_Toc000132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جایگاه عرفی کنوانسیون وین و رویه دیوان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_Toc000133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ارکان عمل متخلفانه؛ انتساب و نقض</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_Toc000134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۵۶</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دوم: انتساب تصمیم ولی فقیه به دولت ایران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_Toc000135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قاعده انتساب رفتار ارکان دولت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_Toc000136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تطبیق قاعده بر تصمیم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_Toc000137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۵۷</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سوم: نقض تعهد و تفکیک سه‌گانه سطوح تحلیل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_Toc000138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تحقق نقض و اقسام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_Toc000139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۵۸</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تفکیک جواز فقهی، مشروعیت داخلی و مسئولیت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_Toc000140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۵۸</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چهارم: اسباب رافع، آثار مسئولیت و راهبردهای کاهش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_Toc000141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اسباب رافع وصف متخلفانه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_Toc000142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۵۹</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آثار مسئولیت؛ توقف، جبران و حل‌وفصل اختلاف</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_Toc000143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۶۰</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راهبردهای حقوقی کاهش مسئولیت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_Toc000144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۶۱</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شرایط اقدام متقابل و جبران در رویه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_Toc000145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۶۲</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پنجم: نمونه تحلیلی؛ تجربه برجام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_Toc000146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۶۳</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ششم: تجربه تطبیقی؛ خروج از معاهدات در عمل دولت‌ها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_Toc000147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گفتار پنجم: جایگاه حقوق اساسی تصمیم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_Toc000148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اول: تحلیل اصول ۵، ۵۷، ۷۷، ۱۱۲ و ۱۲۵</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_Toc000149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۶۵</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دوم: اصول ۱۰۷ تا ۱۱۱؛ نصب، شرایط و نظارت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_Toc000150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۶۶</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سوم: سیاست‌های کلی نظام؛ حلقه واسطِ رهبری و معاهدات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_Toc000151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۶۷</w:t>
      </w:r>
      <w:r>
        <w:rPr>
          <w:rFonts w:ascii="B Lotus" w:hAnsi="B Lotus" w:cs="B Lotus" w:eastAsia="B Lotus"/>
          <w:b w:val="0"/>
          <w:i w:val="0"/>
          <w:sz w:val="26"/>
          <w:szCs w:val="26"/>
        </w:rPr>
        <w:fldChar w:fldCharType="end"/>
      </w:r>
    </w:p>
    <w:p>
      <w:pPr>
        <w:pStyle w:val="TOC4"/>
        <w:bidi w:val="1"/>
        <w:jc w:val="right"/>
      </w:pPr>
      <w:r>
        <w:rPr>
          <w:rFonts w:ascii="B Lotus" w:hAnsi="B Lotus" w:cs="B Lotus" w:eastAsia="B Lotus"/>
          <w:b w:val="0"/>
          <w:i w:val="0"/>
          <w:sz w:val="26"/>
          <w:szCs w:val="26"/>
          <w:rtl/>
        </w:rPr>
        <w:t>بند چهارم: تحلیل اصل ۱۱۰؛ نقد ادعای حصر و تفکیک انواع اختیار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_Toc000152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۶۸</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حاصل فصل پنجم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_Toc000153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۶۹</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نتیجه‌گیری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_Toc000154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دستاورد اول: قاعده اولی، وجوب وفاست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_Toc000155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دستاورد دوم: استثنای ضابطه‌مند، عدول حکومتی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_Toc000156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دستاورد سوم: ضوابط هشت‌گانه، مهار جواز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_Toc000157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دستاورد چهارم: سه سطح را قاطی نکنیم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_Toc000158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دستاورد پنجم: قانون اساسی کف است نه سقف</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_Toc000159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نوآوری‌ها و پیشنهادها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_Toc000160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پاسخ کوتاه به سؤال‌های فرعی؛ جمع‌بندی برای دفاع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_Toc000161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۷۲</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مسیر آینده؛ از رساله تا نظام‌سازی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_Toc000162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۷۳</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فهرست منابع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_Toc000163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قرآن کریم و تفاسیر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_Toc000164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جوامع حدیثی و نهج‌البلاغه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_Toc000165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۷۴</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کتب فقهی و اصولی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_Toc000166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فقه سیاسی، ولایت فقیه و حکومت اسلامی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_Toc000167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۷۵</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قانون اساسی و اسناد حقوقی داخلی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_Toc000168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۷۶</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اسناد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_Toc000169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۷۶</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کتب و مقالات حقوقی (فارسی و عربی)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_Toc000170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۷۷</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یادداشت‌های کتاب‌شناختی؛ راهنمای خواننده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_Toc000171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۷۷</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پایگاه‌های اینترنتی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_Toc000172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۷۸</w:t>
      </w:r>
      <w:r>
        <w:rPr>
          <w:rFonts w:ascii="B Lotus" w:hAnsi="B Lotus" w:cs="B Lotus" w:eastAsia="B Lotus"/>
          <w:b w:val="0"/>
          <w:i w:val="0"/>
          <w:sz w:val="26"/>
          <w:szCs w:val="26"/>
        </w:rPr>
        <w:fldChar w:fldCharType="end"/>
      </w:r>
    </w:p>
    <w:p>
      <w:pPr>
        <w:pStyle w:val="TOC2"/>
        <w:bidi w:val="1"/>
        <w:jc w:val="right"/>
      </w:pPr>
      <w:r>
        <w:rPr>
          <w:rFonts w:ascii="B Lotus" w:hAnsi="B Lotus" w:cs="B Lotus" w:eastAsia="B Lotus"/>
          <w:b w:val="0"/>
          <w:i w:val="0"/>
          <w:sz w:val="26"/>
          <w:szCs w:val="26"/>
          <w:rtl/>
        </w:rPr>
        <w:t>پیوست‌ها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_Toc000173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۷۹</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پیوست اول: چک‌لیست عملی تصمیم‌گیری درباره عدول از تعهد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_Toc000174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۷۹</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پیوست دوم: متن اصول قانون اساسی مرتبط</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_Toc000175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۸۰</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پیوست سوم: متن مواد کلیدی کنوانسیون وین (ترجمه فارسی)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_Toc000176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۸۱</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پیوست چهارم: گاه‌شمار تحولات حقوق معاهدات و موضوع پژوهش</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_Toc000177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۸۲</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پیوست پنجم: گزیده عهدنامه مالک اشتر (متن و ترجمه)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_Toc000178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۸۲</w:t>
      </w:r>
      <w:r>
        <w:rPr>
          <w:rFonts w:ascii="B Lotus" w:hAnsi="B Lotus" w:cs="B Lotus" w:eastAsia="B Lotus"/>
          <w:b w:val="0"/>
          <w:i w:val="0"/>
          <w:sz w:val="26"/>
          <w:szCs w:val="26"/>
        </w:rPr>
        <w:fldChar w:fldCharType="end"/>
      </w:r>
    </w:p>
    <w:p>
      <w:pPr>
        <w:pStyle w:val="TOC3"/>
        <w:bidi w:val="1"/>
        <w:jc w:val="right"/>
      </w:pPr>
      <w:r>
        <w:rPr>
          <w:rFonts w:ascii="B Lotus" w:hAnsi="B Lotus" w:cs="B Lotus" w:eastAsia="B Lotus"/>
          <w:b w:val="0"/>
          <w:i w:val="0"/>
          <w:sz w:val="26"/>
          <w:szCs w:val="26"/>
          <w:rtl/>
        </w:rPr>
        <w:t>پیوست ششم: واژه‌نامه فارسی ـ عربی ـ انگلیسی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_Toc000179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۸۳</w:t>
      </w:r>
      <w:r>
        <w:rPr>
          <w:rFonts w:ascii="B Lotus" w:hAnsi="B Lotus" w:cs="B Lotus" w:eastAsia="B Lotus"/>
          <w:b w:val="0"/>
          <w:i w:val="0"/>
          <w:sz w:val="26"/>
          <w:szCs w:val="26"/>
        </w:rPr>
        <w:fldChar w:fldCharType="end"/>
      </w:r>
    </w:p>
    <w:p>
      <w:pPr>
        <w:widowControl/>
        <w:bidi w:val="1"/>
        <w:spacing w:before="0" w:after="200" w:line="336" w:lineRule="auto"/>
        <w:jc w:val="right"/>
      </w:pPr>
      <w:r>
        <w:rPr>
          <w:rFonts w:ascii="B Lotus" w:hAnsi="B Lotus" w:cs="B Lotus" w:eastAsia="B Lotus"/>
          <w:b w:val="0"/>
          <w:i w:val="0"/>
          <w:sz w:val="28"/>
          <w:szCs w:val="28"/>
        </w:rPr>
        <w:fldChar w:fldCharType="end"/>
      </w:r>
    </w:p>
    <w:p>
      <w:pPr>
        <w:widowControl/>
        <w:bidi w:val="1"/>
        <w:spacing w:before="0" w:after="200" w:line="336" w:lineRule="auto"/>
        <w:jc w:val="right"/>
      </w:pPr>
      <w:r>
        <w:rPr>
          <w:rFonts w:ascii="B Lotus" w:hAnsi="B Lotus" w:cs="B Lotus" w:eastAsia="B Lotus"/>
          <w:b w:val="0"/>
          <w:i w:val="0"/>
          <w:color w:val="888888"/>
          <w:sz w:val="22"/>
          <w:szCs w:val="22"/>
        </w:rPr>
        <w:t>راهنما: شماره صفحه‌ها با باز شدن فایل در Word خودکار کامل می‌شود؛ اگر نشد، روی فهرست کلیک راست کرده و «Update Field» و سپس «Update entire table» را بزنید؛ سپس این جمله را حذف کنید.</w:t>
      </w:r>
    </w:p>
    <w:p>
      <w:pPr>
        <w:sectPr>
          <w:pgSz w:w="11906" w:h="16838"/>
          <w:pgMar w:top="1417" w:right="1701" w:bottom="1417" w:left="1134" w:header="680" w:footer="680" w:gutter="0"/>
          <w:cols w:space="720"/>
          <w:docGrid w:linePitch="360"/>
        </w:sectPr>
      </w:pPr>
    </w:p>
    <w:p/>
    <w:p/>
    <w:p>
      <w:pPr>
        <w:pStyle w:val="TH-Fasl"/>
        <w:widowControl/>
        <w:bidi w:val="1"/>
        <w:spacing w:before="120" w:after="240" w:line="336" w:lineRule="auto"/>
        <w:jc w:val="right"/>
        <w:pBdr>
          <w:top w:val="single" w:sz="12" w:space="8" w:color="1F3864"/>
          <w:bottom w:val="single" w:sz="12" w:space="8" w:color="1F3864"/>
        </w:pBdr>
        <w:keepNext w:val="1"/>
      </w:pPr>
      <w:bookmarkStart w:id="3" w:name="_Toc000003"/>
      <w:r>
        <w:rPr>
          <w:rFonts w:ascii="B Titr" w:hAnsi="B Titr" w:cs="B Titr" w:eastAsia="B Titr"/>
          <w:b/>
          <w:i w:val="0"/>
          <w:sz w:val="44"/>
          <w:szCs w:val="44"/>
          <w:rtl/>
        </w:rPr>
        <w:t>مقدمه: کلیات تحقیق</w:t>
      </w:r>
      <w:bookmarkEnd w:id="3"/>
    </w:p>
    <w:p>
      <w:pPr>
        <w:pStyle w:val="TH-Goftar"/>
        <w:widowControl/>
        <w:bidi w:val="1"/>
        <w:spacing w:before="280" w:after="160" w:line="336" w:lineRule="auto"/>
        <w:jc w:val="right"/>
        <w:keepNext w:val="1"/>
        <w:shd w:val="clear" w:fill="EDEDED"/>
      </w:pPr>
      <w:bookmarkStart w:id="4" w:name="_Toc000004"/>
      <w:r>
        <w:rPr>
          <w:rFonts w:ascii="B Titr" w:hAnsi="B Titr" w:cs="B Titr" w:eastAsia="B Titr"/>
          <w:b/>
          <w:i w:val="0"/>
          <w:sz w:val="32"/>
          <w:szCs w:val="32"/>
          <w:rtl/>
        </w:rPr>
        <w:t>بیان مسئله</w:t>
      </w:r>
      <w:bookmarkEnd w:id="4"/>
    </w:p>
    <w:p>
      <w:pPr>
        <w:pStyle w:val="TH-Body"/>
        <w:widowControl/>
        <w:bidi w:val="1"/>
        <w:spacing w:before="0" w:after="200" w:line="336" w:lineRule="auto"/>
        <w:jc w:val="both"/>
      </w:pPr>
      <w:r>
        <w:rPr>
          <w:rFonts w:ascii="B Lotus" w:hAnsi="B Lotus" w:cs="B Lotus" w:eastAsia="B Lotus"/>
          <w:b w:val="0"/>
          <w:i w:val="0"/>
          <w:sz w:val="28"/>
          <w:szCs w:val="28"/>
        </w:rPr>
        <w:t>تصور کنید حکومتی ـ هر حکومتی، از جمله حکومت اسلامی ما ـ پیمانی با دولت‌های دیگر بسته است؛ پیمانی که روز امضایش مصلحت بود، عاقلانه بود، به نفع کشور بود. سال‌ها می‌گذرد. دنیا عوض می‌شود، طرف مقابل عهدشکنی می‌کند یا شرایط به‌کلی دگرگون می‌شود، و حالا ادامه اجرای همان پیمان دارد به کشور ضرر می‌زند؛ ضرری جدی، نه جزئی. حاکم چه باید بکند؟ به پیمان پایبند بماند و ضرر را تحمل کند، چون «عهدشکنی حرام است»؟ یا از پیمان عدول کند و مصلحت امروز کشور را نجات بدهد، چون «حفظ نظام واجب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این دوراهی، خلاصه مسئله این رساله است. ولی سادگیِ صورتش فریبنده است؛ چون در باطن، سه نظام هنجاریِ بزرگ را به هم گره می‌زند که هرکدام منطق و ادبیات و مراجع خودشان را دارند. فقه امامیه می‌گوید «اوفوا بالعقود» و نقض عهد را ـ مگر به حکم دلیل ـ حرام می‌داند؛ و این حرف، حرف کوچکی نیست، چون پشتش آیات صریح قرآن و روایات متواتر و سیره معصومان ایستاده. حقوق اساسی جمهوری اسلامی می‌پرسد حدود اختیارات رهبری تا کجاست و آیا تصمیم یک مقام می‌تواند قانون مصوب مجلس را کنار بزند؛ و این پرسش هم جدی است، چون به استقلال قوا و حکومت قانون گره خورده. و حقوق بین‌الملل می‌گوید نقض یک‌جانبه معاهده مسئولیت می‌آورد و توجیهات داخلی دولت‌ها ـ حتی حکم شرعی و قانون اساسی‌شان ـ در برابر طرف مقابل پذیرفته نیست؛ و این هم واقعیتی است که نمی‌شود نادیده‌اش گرفت، چون هزینه‌اش را مردم می‌دهند.</w:t>
      </w:r>
    </w:p>
    <w:p>
      <w:pPr>
        <w:pStyle w:val="TH-Body"/>
        <w:widowControl/>
        <w:bidi w:val="1"/>
        <w:spacing w:before="0" w:after="200" w:line="336" w:lineRule="auto"/>
        <w:ind w:firstLine="283"/>
        <w:jc w:val="both"/>
      </w:pPr>
      <w:r>
        <w:rPr>
          <w:rFonts w:ascii="B Lotus" w:hAnsi="B Lotus" w:cs="B Lotus" w:eastAsia="B Lotus"/>
          <w:b w:val="0"/>
          <w:i w:val="0"/>
          <w:sz w:val="28"/>
          <w:szCs w:val="28"/>
        </w:rPr>
        <w:t>حالا مسئله دقیقاً همین‌جاست: هیچ‌کدام از این سه پاسخِ تک‌بعدی به‌تنهایی کافی نیست، و کنار هم گذاشتنِ ساده‌شان هم جواب نمی‌دهد. فقیهی که از حقوق بین‌الملل بی‌خبر است، حکمی می‌دهد که اجرایش هزینه‌های سنگین و پیش‌بینی‌نشده بر کشور تحمیل می‌کند و بعد همه می‌گویند «فقه از واقعیت جداست». حقوق‌دانی که فقه را نمی‌شناسد، حکمی را نامشروع اعلام می‌کند که شرعاً واجب بوده و بعد همه می‌گویند «حقوق با شرع ناسازگار است». و تصمیم‌گیر جلسه‌ای که هر سه را با هم ندیده، تصمیمی می‌گیرد که یا شرعی نیست یا قانونی نیست یا پرهزینه است ـ و گاهی هر سه با هم. تناقض ظاهری میان «وجوب وفای به عهد» و «اختیار حکومتی ولی فقیه» و «مسئولیت بین‌المللی دولت»، گرهی است که فقط با تحلیل هم‌زمان و تفکیک‌شده هر سه سطح باز می‌شود. و این گره، دقیقاً همان چیزی است که این رساله آمده تا بازش کند؛ نه با شعار، نه با مصادره به مطلوب، بلکه با استدلال قدم‌به‌قدم.</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اصلی پژوهش پس این است: «عدول ولی فقیه از تعهدات بین‌المللی دولت اسلامی از منظر فقه امامیه و حقوق بین‌الملل چه مبانی، شرایط و آثاری دارد؟» و برای جواب دادن به آن، ناگزیرم هفت سؤال فرعی را هم جواب بدهم: مسئولیت بین‌المللی چنین تصمیمی چیست و چگونه مدیریت می‌شود؛ سازوکارهای تعلیق و خاتمه موجه در حقوق معاهدات کدام‌اند؛ ادله وجوب وفا در فقه تا کجا پیش می‌روند و از کجا متوقف می‌شوند؛ نسبت حکم حکومتی و تزاحم با تعهدات بین‌المللی چگونه است و چه ضوابطی دارد؛ دلالت اصول قانون اساسی بر این اختیار چقدر است؛ از سیره پیامبر و امیرالمؤمنین چه الگویی می‌شود گرفت؛ و آثار عملی تصمیم در سطوح داخلی و بین‌المللی چیست.</w:t>
      </w:r>
    </w:p>
    <w:p>
      <w:pPr>
        <w:pStyle w:val="TH-Goftar"/>
        <w:widowControl/>
        <w:bidi w:val="1"/>
        <w:spacing w:before="280" w:after="160" w:line="336" w:lineRule="auto"/>
        <w:jc w:val="right"/>
        <w:keepNext w:val="1"/>
        <w:shd w:val="clear" w:fill="EDEDED"/>
      </w:pPr>
      <w:bookmarkStart w:id="5" w:name="_Toc000005"/>
      <w:r>
        <w:rPr>
          <w:rFonts w:ascii="B Titr" w:hAnsi="B Titr" w:cs="B Titr" w:eastAsia="B Titr"/>
          <w:b/>
          <w:i w:val="0"/>
          <w:sz w:val="32"/>
          <w:szCs w:val="32"/>
          <w:rtl/>
        </w:rPr>
        <w:t>ضرورت و اهمیت تحقیق</w:t>
      </w:r>
      <w:bookmarkEnd w:id="5"/>
    </w:p>
    <w:p>
      <w:pPr>
        <w:pStyle w:val="TH-Body"/>
        <w:widowControl/>
        <w:bidi w:val="1"/>
        <w:spacing w:before="0" w:after="200" w:line="336" w:lineRule="auto"/>
        <w:jc w:val="both"/>
      </w:pPr>
      <w:r>
        <w:rPr>
          <w:rFonts w:ascii="B Lotus" w:hAnsi="B Lotus" w:cs="B Lotus" w:eastAsia="B Lotus"/>
          <w:b w:val="0"/>
          <w:i w:val="0"/>
          <w:sz w:val="28"/>
          <w:szCs w:val="28"/>
        </w:rPr>
        <w:t>اگر کسی بپرسد این تحقیق چه ضرورتی دارد، من فقط یک جواب می‌دهم: تاریخ چهل و چندساله انقلاب را ورق بزنید. از قضیه گروگان‌ها و عهدنامه الجزایر تا پرونده هسته‌ای و برجام و خروج آمریکا و کاهش تعهدات ایران، بارها کشور ما در برابر همین دوراهی قرار گرفته: پایبندی به تعهدی که اجرایش روزبه‌روز پرهزینه‌تر می‌شود، یا عدول از آن با همه پرسش‌های شرعی و حقوقی‌اش. و هر بار، تحلیل‌ها عمدتاً سیاسی و جناحی و احساسی بوده، نه فقهی و حقوقی و ضابطه‌مند. هر دولتی ساز خودش را زده و هیچ چارچوب ماندگاری از خود به جا نگذاشته. این خلأ تحلیلی، خودش به‌تنهایی ضرورت این پژوهش را اثبات می‌کند؛ چون تصمیمی که مبنا و ضابطه نداشته باشد، هر بار از نو محل مناقشه می‌شود و کشور را به ورطه آزمون‌وخطا می‌اندازد.</w:t>
      </w:r>
    </w:p>
    <w:p>
      <w:pPr>
        <w:pStyle w:val="TH-Body"/>
        <w:widowControl/>
        <w:bidi w:val="1"/>
        <w:spacing w:before="0" w:after="200" w:line="336" w:lineRule="auto"/>
        <w:ind w:firstLine="283"/>
        <w:jc w:val="both"/>
      </w:pPr>
      <w:r>
        <w:rPr>
          <w:rFonts w:ascii="B Lotus" w:hAnsi="B Lotus" w:cs="B Lotus" w:eastAsia="B Lotus"/>
          <w:b w:val="0"/>
          <w:i w:val="0"/>
          <w:sz w:val="28"/>
          <w:szCs w:val="28"/>
        </w:rPr>
        <w:t>ضرورت نظری هم دست‌کمی از ضرورت عملی ندارد، اگر بیشتر نباشد. از یک سو، فقه ما در باب معاهدات بین‌المللی امروزی ـ که با عهدنامه‌های صدر اسلام تفاوت‌های ساختاری جدی دارند ـ هنوز به بلوغ و تفصیل لازم نرسیده؛ و احکام حکومتی مرتبط با سیاست خارجی از کم‌کارکرده‌ترین ابواب فقه حکومتی ماست. ما درباره طهارت و صلات هزاران صفحه داریم ولی درباره این‌که حاکم اسلامی در برابر پیمان بین‌المللیِ زیان‌بار چه تکلیفی دارد، کمتر از انگشتان یک دست رساله جدی داریم. این فقر، شایسته فقهی نیست که ادعای حکومت دارد. از سوی دیگر، حقوق بین‌الملل معاصر ـ با کنوانسیون وین و طرح مسئولیت و سازوکارهای نوینش ـ نیازمند خوانش فقهی و بومی است تا فقیه ما بتواند در برابرش موضع دقیق و منصفانه بگیرد؛ نه پذیرش بی‌چون‌وچرای منفعلانه، نه رد احساسیِ بی‌دلیل. ما باید با این نظام حقوقی «گفت‌وگو» کنیم، و گفت‌وگو اول نیازمند «فهم»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دست آخر، مخاطب این رساله فقط حوزه و دانشگاه نیست. تصمیم‌گیران و مشاوران حقوقی و فقهی نظام ـ آقایانی که در شورای عالی امنیت ملی و وزارت خارجه و مجمع تشخیص می‌نشینند ـ بیش از هر کس دیگری به چنین چارچوبی نیاز دارند. رساله‌ای که مبنای فقهی و ضوابط عملی و آثار بین‌المللی یک تصمیم حکومتی را یک‌جا و با زبانی قابل فهم برای تصمیم‌گیر ارائه بدهد، در واقع پلی است میان نظر و عمل؛ و همین پیوند، اهمیتش را دوچندان می‌کند. من این رساله را برای میز آن‌ها نوشته‌ام، نه فقط برای قفسه کتابخانه.</w:t>
      </w:r>
    </w:p>
    <w:p>
      <w:pPr>
        <w:pStyle w:val="TH-Goftar"/>
        <w:widowControl/>
        <w:bidi w:val="1"/>
        <w:spacing w:before="280" w:after="160" w:line="336" w:lineRule="auto"/>
        <w:jc w:val="right"/>
        <w:keepNext w:val="1"/>
        <w:shd w:val="clear" w:fill="EDEDED"/>
      </w:pPr>
      <w:bookmarkStart w:id="6" w:name="_Toc000006"/>
      <w:r>
        <w:rPr>
          <w:rFonts w:ascii="B Titr" w:hAnsi="B Titr" w:cs="B Titr" w:eastAsia="B Titr"/>
          <w:b/>
          <w:i w:val="0"/>
          <w:sz w:val="32"/>
          <w:szCs w:val="32"/>
          <w:rtl/>
        </w:rPr>
        <w:t>اهداف تحقیق</w:t>
      </w:r>
      <w:bookmarkEnd w:id="6"/>
    </w:p>
    <w:p>
      <w:pPr>
        <w:pStyle w:val="TH-Body"/>
        <w:widowControl/>
        <w:bidi w:val="1"/>
        <w:spacing w:before="0" w:after="200" w:line="336" w:lineRule="auto"/>
        <w:jc w:val="both"/>
      </w:pPr>
      <w:r>
        <w:rPr>
          <w:rFonts w:ascii="B Lotus" w:hAnsi="B Lotus" w:cs="B Lotus" w:eastAsia="B Lotus"/>
          <w:b w:val="0"/>
          <w:i w:val="0"/>
          <w:sz w:val="28"/>
          <w:szCs w:val="28"/>
        </w:rPr>
        <w:t>هدف اصلی این پژوهش ارائه تحلیل فقهی ـ حقوقی جامع و ضابطه‌مند از عدول ولی فقیه از تعهدات بین‌المللی است؛ تحلیلی که هم تکلیف شرعی حاکم را روشن کند، هم جایگاه حقوقی تصمیمش را، و هم آثار بین‌المللی‌اش را ـ و هر سه را در یک چارچوب منسجم و کاربردی که تصمیم‌گیر بتواند واقعاً از آن استفاده کند، نه این‌که فقط بخواند و کنار بگذارد.</w:t>
      </w:r>
    </w:p>
    <w:p>
      <w:pPr>
        <w:pStyle w:val="TH-Body"/>
        <w:widowControl/>
        <w:bidi w:val="1"/>
        <w:spacing w:before="0" w:after="200" w:line="336" w:lineRule="auto"/>
        <w:ind w:firstLine="283"/>
        <w:jc w:val="both"/>
      </w:pPr>
      <w:r>
        <w:rPr>
          <w:rFonts w:ascii="B Lotus" w:hAnsi="B Lotus" w:cs="B Lotus" w:eastAsia="B Lotus"/>
          <w:b w:val="0"/>
          <w:i w:val="0"/>
          <w:sz w:val="28"/>
          <w:szCs w:val="28"/>
        </w:rPr>
        <w:t>در کنارِ هدفِ اصلی، سه هدفِ «میانی» هم دارم که گفتنشان را لازم می‌دانم، چون جهتِ کلِ رساله را مشخص می‌کنند: یکم، «رفعِ خلطِ سطوح» ـ یعنی نشان دادنِ این‌که جوازِ فقهی و مشروعیتِ داخلی و مسئولیتِ بین‌المللی سه چیزِ جداست و قاطی کردنشان خطاست؛ چون به تجربه دیده‌ام که بیشترِ مناقشه‌های این حوزه، ریشه در همین خلط دارد، نه در اختلافِ واقعی. دوم، «مهارِ جواز» ـ یعنی نشان دادنِ این‌که عدول اگر جایز است، بی‌ضابطه نیست و هشت قفل دارد؛ چون از خطرِ سوءاستفاده آگاهم و نمی‌خواهم رساله‌ام دستاویزِ عهدشکنیِ بی‌مبنا شود. و سوم، «دستِ تصمیم‌گیر را گرفتن» ـ یعنی ارائه چارچوبی که واقعاً قابلِ استفاده باشد، نه فقط قابلِ خواندن؛ چون رساله‌ای که روی میزِ تصمیم‌گیر نرود، هرچقدر هم که علمی باشد، رسالتش را کامل نکرده.</w:t>
      </w:r>
    </w:p>
    <w:p>
      <w:pPr>
        <w:pStyle w:val="TH-Body"/>
        <w:widowControl/>
        <w:bidi w:val="1"/>
        <w:spacing w:before="0" w:after="200" w:line="336" w:lineRule="auto"/>
        <w:ind w:firstLine="283"/>
        <w:jc w:val="both"/>
      </w:pPr>
      <w:r>
        <w:rPr>
          <w:rFonts w:ascii="B Lotus" w:hAnsi="B Lotus" w:cs="B Lotus" w:eastAsia="B Lotus"/>
          <w:b w:val="0"/>
          <w:i w:val="0"/>
          <w:sz w:val="28"/>
          <w:szCs w:val="28"/>
        </w:rPr>
        <w:t>اهداف فرعی هفت‌تاست که هرکدام به یکی از سؤالات فرعی گره خورده و هرکدام فصلی از رساله را تغذیه می‌کند: تحلیل مسئولیت بین‌المللی تصمیم مطابق طرح مواد کمیسیون حقوق بین‌الملل و راه‌های کاهشش؛ شناخت سازوکارهای تعلیق و خاتمه موجه در کنوانسیون وین و شرایط هرکدام؛ بررسی جامع و منصفانه ادله وجوب وفای به عهد ـ آیات، روایات، سیره و عقل ـ و تعیین دقیق قلمرو و استثناهایشان؛ تبیین نسبت حکم حکومتی و قاعده تزاحم با تعهدات بین‌المللی و استخراج ضوابط عملی؛ تحلیل دلالت اصول قانون اساسی ـ به‌ویژه اصول ۵، ۵۷، ۷۷، ۱۱۰، ۱۱۲ و ۱۲۵ ـ بر اختیار ولی فقیه؛ استقصای سیره پیامبر اکرم و امیرالمؤمنین در عهدنامه‌ها و استخراج الگوهای رفتاری‌شان؛ و تبیین آثار عملی و اجرایی تصمیم از مرحله مقدمات تا مرحله پسااجرا.</w:t>
      </w:r>
    </w:p>
    <w:p>
      <w:pPr>
        <w:pStyle w:val="TH-Goftar"/>
        <w:widowControl/>
        <w:bidi w:val="1"/>
        <w:spacing w:before="280" w:after="160" w:line="336" w:lineRule="auto"/>
        <w:jc w:val="right"/>
        <w:keepNext w:val="1"/>
        <w:shd w:val="clear" w:fill="EDEDED"/>
      </w:pPr>
      <w:bookmarkStart w:id="7" w:name="_Toc000007"/>
      <w:r>
        <w:rPr>
          <w:rFonts w:ascii="B Titr" w:hAnsi="B Titr" w:cs="B Titr" w:eastAsia="B Titr"/>
          <w:b/>
          <w:i w:val="0"/>
          <w:sz w:val="32"/>
          <w:szCs w:val="32"/>
          <w:rtl/>
        </w:rPr>
        <w:t>سؤالات تحقیق</w:t>
      </w:r>
      <w:bookmarkEnd w:id="7"/>
    </w:p>
    <w:p>
      <w:pPr>
        <w:pStyle w:val="TH-Body"/>
        <w:widowControl/>
        <w:bidi w:val="1"/>
        <w:spacing w:before="0" w:after="200" w:line="336" w:lineRule="auto"/>
        <w:jc w:val="both"/>
      </w:pPr>
      <w:r>
        <w:rPr>
          <w:rFonts w:ascii="B Lotus" w:hAnsi="B Lotus" w:cs="B Lotus" w:eastAsia="B Lotus"/>
          <w:b w:val="0"/>
          <w:i w:val="0"/>
          <w:sz w:val="28"/>
          <w:szCs w:val="28"/>
        </w:rPr>
        <w:t>سؤال اصلی: «عدول ولی فقیه از تعهدات بین‌المللی دولت اسلامی از منظر فقه امامیه و حقوق بین‌الملل چه مبانی، شرایط و آثاری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و سؤالات فرعی: مسئولیت بین‌المللی دولت اسلامی در فرض عدول ولی فقیه از تعهدات چیست و چگونه می‌شود آن را مدیریت کرد؛ سازوکارهای تعلیق و خاتمه موجه در نظام حقوق معاهدات کدام‌اند و نسبتشان با عدول حکومتی چیست؛ ادله وجوب وفای به عهد در فقه امامیه چه قلمرو و استثناهایی دارند؛ نسبت حکم حکومتی و تزاحم با تعهدات بین‌المللی دولت اسلامی چگونه است و عدول حکومتی چه ضوابطی دارد؛ دلالت اصول قانون اساسی جمهوری اسلامی ایران بر اختیار ولی فقیه در این حوزه چقدر و چگونه است؛ سیره پیامبر اکرم و امیرالمؤمنین در عهدنامه‌ها چه الگوهایی برای تصمیم حکومتی امروز ارائه می‌دهد؛ و آثار عملی و اجرایی عدول از تعهدات بین‌المللی در سطوح داخلی و بین‌المللی چیست.</w:t>
      </w:r>
    </w:p>
    <w:p>
      <w:pPr>
        <w:pStyle w:val="TH-Goftar"/>
        <w:widowControl/>
        <w:bidi w:val="1"/>
        <w:spacing w:before="280" w:after="160" w:line="336" w:lineRule="auto"/>
        <w:jc w:val="right"/>
        <w:keepNext w:val="1"/>
        <w:shd w:val="clear" w:fill="EDEDED"/>
      </w:pPr>
      <w:bookmarkStart w:id="8" w:name="_Toc000008"/>
      <w:r>
        <w:rPr>
          <w:rFonts w:ascii="B Titr" w:hAnsi="B Titr" w:cs="B Titr" w:eastAsia="B Titr"/>
          <w:b/>
          <w:i w:val="0"/>
          <w:sz w:val="32"/>
          <w:szCs w:val="32"/>
          <w:rtl/>
        </w:rPr>
        <w:t>فرضیه تحقیق</w:t>
      </w:r>
      <w:bookmarkEnd w:id="8"/>
    </w:p>
    <w:p>
      <w:pPr>
        <w:pStyle w:val="TH-Body"/>
        <w:widowControl/>
        <w:bidi w:val="1"/>
        <w:spacing w:before="0" w:after="200" w:line="336" w:lineRule="auto"/>
        <w:jc w:val="both"/>
      </w:pPr>
      <w:r>
        <w:rPr>
          <w:rFonts w:ascii="B Lotus" w:hAnsi="B Lotus" w:cs="B Lotus" w:eastAsia="B Lotus"/>
          <w:b w:val="0"/>
          <w:i w:val="0"/>
          <w:sz w:val="28"/>
          <w:szCs w:val="28"/>
        </w:rPr>
        <w:t>فرضیه اصلی این پژوهش این است: «عدول ولی فقیه از تعهدات بین‌المللی در چارچوب قاعده تزاحم و حکم حکومتی و با رعایت ضوابط استخراج‌شده از ادله فقهی، شرعاً جایز و بلکه گاه واجب است؛ مشروط بر این‌که مصلحت اهمی در کار باشد، از مجرای قانونی و نهادی بگذرد، و آثار بین‌المللی‌اش ـ از جمله مسئولیت دولت ـ در محاسبه مصلحت لحاظ شده باشد.» هر قیدی از این قیود بار استدلالی دارد و در فصول آینده یک‌به‌یک اثبات می‌شود؛ و اگر خواننده‌ای با فرضیه مخالف است، باید بگوید با کدام قید مخالف است، چون ردِ بی‌قیدوشرطِ کل فرضیه، بدون نقد قیودش، نقد علمی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فرضیه‌های فرعی هم این‌هایند: تصمیم ولی فقیه به دولت منتسب می‌شود و در صورت نقضِ بدون مجوز، مسئولیت بین‌المللی می‌آورد؛ ولی این مسئولیت مانع جواز شرعی نیست، بلکه بخشی از هزینه‌ای است که باید در ترازوی مصلحت سنجیده شود ـ نه بیش، نه کم. سازوکارهای وین ـ تعلیق، خاتمه، تغییر بنیادین اوضاع ـ راه‌های حقوقیِ کم‌هزینه‌تری‌اند که تا وقتی بازند باید مقدم بر عدول یک‌جانبه باشند؛ عدول یک‌جانبه آخرین راه است، نه اولین راه. اطلاقات ادله وفا منصرف به عقود متعارف و شرایط عادی‌اند و شامل تزاحم مصلحتی نمی‌شوند؛ و این انصراف را با شواهد متنی و سیاقی اثبات می‌کنم، نه با ادعا. و در حقوق اساسی، اختیار ولی فقیه در این حوزه از نوع «اختیار ضمنی و ولایی» است نه صریح؛ یعنی از بندهای عام اصل ۱۱۰ و اصل ۵۷ استنباط می‌شود، نه این‌که در متن قانون اساسی ذکر شده باشد ـ و هر ادعای خلافی خلاف واقعیت متنی است.</w:t>
      </w:r>
    </w:p>
    <w:p>
      <w:pPr>
        <w:pStyle w:val="TH-Goftar"/>
        <w:widowControl/>
        <w:bidi w:val="1"/>
        <w:spacing w:before="280" w:after="160" w:line="336" w:lineRule="auto"/>
        <w:jc w:val="right"/>
        <w:keepNext w:val="1"/>
        <w:shd w:val="clear" w:fill="EDEDED"/>
      </w:pPr>
      <w:bookmarkStart w:id="9" w:name="_Toc000009"/>
      <w:r>
        <w:rPr>
          <w:rFonts w:ascii="B Titr" w:hAnsi="B Titr" w:cs="B Titr" w:eastAsia="B Titr"/>
          <w:b/>
          <w:i w:val="0"/>
          <w:sz w:val="32"/>
          <w:szCs w:val="32"/>
          <w:rtl/>
        </w:rPr>
        <w:t>پیشینه تحقیق</w:t>
      </w:r>
      <w:bookmarkEnd w:id="9"/>
    </w:p>
    <w:p>
      <w:pPr>
        <w:pStyle w:val="TH-Body"/>
        <w:widowControl/>
        <w:bidi w:val="1"/>
        <w:spacing w:before="0" w:after="200" w:line="336" w:lineRule="auto"/>
        <w:jc w:val="both"/>
      </w:pPr>
      <w:r>
        <w:rPr>
          <w:rFonts w:ascii="B Lotus" w:hAnsi="B Lotus" w:cs="B Lotus" w:eastAsia="B Lotus"/>
          <w:b w:val="0"/>
          <w:i w:val="0"/>
          <w:sz w:val="28"/>
          <w:szCs w:val="28"/>
        </w:rPr>
        <w:t>این موضوع ـ با این صورت‌بندی سه‌سطحی ـ تا آن‌جا که بررسی من رسیده، سابقه مستقلی ندارد. یعنی رساله یا مقاله‌ای که «عدول ولی فقیه از تعهدات بین‌المللی» را هم‌زمان از سه زاویه فقه و قانون اساسی و حقوق بین‌الملل بررسی کرده باشد، نیافتم؛ و هرچه گشتم، یا کارهای تک‌بعدی یافتم یا حرف‌های پراکنده. ولی این به معنای بی‌سابقه بودن مطلق نیست؛ هرکدام از اضلاع سه‌گانه‌اش پیشینه غنی و قابل‌استفاده‌ای دارند که بذرهای این پژوهش در آن‌ها پراکنده است و من کوشیده‌ام همه را ببینم و در جای خودش به کار ببرم. انصاف علمی اقتضا می‌کند بگویم روی شانه چه کسانی ایستاده‌ام.</w:t>
      </w:r>
    </w:p>
    <w:p>
      <w:pPr>
        <w:pStyle w:val="TH-Body"/>
        <w:widowControl/>
        <w:bidi w:val="1"/>
        <w:spacing w:before="0" w:after="200" w:line="336" w:lineRule="auto"/>
        <w:ind w:firstLine="283"/>
        <w:jc w:val="both"/>
      </w:pPr>
      <w:r>
        <w:rPr>
          <w:rFonts w:ascii="B Lotus" w:hAnsi="B Lotus" w:cs="B Lotus" w:eastAsia="B Lotus"/>
          <w:b w:val="0"/>
          <w:i w:val="0"/>
          <w:sz w:val="28"/>
          <w:szCs w:val="28"/>
        </w:rPr>
        <w:t>در ضلع فقهی، سه دسته منبع هست. دسته اول کتب قواعد فقهیه و ابواب عقود: سید محمدحسن بجنوردی در القواعد الفقهیه (قاعده لزوم) و میرزای نائینی در منیة الطالب و شیخ انصاری در المکاسب و الخیارات، قواعد عمومی لزوم و خیارات را پی‌ریخته‌اند؛ هرچند هیچ‌کدام مستقیم به معاهدات بین‌المللی امروزی نپرداخته‌اند و سخن گفتن از انتساب مستقیم نظر به آن‌ها در این مسئله، بدون تسامح نیست ـ و من این تسامح را روا نمی‌دارم. دسته دوم کتب جهاد و سیر و فقه سیاسی: جواهر الکلام در کتاب الجهاد (احکام هدنه و امان)، تحریر الوسیله امام خمینی، و آثاری مثل فقه سیاسی جوادی آملی و ولایت فقیه امام و شئون و اختیارات ولایت فقیه منتظری، احکام عهدنامه‌ها و گستره ولایت را بحث کرده‌اند و من وامدار همه‌شان هستم. و دسته سوم مقالات و رساله‌های معاصر فقه بین‌الملل اسلام که پراکنده‌اند و در متن رساله به آن‌ها ارجاع داده‌ام.</w:t>
      </w:r>
    </w:p>
    <w:p>
      <w:pPr>
        <w:pStyle w:val="TH-Body"/>
        <w:widowControl/>
        <w:bidi w:val="1"/>
        <w:spacing w:before="0" w:after="200" w:line="336" w:lineRule="auto"/>
        <w:ind w:firstLine="283"/>
        <w:jc w:val="both"/>
      </w:pPr>
      <w:r>
        <w:rPr>
          <w:rFonts w:ascii="B Lotus" w:hAnsi="B Lotus" w:cs="B Lotus" w:eastAsia="B Lotus"/>
          <w:b w:val="0"/>
          <w:i w:val="0"/>
          <w:sz w:val="28"/>
          <w:szCs w:val="28"/>
        </w:rPr>
        <w:t>در ضلع حقوق اساسی، تفاسیر قانون اساسی ـ به‌ویژه آثار قاضی شریعت‌پناهی و سیدمحمد هاشمی در حقوق اساسی جمهوری اسلامی ایران ـ و تحلیل‌های منتشره در پایگاه حوزه درباره اصل ۵۷ (ولایت مطلقه) و تفسیر شورای نگهبان از اصل ۱۱۲، و قوانین مصوب درباره معاهدات (آیین‌نامه داخلی مجلس و مقررات اجرایی مرتبط) منابع اصلی‌اند.</w:t>
      </w:r>
    </w:p>
    <w:p>
      <w:pPr>
        <w:pStyle w:val="TH-Body"/>
        <w:widowControl/>
        <w:bidi w:val="1"/>
        <w:spacing w:before="0" w:after="200" w:line="336" w:lineRule="auto"/>
        <w:ind w:firstLine="283"/>
        <w:jc w:val="both"/>
      </w:pPr>
      <w:r>
        <w:rPr>
          <w:rFonts w:ascii="B Lotus" w:hAnsi="B Lotus" w:cs="B Lotus" w:eastAsia="B Lotus"/>
          <w:b w:val="0"/>
          <w:i w:val="0"/>
          <w:sz w:val="28"/>
          <w:szCs w:val="28"/>
        </w:rPr>
        <w:t>و در ضلع حقوق بین‌الملل، کنوانسیون وین حقوق معاهدات (۱۹۶۹) و طرح مواد مسئولیت بین‌المللی دولت‌ها (۲۰۰۱) و رویه دیوان بین‌المللی دادگستری ـ به‌ویژه قضایای گابچیکوو و گروگان‌ها و نیکاراگوئه ـ شالوده تحلیل‌اند؛ و در ادبیات فارسی هم آثاری چون حقوق معاهدات بین‌المللی ضیایی بیگدلی و حقوق بین‌الملل عمومی صفری (در صورت تطابق با چاپ‌های موجود، وگرنه نیازمند بررسی منبع اصلی) راهگشا بوده‌اند.</w:t>
      </w:r>
    </w:p>
    <w:p>
      <w:pPr>
        <w:pStyle w:val="TH-Body"/>
        <w:widowControl/>
        <w:bidi w:val="1"/>
        <w:spacing w:before="0" w:after="200" w:line="336" w:lineRule="auto"/>
        <w:ind w:firstLine="283"/>
        <w:jc w:val="both"/>
      </w:pPr>
      <w:r>
        <w:rPr>
          <w:rFonts w:ascii="B Lotus" w:hAnsi="B Lotus" w:cs="B Lotus" w:eastAsia="B Lotus"/>
          <w:b w:val="0"/>
          <w:i w:val="0"/>
          <w:sz w:val="28"/>
          <w:szCs w:val="28"/>
        </w:rPr>
        <w:t>در کنار این سه ضلع، دو دسته منبعِ تکمیلی هم هست که نباید ناگفته بماند. دسته اول، ادبیات عربِ معاصر در «فقه روابط بین‌الملل» است: آثاری چون السیر و فقه الحرب و السلام در اسلام و نوشته‌های وهبه زحیلی و دیگران درباره احکام جهاد و عهدنامه‌ها که ـ هرچند عمدتاً از منظر اهل سنت ـ حاوی تحلیل‌های مفیدی از نصوص مشترک (آیات و سیره) است و من در مواردی از آن‌ها بهره گرفته‌ام.</w:t>
      </w:r>
      <w:r>
        <w:rPr>
          <w:rFonts w:ascii="B Lotus" w:hAnsi="B Lotus" w:cs="B Lotus" w:eastAsia="B Lotus"/>
          <w:b w:val="0"/>
          <w:i w:val="0"/>
          <w:sz w:val="28"/>
          <w:szCs w:val="28"/>
          <w:vertAlign w:val="superscript"/>
        </w:rPr>
        <w:footnoteReference w:id="3"/>
      </w:r>
      <w:r>
        <w:rPr>
          <w:rFonts w:ascii="B Lotus" w:hAnsi="B Lotus" w:cs="B Lotus" w:eastAsia="B Lotus"/>
          <w:b w:val="0"/>
          <w:i w:val="0"/>
          <w:sz w:val="28"/>
          <w:szCs w:val="28"/>
        </w:rPr>
        <w:t xml:space="preserve"> دسته دوم، ادبیات غربیِ حقوق بین‌الملل است: کتب مرجعِ حقوق معاهدات و مسئولیت (مثل آثار شاو و کرافورد و شروح کنوانسیون وین) که فهم دقیقِ نهادهای وین و طرح مسئولیت بدون مراجعه به آن‌ها ممکن نیست.</w:t>
      </w:r>
      <w:r>
        <w:rPr>
          <w:rFonts w:ascii="B Lotus" w:hAnsi="B Lotus" w:cs="B Lotus" w:eastAsia="B Lotus"/>
          <w:b w:val="0"/>
          <w:i w:val="0"/>
          <w:sz w:val="28"/>
          <w:szCs w:val="28"/>
          <w:vertAlign w:val="superscript"/>
        </w:rPr>
        <w:footnoteReference w:id="4"/>
      </w:r>
      <w:r>
        <w:rPr>
          <w:rFonts w:ascii="B Lotus" w:hAnsi="B Lotus" w:cs="B Lotus" w:eastAsia="B Lotus"/>
          <w:b w:val="0"/>
          <w:i w:val="0"/>
          <w:sz w:val="28"/>
          <w:szCs w:val="28"/>
        </w:rPr>
        <w:t xml:space="preserve"> البته ـ چنان‌که روش من در این رساله است ـ از این منابعِ غربی فقط در حد «فهمِ» حقوق بین‌الملل بهره گرفته‌ام، نه در مقام «داوریِ» فقهی؛ چون داورِ مسئله فقهی، فقه امامیه است، نه حقوق غربی. این تمایزِ مقامی ـ فهم در برابر داوری ـ از اصولِ روشیِ این پژوهش است و در سراسر رساله رعایت شده.</w:t>
      </w:r>
    </w:p>
    <w:p>
      <w:pPr>
        <w:pStyle w:val="TH-Body"/>
        <w:widowControl/>
        <w:bidi w:val="1"/>
        <w:spacing w:before="0" w:after="200" w:line="336" w:lineRule="auto"/>
        <w:ind w:firstLine="283"/>
        <w:jc w:val="both"/>
      </w:pPr>
      <w:r>
        <w:rPr>
          <w:rFonts w:ascii="B Lotus" w:hAnsi="B Lotus" w:cs="B Lotus" w:eastAsia="B Lotus"/>
          <w:b w:val="0"/>
          <w:i w:val="0"/>
          <w:sz w:val="28"/>
          <w:szCs w:val="28"/>
        </w:rPr>
        <w:t>نوآوری این رساله نسبت به همه این پیشینه‌ها در سه چیز است که هر سه را با ادعا نمی‌گویم بلکه متن رساله گواهشان است: یکم، صورت‌بندی سه‌سطحی مسئله ـ فقهی، اساسی، بین‌المللی ـ و تحلیل تفکیک‌شده هر سه با هم که تا کنون به این صورت انجام نشده؛ دوم، استخراج ضوابط هشت‌گانه عملی برای عدول حکومتی که تا کنون به این صورت مدون نشده و می‌تواند دستورالعمل تصمیم‌گیر باشد؛ و سوم، نقد مستند ادعای وجود اختیار صریح رهبری درباره معاهدات در اصل ۱۱۰ و ارائه تفکیک چهارگانه مراتب اختیار ـ صریح، ضمنی، ولایی، حکومتی ـ که راه میانه‌ای میان دو افراط رایج است.</w:t>
      </w:r>
    </w:p>
    <w:p>
      <w:pPr>
        <w:pStyle w:val="TH-Goftar"/>
        <w:widowControl/>
        <w:bidi w:val="1"/>
        <w:spacing w:before="280" w:after="160" w:line="336" w:lineRule="auto"/>
        <w:jc w:val="right"/>
        <w:keepNext w:val="1"/>
        <w:shd w:val="clear" w:fill="EDEDED"/>
      </w:pPr>
      <w:bookmarkStart w:id="10" w:name="_Toc000010"/>
      <w:r>
        <w:rPr>
          <w:rFonts w:ascii="B Titr" w:hAnsi="B Titr" w:cs="B Titr" w:eastAsia="B Titr"/>
          <w:b/>
          <w:i w:val="0"/>
          <w:sz w:val="32"/>
          <w:szCs w:val="32"/>
          <w:rtl/>
        </w:rPr>
        <w:t>روش تحقیق</w:t>
      </w:r>
      <w:bookmarkEnd w:id="10"/>
    </w:p>
    <w:p>
      <w:pPr>
        <w:pStyle w:val="TH-Body"/>
        <w:widowControl/>
        <w:bidi w:val="1"/>
        <w:spacing w:before="0" w:after="200" w:line="336" w:lineRule="auto"/>
        <w:jc w:val="both"/>
      </w:pPr>
      <w:r>
        <w:rPr>
          <w:rFonts w:ascii="B Lotus" w:hAnsi="B Lotus" w:cs="B Lotus" w:eastAsia="B Lotus"/>
          <w:b w:val="0"/>
          <w:i w:val="0"/>
          <w:sz w:val="28"/>
          <w:szCs w:val="28"/>
        </w:rPr>
        <w:t>روش این پژوهش کتابخانه‌ای، تحلیلی و استنباطی است و ابزار گردآوری‌اش فیش‌برداری از منابع دست‌اول عربی و فارسی. در مقام داوری میان آرا هم روشم همان است که برای سطح سه حوزه گفته‌اند: «نقل خوب اقوال» و «نقل خوب ادله» و سپس نقد منصفانه و داوری مستدل. یعنی اول رأی هر طرف را چنان‌که خودش گفته می‌آورم ـ نه چنان‌که منتقدانش تحریف کرده‌اند ـ، بعد دلیلش را با قوتش نقل می‌کنم، بعد نقدش می‌کنم، و آخر داوری می‌کنم. سعی کرده‌ام در سراسر رساله به این روش وفادار بمانم؛ و اگر جایی ناموفق بوده‌ام، خواننده بصیر خودش داوری خواهد کرد.</w:t>
      </w:r>
    </w:p>
    <w:p>
      <w:pPr>
        <w:pStyle w:val="TH-Body"/>
        <w:widowControl/>
        <w:bidi w:val="1"/>
        <w:spacing w:before="0" w:after="200" w:line="336" w:lineRule="auto"/>
        <w:ind w:firstLine="283"/>
        <w:jc w:val="both"/>
      </w:pPr>
      <w:r>
        <w:rPr>
          <w:rFonts w:ascii="B Lotus" w:hAnsi="B Lotus" w:cs="B Lotus" w:eastAsia="B Lotus"/>
          <w:b w:val="0"/>
          <w:i w:val="0"/>
          <w:sz w:val="28"/>
          <w:szCs w:val="28"/>
        </w:rPr>
        <w:t>در فقه، روشم اجتهادی مصطلح است: استقصای ادله (کتاب، سنت، عقل، بنا)، بررسی سندی و دلالی هر دلیل، دفع اشکالات، و جمع‌بندی. در حقوق بین‌الملل، روشم تفسیری ـ تحلیلی است: فهم متن کنوانسیون‌ها و طرح مواد و رویه دیوان و تطبیقشان بر مسئله. و در حقوق اساسی، روشم تفسیری است: فهم متن اصول و منطق نظام قانون اساسی و داوری میان دیدگاه‌های مفسران. در هر سه عرصه، اصل راهنمایم «امانت» بوده: چیزی را که ندیده‌ام نسبت نمی‌دهم، و هرجا تردید داشته‌ام صادقانه قید «نیازمند بررسی منبع اصلی» زده‌ام.</w:t>
      </w:r>
    </w:p>
    <w:p>
      <w:pPr>
        <w:pStyle w:val="TH-Body"/>
        <w:widowControl/>
        <w:bidi w:val="1"/>
        <w:spacing w:before="0" w:after="200" w:line="336" w:lineRule="auto"/>
        <w:ind w:firstLine="283"/>
        <w:jc w:val="both"/>
      </w:pPr>
      <w:r>
        <w:rPr>
          <w:rFonts w:ascii="B Lotus" w:hAnsi="B Lotus" w:cs="B Lotus" w:eastAsia="B Lotus"/>
          <w:b w:val="0"/>
          <w:i w:val="0"/>
          <w:sz w:val="28"/>
          <w:szCs w:val="28"/>
        </w:rPr>
        <w:t>و نکته‌ای درباره «شیوه استدلال» که گفتنش را لازم می‌دانم: روش من در این رساله، «استدلال قدم‌به‌قدم با دفع اشکال» است؛ یعنی هر ادعایی را که مطرح می‌کنم، اول دلیلش را می‌آورم، بعد اشکالِ مقدّرش را طرح می‌کنم، بعد جواب می‌دهم، و آخر نتیجه می‌گیرم. این شیوه ـ که همان شیوه مرسومِ درس خارج حوزه است ـ دو فایده دارد: هم خواننده را با خودش همراه می‌کند (چون اشکال‌هایی که به ذهن او می‌رسد، در متن پاسخ داده شده)، هم جلوِ مغالطه را می‌گیرد (چون مدعی نمی‌تواند از اشکال‌ها فرار کند). خواننده‌ای که این رساله را می‌خواند، اگر جایی اشکالی به ذهنش رسید که در متن پاسخ نگرفته، حق دارد آن را به حسابِ نقصِ کار من بگذارد ـ و من پیشاپیش از تذکرش سپاسگزارم.</w:t>
      </w:r>
    </w:p>
    <w:p>
      <w:pPr>
        <w:pStyle w:val="TH-Goftar"/>
        <w:widowControl/>
        <w:bidi w:val="1"/>
        <w:spacing w:before="280" w:after="160" w:line="336" w:lineRule="auto"/>
        <w:jc w:val="right"/>
        <w:keepNext w:val="1"/>
        <w:shd w:val="clear" w:fill="EDEDED"/>
      </w:pPr>
      <w:bookmarkStart w:id="11" w:name="_Toc000011"/>
      <w:r>
        <w:rPr>
          <w:rFonts w:ascii="B Titr" w:hAnsi="B Titr" w:cs="B Titr" w:eastAsia="B Titr"/>
          <w:b/>
          <w:i w:val="0"/>
          <w:sz w:val="32"/>
          <w:szCs w:val="32"/>
          <w:rtl/>
        </w:rPr>
        <w:t>ساماندهی تحقیق</w:t>
      </w:r>
      <w:bookmarkEnd w:id="11"/>
    </w:p>
    <w:p>
      <w:pPr>
        <w:pStyle w:val="TH-Body"/>
        <w:widowControl/>
        <w:bidi w:val="1"/>
        <w:spacing w:before="0" w:after="200" w:line="336" w:lineRule="auto"/>
        <w:jc w:val="both"/>
      </w:pPr>
      <w:r>
        <w:rPr>
          <w:rFonts w:ascii="B Lotus" w:hAnsi="B Lotus" w:cs="B Lotus" w:eastAsia="B Lotus"/>
          <w:b w:val="0"/>
          <w:i w:val="0"/>
          <w:sz w:val="28"/>
          <w:szCs w:val="28"/>
        </w:rPr>
        <w:t>این رساله در سه بخش و پنج فصل سامان یافته که منطقش از کلی به جزئی و از مبنا به حکم و از نظر به عمل است؛ و اگر خواننده‌ای فصل‌ها را به همین ترتیب بخواند، سیر بحث برایش طبیعی و روان خواهد بود:</w:t>
      </w:r>
    </w:p>
    <w:p>
      <w:pPr>
        <w:pStyle w:val="TH-Body"/>
        <w:widowControl/>
        <w:bidi w:val="1"/>
        <w:spacing w:before="0" w:after="200" w:line="336" w:lineRule="auto"/>
        <w:ind w:firstLine="283"/>
        <w:jc w:val="both"/>
      </w:pPr>
      <w:r>
        <w:rPr>
          <w:rFonts w:ascii="B Lotus" w:hAnsi="B Lotus" w:cs="B Lotus" w:eastAsia="B Lotus"/>
          <w:b w:val="0"/>
          <w:i w:val="0"/>
          <w:sz w:val="28"/>
          <w:szCs w:val="28"/>
        </w:rPr>
        <w:t>بخش اول ـ مبانی و کلیات ـ دو فصل دارد: فصل اول مفاهیم و تعاریف (معاهده، ولی فقیه، عدول، مصلحت و مفاهیم خویشاوند) و چارچوب نظری؛ و فصل دوم کلیات حقوق معاهدات (تاریخچه، اصول مسلم، شرایط اعتبار و سازوکارهای تعلیق و خاتمه) و اصول قانون اساسی مرتبط. این بخش، زمین بازی را مشخص می‌کند؛ بی‌آن، بحث‌های بعدی بر هوا می‌ماند.</w:t>
      </w:r>
    </w:p>
    <w:p>
      <w:pPr>
        <w:pStyle w:val="TH-Body"/>
        <w:widowControl/>
        <w:bidi w:val="1"/>
        <w:spacing w:before="0" w:after="200" w:line="336" w:lineRule="auto"/>
        <w:ind w:firstLine="283"/>
        <w:jc w:val="both"/>
      </w:pPr>
      <w:r>
        <w:rPr>
          <w:rFonts w:ascii="B Lotus" w:hAnsi="B Lotus" w:cs="B Lotus" w:eastAsia="B Lotus"/>
          <w:b w:val="0"/>
          <w:i w:val="0"/>
          <w:sz w:val="28"/>
          <w:szCs w:val="28"/>
        </w:rPr>
        <w:t>بخش دوم ـ تحلیل فقهی ـ هم دو فصل دارد که قلب تپنده رساله‌اند: فصل سوم ادله وجوب وفای به عهد (پنج آیه عام، آیات خاص جهاد، روایات، سیره و عقل) با نقد و داوری؛ و فصل چهارم مبانی جواز عدول (تزاحم، حکم حکومتی، مصلحت، نفی ضرر و حرج) و ضوابط هشت‌گانه و طیف پنج‌صورتِ عدول. هرکس فقط این دو فصل را بخواند، جوهر استدلال رساله را دریافته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بخش سوم ـ تحلیل حقوقی ـ یک فصل دارد: فصل پنجم که در پنج گفتار، مسئولیت بین‌المللی و انتساب و تفکیک سه‌گانه و اسباب رافع و راهبردها و حقوق اساسی تصمیم را تحلیل می‌کند. پایان‌بخش رساله هم نتیجه‌گیری (پنج دستاورد) و فهرست منابع و پیوست‌هاست.</w:t>
      </w:r>
    </w:p>
    <w:p>
      <w:pPr>
        <w:pStyle w:val="TH-Goftar"/>
        <w:widowControl/>
        <w:bidi w:val="1"/>
        <w:spacing w:before="280" w:after="160" w:line="336" w:lineRule="auto"/>
        <w:jc w:val="right"/>
        <w:keepNext w:val="1"/>
        <w:shd w:val="clear" w:fill="EDEDED"/>
      </w:pPr>
      <w:bookmarkStart w:id="12" w:name="_Toc000012"/>
      <w:r>
        <w:rPr>
          <w:rFonts w:ascii="B Titr" w:hAnsi="B Titr" w:cs="B Titr" w:eastAsia="B Titr"/>
          <w:b/>
          <w:i w:val="0"/>
          <w:sz w:val="32"/>
          <w:szCs w:val="32"/>
          <w:rtl/>
        </w:rPr>
        <w:t>قلمرو، محدودیت‌ها و اصطلاحات</w:t>
      </w:r>
      <w:bookmarkEnd w:id="12"/>
    </w:p>
    <w:p>
      <w:pPr>
        <w:pStyle w:val="TH-Body"/>
        <w:widowControl/>
        <w:bidi w:val="1"/>
        <w:spacing w:before="0" w:after="200" w:line="336" w:lineRule="auto"/>
        <w:jc w:val="both"/>
      </w:pPr>
      <w:r>
        <w:rPr>
          <w:rFonts w:ascii="B Lotus" w:hAnsi="B Lotus" w:cs="B Lotus" w:eastAsia="B Lotus"/>
          <w:b w:val="0"/>
          <w:i w:val="0"/>
          <w:sz w:val="28"/>
          <w:szCs w:val="28"/>
        </w:rPr>
        <w:t>قلمرو زمانی‌ام از صدر اسلام (برای سیره) تا حقوق بین‌الملل معاصر (تا ۲۰۲۵) است؛ قلمرو مکانی‌ام نظام جمهوری اسلامی ایران؛ و قلمرو موضوعی‌ام منحصر در «عدول ولی فقیه از تعهدات بین‌المللی» با همان تعریف مضیقی که در فصل اول می‌آید. از این قلمرو بیرون نمی‌روم؛ یعنی نه به معاهدات اشخاص خصوصی می‌پردازم، نه به تصمیم‌های دولت‌های دیگر، نه به احکام جهاد ابتدایی و تفاصیلش، و نه به تحلیل سیاسی روز ـ مگر به‌قدر ضرورت برای مثال تحلیلی. این تحدید، هم از سر واقع‌بینی است (یک رساله سطح سه نمی‌تواند همه‌چیز را بگوید) و هم از سر امانت (بهتر است کم بگویم و درست بگویم، تا زیاد بگویم و سست بگویم).</w:t>
      </w:r>
    </w:p>
    <w:p>
      <w:pPr>
        <w:pStyle w:val="TH-Body"/>
        <w:widowControl/>
        <w:bidi w:val="1"/>
        <w:spacing w:before="0" w:after="200" w:line="336" w:lineRule="auto"/>
        <w:ind w:firstLine="283"/>
        <w:jc w:val="both"/>
      </w:pPr>
      <w:r>
        <w:rPr>
          <w:rFonts w:ascii="B Lotus" w:hAnsi="B Lotus" w:cs="B Lotus" w:eastAsia="B Lotus"/>
          <w:b w:val="0"/>
          <w:i w:val="0"/>
          <w:sz w:val="28"/>
          <w:szCs w:val="28"/>
        </w:rPr>
        <w:t>محدودیت‌هایم را هم صادقانه می‌گویم، چون پنهان کردنشان نه به نفع من است نه به نفع خواننده: یکم، دسترسی نداشتن به اسناد محرمانه مذاکرات و تصمیم‌های حکومتیِ معاصر که تحلیل تجربی را محدود می‌کند و مرا به تحلیل نظری و مثال‌های علنی بسنده کرده؛ دوم، پراکندگی و کم‌کاری ادبیات فقهی در باب معاهدات امروزی که ناگزیرم کرده بعضی جاها از قواعد عام به خاص برسم ـ راهی دشوار و پرخطر که با احتیاط پیموده‌ام؛ و سوم، اختلاف تفاسیر حقوق‌دانان در مفاهیم کلیدی وین و طرح مسئولیت که داوری قطعی را در بعضی فرع‌ها ناممکن کرده و به ترجیح ظنی بسنده کرده‌ام.</w:t>
      </w:r>
    </w:p>
    <w:p>
      <w:pPr>
        <w:pStyle w:val="TH-Body"/>
        <w:widowControl/>
        <w:bidi w:val="1"/>
        <w:spacing w:before="0" w:after="200" w:line="336" w:lineRule="auto"/>
        <w:ind w:firstLine="283"/>
        <w:jc w:val="both"/>
      </w:pPr>
      <w:r>
        <w:rPr>
          <w:rFonts w:ascii="B Lotus" w:hAnsi="B Lotus" w:cs="B Lotus" w:eastAsia="B Lotus"/>
          <w:b w:val="0"/>
          <w:i w:val="0"/>
          <w:sz w:val="28"/>
          <w:szCs w:val="28"/>
        </w:rPr>
        <w:t>درباره اصطلاحات هم این‌جا فقط به‌اجمال می‌گویم و تفصیلش را به فصل اول می‌سپارم: هرجا «ولی فقیه» گفتم منظورم مقام رهبری در نظام جمهوری اسلامی ایران است ـ نه هر فقیه جامع‌الشرایطی؛ هرجا «تعهد بین‌المللی» گفتم منظورم تعهد ناشی از معاهده به معنای کنوانسیون وین است ـ نه هر تعهد اخلاقی یا سیاسی؛ هرجا «عدول» گفتم منظورم تصمیم یک‌جانبه و فوق‌العاده حاکم بر توقف یا تعلیق اجراست ـ نه خاتمه توافقی و عادی؛ و هرجا «مصلحت» گفتم منظورم مصلحت نوعی نظام و امت است ـ نه سلیقه شخصی تصمیم‌گیر. هرکدام از این قیدها بار معنایی و استدلالی دارد که در فصل اول یک‌به‌یک باز می‌شود؛ و خواننده‌ای که این قیدها را نادیده بگیرد، در فصول بعدی گم خواهد شد.</w:t>
      </w:r>
    </w:p>
    <w:p>
      <w:r>
        <w:br w:type="page"/>
      </w:r>
    </w:p>
    <w:p/>
    <w:p/>
    <w:p/>
    <w:p>
      <w:pPr>
        <w:widowControl/>
        <w:bidi w:val="1"/>
        <w:spacing w:before="0" w:after="240" w:line="336" w:lineRule="auto"/>
        <w:ind w:right="2268" w:left="2268"/>
        <w:jc w:val="right"/>
        <w:pBdr>
          <w:bottom w:val="single" w:sz="12" w:space="6" w:color="1F3864"/>
        </w:pBdr>
      </w:pPr>
    </w:p>
    <w:p>
      <w:pPr>
        <w:pStyle w:val="TH-Bakhsh"/>
        <w:widowControl/>
        <w:bidi w:val="1"/>
        <w:spacing w:before="0" w:after="240" w:line="336" w:lineRule="auto"/>
        <w:jc w:val="right"/>
      </w:pPr>
      <w:bookmarkStart w:id="13" w:name="_Toc000013"/>
      <w:r>
        <w:rPr>
          <w:rFonts w:ascii="B Titr" w:hAnsi="B Titr" w:cs="B Titr" w:eastAsia="B Titr"/>
          <w:b/>
          <w:i w:val="0"/>
          <w:sz w:val="64"/>
          <w:szCs w:val="64"/>
          <w:rtl/>
        </w:rPr>
        <w:t>بخش اول: مبانی و کلیات</w:t>
      </w:r>
      <w:bookmarkEnd w:id="13"/>
    </w:p>
    <w:p>
      <w:pPr>
        <w:widowControl/>
        <w:bidi w:val="1"/>
        <w:spacing w:before="0" w:after="200" w:line="336" w:lineRule="auto"/>
        <w:ind w:right="2268" w:left="2268"/>
        <w:jc w:val="right"/>
        <w:pBdr>
          <w:bottom w:val="single" w:sz="12" w:space="6" w:color="1F3864"/>
        </w:pBdr>
      </w:pPr>
    </w:p>
    <w:p>
      <w:r>
        <w:br w:type="page"/>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14" w:name="_Toc000014"/>
      <w:r>
        <w:rPr>
          <w:rFonts w:ascii="B Titr" w:hAnsi="B Titr" w:cs="B Titr" w:eastAsia="B Titr"/>
          <w:b/>
          <w:i w:val="0"/>
          <w:sz w:val="44"/>
          <w:szCs w:val="44"/>
          <w:rtl/>
        </w:rPr>
        <w:t>فصل اول: مفهوم‌شناسی و چارچوب نظری</w:t>
      </w:r>
      <w:bookmarkEnd w:id="14"/>
    </w:p>
    <w:p>
      <w:pPr>
        <w:pStyle w:val="TH-Body"/>
        <w:widowControl/>
        <w:bidi w:val="1"/>
        <w:spacing w:before="0" w:after="200" w:line="336" w:lineRule="auto"/>
        <w:jc w:val="both"/>
      </w:pPr>
      <w:r>
        <w:rPr>
          <w:rFonts w:ascii="B Lotus" w:hAnsi="B Lotus" w:cs="B Lotus" w:eastAsia="B Lotus"/>
          <w:b w:val="0"/>
          <w:i w:val="0"/>
          <w:sz w:val="28"/>
          <w:szCs w:val="28"/>
        </w:rPr>
        <w:t>قدما گفته‌اند «اول العلم تصور الموضوع»؛ اولِ دانش، تصور درست موضوع است. و راست گفته‌اند؛ چون نیمی از مناقشه‌های علمی ـ اگر نگویم بیشترشان ـ ریشه در همین نقطه دارد: دو نفر درباره چیزی بحث می‌کنند که هرکدام چیز دیگری از آن فهمیده‌اند. موضوع این رساله هم از این قاعده مستثنا نیست؛ بلکه چون سه رشته مختلف را به هم پیوند می‌زند، خطر خلط مفاهیم در آن سه‌برابر است. «معاهده» در زبان حقوق‌دان بین‌الملل یک چیز است و در زبان فقیه چیز دیگری؛ «مصلحت» در فقه یک معناست و در سیاست معنای دیگری؛ و «عدول» اصلاً واژه‌ای است که باید از نو تعریفش کرد. پس این فصل را به مفهوم‌شناسی اختصاص می‌دهم؛ فصلی که شاید در نگاه اول خشک و مقدماتی به نظر برسد، ولی در واقع پیِ ساختمان است و هرچه محکم‌تر باشد، ساختمان استوارتر می‌ماند.</w:t>
      </w:r>
    </w:p>
    <w:p>
      <w:pPr>
        <w:pStyle w:val="TH-Goftar"/>
        <w:widowControl/>
        <w:bidi w:val="1"/>
        <w:spacing w:before="280" w:after="160" w:line="336" w:lineRule="auto"/>
        <w:jc w:val="right"/>
        <w:keepNext w:val="1"/>
        <w:shd w:val="clear" w:fill="EDEDED"/>
      </w:pPr>
      <w:bookmarkStart w:id="15" w:name="_Toc000015"/>
      <w:r>
        <w:rPr>
          <w:rFonts w:ascii="B Titr" w:hAnsi="B Titr" w:cs="B Titr" w:eastAsia="B Titr"/>
          <w:b/>
          <w:i w:val="0"/>
          <w:sz w:val="32"/>
          <w:szCs w:val="32"/>
          <w:rtl/>
        </w:rPr>
        <w:t>گفتار اول: مفهوم معاهده و تعهد بین‌المللی</w:t>
      </w:r>
      <w:bookmarkEnd w:id="15"/>
    </w:p>
    <w:p>
      <w:pPr>
        <w:pStyle w:val="TH-Band"/>
        <w:widowControl/>
        <w:bidi w:val="1"/>
        <w:spacing w:before="280" w:after="160" w:line="336" w:lineRule="auto"/>
        <w:jc w:val="right"/>
        <w:keepNext w:val="1"/>
      </w:pPr>
      <w:bookmarkStart w:id="16" w:name="_Toc000016"/>
      <w:r>
        <w:rPr>
          <w:rFonts w:ascii="B Traffic" w:hAnsi="B Traffic" w:cs="B Traffic" w:eastAsia="B Traffic"/>
          <w:b/>
          <w:i w:val="0"/>
          <w:sz w:val="28"/>
          <w:szCs w:val="28"/>
          <w:rtl/>
        </w:rPr>
        <w:t>بند اول: تعریف لغوی و اصطلاحی معاهده</w:t>
      </w:r>
      <w:bookmarkEnd w:id="16"/>
    </w:p>
    <w:p>
      <w:pPr>
        <w:pStyle w:val="TH-Body"/>
        <w:widowControl/>
        <w:bidi w:val="1"/>
        <w:spacing w:before="0" w:after="200" w:line="336" w:lineRule="auto"/>
        <w:jc w:val="both"/>
      </w:pPr>
      <w:r>
        <w:rPr>
          <w:rFonts w:ascii="B Lotus" w:hAnsi="B Lotus" w:cs="B Lotus" w:eastAsia="B Lotus"/>
          <w:b w:val="0"/>
          <w:i w:val="0"/>
          <w:sz w:val="28"/>
          <w:szCs w:val="28"/>
        </w:rPr>
        <w:t>«معاهده» از ریشه «عهد» است؛ و عهد در لغت یعنی پیمان و التزام، و عاهدَهُ یعنی با او پیمان بست.</w:t>
      </w:r>
      <w:r>
        <w:rPr>
          <w:rFonts w:ascii="B Lotus" w:hAnsi="B Lotus" w:cs="B Lotus" w:eastAsia="B Lotus"/>
          <w:b w:val="0"/>
          <w:i w:val="0"/>
          <w:sz w:val="28"/>
          <w:szCs w:val="28"/>
          <w:vertAlign w:val="superscript"/>
        </w:rPr>
        <w:footnoteReference w:id="5"/>
      </w:r>
      <w:r>
        <w:rPr>
          <w:rFonts w:ascii="B Lotus" w:hAnsi="B Lotus" w:cs="B Lotus" w:eastAsia="B Lotus"/>
          <w:b w:val="0"/>
          <w:i w:val="0"/>
          <w:sz w:val="28"/>
          <w:szCs w:val="28"/>
        </w:rPr>
        <w:t xml:space="preserve"> باب مفاعله (معاهده) معنای مشارکت و دوسویی را می‌رساند: پیمانی که دو طرف در آن شریک‌اند. همین نکته لغوی، ظرافت مهمی در خود دارد: معاهده ذاتاً امر یک‌طرفه نیست؛ تعهدی است که در بستر توافق متقابل شکل گرفته و همین خاستگاه توافقیش، بعداً در تحلیل وجوب وفا اثر می‌گذارد.</w:t>
      </w:r>
    </w:p>
    <w:p>
      <w:pPr>
        <w:pStyle w:val="TH-Body"/>
        <w:widowControl/>
        <w:bidi w:val="1"/>
        <w:spacing w:before="0" w:after="200" w:line="336" w:lineRule="auto"/>
        <w:ind w:firstLine="283"/>
        <w:jc w:val="both"/>
      </w:pPr>
      <w:r>
        <w:rPr>
          <w:rFonts w:ascii="B Lotus" w:hAnsi="B Lotus" w:cs="B Lotus" w:eastAsia="B Lotus"/>
          <w:b w:val="0"/>
          <w:i w:val="0"/>
          <w:sz w:val="28"/>
          <w:szCs w:val="28"/>
        </w:rPr>
        <w:t>در اصطلاح حقوق بین‌الملل، تعریف مرجع همان است که در بند ۱ ماده ۲ کنوانسیون وین (۱۹۶۹) آمده:</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«معاهده» یعنی توافق بین‌المللی که میان دولت‌ها به‌صورت کتبی منعقد شده و تابع حقوق بین‌الملل باشد، خواه در سندی واحد، خواه در دو یا چند سند مرتبط؛ و با هر عنوان و نامی.</w:t>
      </w:r>
      <w:r>
        <w:rPr>
          <w:rFonts w:ascii="B Badr" w:hAnsi="B Badr" w:cs="B Badr" w:eastAsia="B Badr"/>
          <w:b w:val="0"/>
          <w:i w:val="0"/>
          <w:sz w:val="26"/>
          <w:szCs w:val="26"/>
          <w:vertAlign w:val="superscript"/>
        </w:rPr>
        <w:footnoteReference w:id="6"/>
      </w:r>
    </w:p>
    <w:p>
      <w:pPr>
        <w:pStyle w:val="TH-Body"/>
        <w:widowControl/>
        <w:bidi w:val="1"/>
        <w:spacing w:before="0" w:after="200" w:line="336" w:lineRule="auto"/>
        <w:jc w:val="both"/>
      </w:pPr>
      <w:r>
        <w:rPr>
          <w:rFonts w:ascii="B Lotus" w:hAnsi="B Lotus" w:cs="B Lotus" w:eastAsia="B Lotus"/>
          <w:b w:val="0"/>
          <w:i w:val="0"/>
          <w:sz w:val="28"/>
          <w:szCs w:val="28"/>
        </w:rPr>
        <w:t>این تعریف را باید جزءبه‌جزء شکافت، چون هر جزءش یک قید استثناکننده است و موضوع رساله من فقط درون همین قیدهاست:</w:t>
      </w:r>
    </w:p>
    <w:p>
      <w:pPr>
        <w:pStyle w:val="TH-Body"/>
        <w:widowControl/>
        <w:bidi w:val="1"/>
        <w:spacing w:before="0" w:after="200" w:line="336" w:lineRule="auto"/>
        <w:ind w:firstLine="283"/>
        <w:jc w:val="both"/>
      </w:pPr>
      <w:r>
        <w:rPr>
          <w:rFonts w:ascii="B Lotus" w:hAnsi="B Lotus" w:cs="B Lotus" w:eastAsia="B Lotus"/>
          <w:b w:val="0"/>
          <w:i w:val="0"/>
          <w:sz w:val="28"/>
          <w:szCs w:val="28"/>
        </w:rPr>
        <w:t>قید اول، «میان دولت‌ها»: اطراف معاهده دولت‌اند (و به موجب کنوانسیون ۱۹۸۶، سازمان‌های بین‌المللی هم می‌توانند طرف معاهده باشند). پس قراردادهای اشخاص خصوصی ـ حتی اگر یک طرفشان دولت باشد، مثل قرارداد سرمایه‌گذاری خارجی ـ از تعریف بیرون‌اند؛ و احکام این رساله شاملشان نمی‌شود. این تحدید مهم است، چون بعضی خلط می‌کنند و احکام معاهدات را به قراردادهای تجاری دولت تعمیم می‌دهند.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دوم، «کتبی»: کنوانسیون وین فقط معاهدات کتبی را پوشش می‌دهد. البته این به معنای بی‌اعتباری توافقات شفاهی نیست ـ ماده ۳ کنوانسیون تصریح می‌کند که اعتبار توافقات غیرکتبی و توافقات با اشخاص دیگر، تابع قواعد حقوق بین‌الملل عام است</w:t>
      </w:r>
      <w:r>
        <w:rPr>
          <w:rFonts w:ascii="B Lotus" w:hAnsi="B Lotus" w:cs="B Lotus" w:eastAsia="B Lotus"/>
          <w:b w:val="0"/>
          <w:i w:val="0"/>
          <w:sz w:val="28"/>
          <w:szCs w:val="28"/>
          <w:vertAlign w:val="superscript"/>
        </w:rPr>
        <w:footnoteReference w:id="7"/>
      </w:r>
      <w:r>
        <w:rPr>
          <w:rFonts w:ascii="B Lotus" w:hAnsi="B Lotus" w:cs="B Lotus" w:eastAsia="B Lotus"/>
          <w:b w:val="0"/>
          <w:i w:val="0"/>
          <w:sz w:val="28"/>
          <w:szCs w:val="28"/>
        </w:rPr>
        <w:t xml:space="preserve"> ـ ولی موضوع این رساله همان معاهدات کتبیِ مشمول وین است، چون هم غالب‌اند هم مستند.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سوم، «تابع حقوق بین‌الملل»: توافقی معاهده است که اطرافش اراده کرده باشند تابع حقوق بین‌الملل باشد؛ یعنی التزام حقوقی بیافریند، نه فقط تفاهم سیاسی. این قید، مرز میان «معاهده» و «توافق سیاسی» (مثل بیانیه‌های مشترک سران) است؛ مرزی که در تحلیل تجربه برجام ـ چنان‌که در فصل پنجم می‌آید ـ تعیین‌کننده 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و قید چهارم، «با هر عنوان و نامی»: عهدنامه، مقاوله‌نامه، موافقت‌نامه، قرارداد، پیمان، میثاق، پروتکل، مبادله یادداشت ـ همه اگر واجد سه قید بالا باشند، معاهده‌اند. حقوق بین‌الملل به «ماهیت» نگاه می‌کند نه به «نام»؛ و این نکته در برابر ترفندهای نام‌گذاری (این‌که دولتی بگوید «این توافق است نه معاهده، پس لازم‌الاجرا نیست») سپر مهمی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در فقه امامیه، برابرنهاد تاریخی معاهده همین «عهد» و «عقد» و «معاهده» است؛ ولی با این تفاوت مهم که فقهای ما این مفاهیم را عمدتاً در سه بستر بحث کرده‌اند: عقود معاوضی خصوصی (بیع، اجاره و…)، عهدنامه‌های صدر اسلام (هدنه، امان، ذمه)، و عقود به معنای عام قرآنی (اوفوا بالعقود). هیچ‌کدام از این سه، دقیقاً منطبق بر معاهده امروزی نیست؛ ولی هرکدام پاره‌ای از حقیقت را در خود دارند و من در فصل سوم از هر سه بهره می‌گیرم. این‌جا فقط همین را ثبت می‌کنم که خواننده بداند وقتی فقیه از «عهد» حرف می‌زند و حقوق‌دان از «treaty»، لزوماً از یک چیز حرف نمی‌زنند ـ و کار من در این رساله، ساختن پل میان این دو زبان است.</w:t>
      </w:r>
    </w:p>
    <w:p>
      <w:pPr>
        <w:pStyle w:val="TH-Band"/>
        <w:widowControl/>
        <w:bidi w:val="1"/>
        <w:spacing w:before="280" w:after="160" w:line="336" w:lineRule="auto"/>
        <w:jc w:val="right"/>
        <w:keepNext w:val="1"/>
      </w:pPr>
      <w:bookmarkStart w:id="17" w:name="_Toc000017"/>
      <w:r>
        <w:rPr>
          <w:rFonts w:ascii="B Traffic" w:hAnsi="B Traffic" w:cs="B Traffic" w:eastAsia="B Traffic"/>
          <w:b/>
          <w:i w:val="0"/>
          <w:sz w:val="28"/>
          <w:szCs w:val="28"/>
          <w:rtl/>
        </w:rPr>
        <w:t>بند دوم: اقسام معاهدات و محل بحث</w:t>
      </w:r>
      <w:bookmarkEnd w:id="17"/>
    </w:p>
    <w:p>
      <w:pPr>
        <w:pStyle w:val="TH-Body"/>
        <w:widowControl/>
        <w:bidi w:val="1"/>
        <w:spacing w:before="0" w:after="200" w:line="336" w:lineRule="auto"/>
        <w:jc w:val="both"/>
      </w:pPr>
      <w:r>
        <w:rPr>
          <w:rFonts w:ascii="B Lotus" w:hAnsi="B Lotus" w:cs="B Lotus" w:eastAsia="B Lotus"/>
          <w:b w:val="0"/>
          <w:i w:val="0"/>
          <w:sz w:val="28"/>
          <w:szCs w:val="28"/>
        </w:rPr>
        <w:t>معاهدات را از زوایای مختلف تقسیم کرده‌اند و هر تقسیمی برای مقصودی به کار می‌آید. از جهت تعداد اطراف: دوجانبه و چندجانبه. از جهت موضوع: سیاسی، اقتصادی، فرهنگی، نظامی، مرزی، حقوق بشری و… از جهت مدت: موقت، دائم، و نامعین. و از جهت قابلیت عدول: معاهداتی که خودشان سازوکار خروج یا خاتمه پیش‌بینی کرده‌اند، و معاهداتی که نکرده‌اند.</w:t>
      </w:r>
    </w:p>
    <w:p>
      <w:pPr>
        <w:pStyle w:val="TH-Body"/>
        <w:widowControl/>
        <w:bidi w:val="1"/>
        <w:spacing w:before="0" w:after="200" w:line="336" w:lineRule="auto"/>
        <w:ind w:firstLine="283"/>
        <w:jc w:val="both"/>
      </w:pPr>
      <w:r>
        <w:rPr>
          <w:rFonts w:ascii="B Lotus" w:hAnsi="B Lotus" w:cs="B Lotus" w:eastAsia="B Lotus"/>
          <w:b w:val="0"/>
          <w:i w:val="0"/>
          <w:sz w:val="28"/>
          <w:szCs w:val="28"/>
        </w:rPr>
        <w:t>اما تقسیمی که برای مسئله من از همه مهم‌تر است، تقسیم از جهت «نسبت با مصلحت متغیر» است؛ تقسیمی که در کتب ندیده‌ام و خودم برای تنقیح محل بحث پیشنهاد می‌کنم. معاهدات از این جهت سه‌گونه‌اند: گونه اول معاهداتی که ذاتاً با مصالح ثابت گره خورده‌اند ـ مثل معاهدات مرزی و تحدید حدود ـ که تغییر مصلحت در آن‌ها متصور نیست یا بسیار نادر است؛ و عدول از این‌ها اصلاً محل بحث من نیست. گونه دوم معاهداتی که ذاتاً موقت و مصلحت‌مدارند ـ مثل آتش‌بس و موافقت‌نامه‌های همکاری مقطعی ـ که با تغییر مصلحت، خودبه‌خود موضوعشان منتفی می‌شود؛ و این‌ها هم محل بحث نیستند، چون عدول از آن‌ها بدیهی است. و گونه سوم ـ که دقیقاً محل بحث من است ـ معاهدات میان‌مدت و بلندمدتی که در لحظه انعقاد مصلحت بوده‌اند ولی با گذر زمان و تغییر شرایط، ادامه اجرایشان با مصلحت اهمی در تزاحم قرار گرفته؛ مثل پیمان‌های اقتصادی بلندمدت، عضویت در نهادهای بین‌المللی، و توافقات امنیتی چندساله. هرجا در این رساله از «تعهد بین‌المللی» سخن گفتم، منظورم همین گونه سوم است؛ نه بیشتر، نه کمتر.</w:t>
      </w:r>
    </w:p>
    <w:p>
      <w:pPr>
        <w:pStyle w:val="TH-Band"/>
        <w:widowControl/>
        <w:bidi w:val="1"/>
        <w:spacing w:before="280" w:after="160" w:line="336" w:lineRule="auto"/>
        <w:jc w:val="right"/>
        <w:keepNext w:val="1"/>
      </w:pPr>
      <w:bookmarkStart w:id="18" w:name="_Toc000018"/>
      <w:r>
        <w:rPr>
          <w:rFonts w:ascii="B Traffic" w:hAnsi="B Traffic" w:cs="B Traffic" w:eastAsia="B Traffic"/>
          <w:b/>
          <w:i w:val="0"/>
          <w:sz w:val="28"/>
          <w:szCs w:val="28"/>
          <w:rtl/>
        </w:rPr>
        <w:t>بند سوم: مفهوم تعهد و ارکان آن</w:t>
      </w:r>
      <w:bookmarkEnd w:id="18"/>
    </w:p>
    <w:p>
      <w:pPr>
        <w:pStyle w:val="TH-Body"/>
        <w:widowControl/>
        <w:bidi w:val="1"/>
        <w:spacing w:before="0" w:after="200" w:line="336" w:lineRule="auto"/>
        <w:jc w:val="both"/>
      </w:pPr>
      <w:r>
        <w:rPr>
          <w:rFonts w:ascii="B Lotus" w:hAnsi="B Lotus" w:cs="B Lotus" w:eastAsia="B Lotus"/>
          <w:b w:val="0"/>
          <w:i w:val="0"/>
          <w:sz w:val="28"/>
          <w:szCs w:val="28"/>
        </w:rPr>
        <w:t>«تعهد» در حقوق بین‌الملل یعنی التزام حقوقی دولت به فعل یا ترک فعلی در برابر دولت یا دولت‌های دیگر؛ التزامی که نقضش مسئولیت می‌آورد. ارکانش سه‌تاست: متعهد (دولتی که ملتزم شده)، متعهدله (دولتی که به نفعش التزام شده)، و متعلق (فعل یا ترک فعلی که موضوع التزام است). این ساختار سه‌رکنی، همان ساختاری است که در فقه هم در تحلیل «عقد» و «عهد» به کار می‌رود؛ و همین اشتراک ساختاری است که امکان گفت‌وگوی فقه و حقوق را فراهم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نکته‌ای که باید این‌جا ثبت شود ـ چون در فصل پنجم مبنای تحلیل مسئولیت است ـ تمایز میان «تعهد» و «تکلیف اخلاقی» و «انتظار سیاسی» است. تعهد بین‌المللی، الزام «حقوقی» است؛ یعنی ضمانت‌اجرا دارد (مسئولیت، اقدام متقابل، ارجاع به مراجع) و مرجع داوری‌اش حقوق بین‌الملل است. وعده‌های سیاسی سران و بیانیه‌های حسن نیت، هرچقدر هم مهم باشند، تا وقتی در قالب حقوقیِ التزام‌آور نریخته‌اند، تعهد به معنای فنی نیستند و عدول از آن‌ها ـ هرچند ممکن است از نظر اخلاقی یا سیاسی مذموم باشد ـ مسئولیت حقوقی نمی‌آورد. این تمایز را گفتم چون در تحلیل‌های ژورنالیستی معمولاً نادیده گرفته می‌شود و هر قولی را «تعهد» می‌خوانند.</w:t>
      </w:r>
    </w:p>
    <w:p>
      <w:pPr>
        <w:pStyle w:val="TH-Goftar"/>
        <w:widowControl/>
        <w:bidi w:val="1"/>
        <w:spacing w:before="280" w:after="160" w:line="336" w:lineRule="auto"/>
        <w:jc w:val="right"/>
        <w:keepNext w:val="1"/>
        <w:shd w:val="clear" w:fill="EDEDED"/>
      </w:pPr>
      <w:bookmarkStart w:id="19" w:name="_Toc000019"/>
      <w:r>
        <w:rPr>
          <w:rFonts w:ascii="B Titr" w:hAnsi="B Titr" w:cs="B Titr" w:eastAsia="B Titr"/>
          <w:b/>
          <w:i w:val="0"/>
          <w:sz w:val="32"/>
          <w:szCs w:val="32"/>
          <w:rtl/>
        </w:rPr>
        <w:t>گفتار دوم: مفهوم ولی فقیه و گستره اختیارات</w:t>
      </w:r>
      <w:bookmarkEnd w:id="19"/>
    </w:p>
    <w:p>
      <w:pPr>
        <w:pStyle w:val="TH-Band"/>
        <w:widowControl/>
        <w:bidi w:val="1"/>
        <w:spacing w:before="280" w:after="160" w:line="336" w:lineRule="auto"/>
        <w:jc w:val="right"/>
        <w:keepNext w:val="1"/>
      </w:pPr>
      <w:bookmarkStart w:id="20" w:name="_Toc000020"/>
      <w:r>
        <w:rPr>
          <w:rFonts w:ascii="B Traffic" w:hAnsi="B Traffic" w:cs="B Traffic" w:eastAsia="B Traffic"/>
          <w:b/>
          <w:i w:val="0"/>
          <w:sz w:val="28"/>
          <w:szCs w:val="28"/>
          <w:rtl/>
        </w:rPr>
        <w:t>بند اول: تعریف ولی فقیه</w:t>
      </w:r>
      <w:bookmarkEnd w:id="20"/>
    </w:p>
    <w:p>
      <w:pPr>
        <w:pStyle w:val="TH-Body"/>
        <w:widowControl/>
        <w:bidi w:val="1"/>
        <w:spacing w:before="0" w:after="200" w:line="336" w:lineRule="auto"/>
        <w:jc w:val="both"/>
      </w:pPr>
      <w:r>
        <w:rPr>
          <w:rFonts w:ascii="B Lotus" w:hAnsi="B Lotus" w:cs="B Lotus" w:eastAsia="B Lotus"/>
          <w:b w:val="0"/>
          <w:i w:val="0"/>
          <w:sz w:val="28"/>
          <w:szCs w:val="28"/>
        </w:rPr>
        <w:t>«ولی فقیه» در این رساله به معنای خاص و نهادی‌اش به کار می‌رود: مقام رهبری در نظام جمهوری اسلامی ایران؛ فقیه عادل و باتقوا و آگاه به زمان و شجاع و مدیر و مدبری که طبق اصل ۱۰۷ قانون اساسی عهده‌دار ولایت امر و امامت امت شده است.</w:t>
      </w:r>
      <w:r>
        <w:rPr>
          <w:rFonts w:ascii="B Lotus" w:hAnsi="B Lotus" w:cs="B Lotus" w:eastAsia="B Lotus"/>
          <w:b w:val="0"/>
          <w:i w:val="0"/>
          <w:sz w:val="28"/>
          <w:szCs w:val="28"/>
          <w:vertAlign w:val="superscript"/>
        </w:rPr>
        <w:footnoteReference w:id="8"/>
      </w:r>
      <w:r>
        <w:rPr>
          <w:rFonts w:ascii="B Lotus" w:hAnsi="B Lotus" w:cs="B Lotus" w:eastAsia="B Lotus"/>
          <w:b w:val="0"/>
          <w:i w:val="0"/>
          <w:sz w:val="28"/>
          <w:szCs w:val="28"/>
        </w:rPr>
        <w:t xml:space="preserve"> این تحدید را از اول روشن می‌کنم تا سه خلط رایج پیش نیاید: خلط با «هر فقیه جامع‌الشرایط» (که در مقام فتوا ولی است ولی در مقام اجرا چنین اختیاری ندارد)، خلط با «حاکم» به معنای عام (که شامل رؤسای جمهور و نخست‌وزیران هم می‌شود)، و خلط با «امام معصوم» (که اختیاراتش ذاتی و مطلق است، در حالی که اختیارات ولی فقیه ـ چنان‌که در ادامه می‌آید ـ مقید به مصلحت و ضوابط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مبنای مشروعیت این مقام در فقه امامیه، نظریه «ولایت فقیه» است که صورت‌بندی کامل و حکومتی‌اش را امام خمینی در کتاب ولایت فقیه (حکومت اسلامی) ارائه کرد: در عصر غیبت، فقیه جامع‌الشرایط همان اختیاری را در اداره جامعه دارد که پیامبر و امام در امر حکومت داشتند؛ نه از باب نیابت شخصی، بلکه از باب این‌که زمین نمی‌ماند و جامعه ـ به‌ویژه جامعه اسلامی ـ نیازمند حاکم است و عادل‌ترین و آگاه‌ترین فرد برای این مقام، فقیه جامع‌الشرایط است.</w:t>
      </w:r>
      <w:r>
        <w:rPr>
          <w:rFonts w:ascii="B Lotus" w:hAnsi="B Lotus" w:cs="B Lotus" w:eastAsia="B Lotus"/>
          <w:b w:val="0"/>
          <w:i w:val="0"/>
          <w:sz w:val="28"/>
          <w:szCs w:val="28"/>
          <w:vertAlign w:val="superscript"/>
        </w:rPr>
        <w:footnoteReference w:id="9"/>
      </w:r>
      <w:r>
        <w:rPr>
          <w:rFonts w:ascii="B Lotus" w:hAnsi="B Lotus" w:cs="B Lotus" w:eastAsia="B Lotus"/>
          <w:b w:val="0"/>
          <w:i w:val="0"/>
          <w:sz w:val="28"/>
          <w:szCs w:val="28"/>
        </w:rPr>
        <w:t xml:space="preserve"> من در این رساله وارد مناقشه‌های کلامی و فقهیِ اثبات اصل ولایت فقیه نمی‌شوم ـ چون هم از موضوع بیرون است هم در حد این رساله نیست ـ بلکه آن را «مفروض» می‌گیرم و از آن‌جا شروع می‌کنم که: حالا که ولی فقیه حاکم است، آیا می‌تواند از تعهد بین‌المللی عدول کند؟</w:t>
      </w:r>
    </w:p>
    <w:p>
      <w:pPr>
        <w:pStyle w:val="TH-Band"/>
        <w:widowControl/>
        <w:bidi w:val="1"/>
        <w:spacing w:before="280" w:after="160" w:line="336" w:lineRule="auto"/>
        <w:jc w:val="right"/>
        <w:keepNext w:val="1"/>
      </w:pPr>
      <w:bookmarkStart w:id="21" w:name="_Toc000021"/>
      <w:r>
        <w:rPr>
          <w:rFonts w:ascii="B Traffic" w:hAnsi="B Traffic" w:cs="B Traffic" w:eastAsia="B Traffic"/>
          <w:b/>
          <w:i w:val="0"/>
          <w:sz w:val="28"/>
          <w:szCs w:val="28"/>
          <w:rtl/>
        </w:rPr>
        <w:t>بند دوم: مراتب اختیار؛ صریح، ضمنی، ولایی، حکومتی</w:t>
      </w:r>
      <w:bookmarkEnd w:id="21"/>
    </w:p>
    <w:p>
      <w:pPr>
        <w:pStyle w:val="TH-Body"/>
        <w:widowControl/>
        <w:bidi w:val="1"/>
        <w:spacing w:before="0" w:after="200" w:line="336" w:lineRule="auto"/>
        <w:jc w:val="both"/>
      </w:pPr>
      <w:r>
        <w:rPr>
          <w:rFonts w:ascii="B Lotus" w:hAnsi="B Lotus" w:cs="B Lotus" w:eastAsia="B Lotus"/>
          <w:b w:val="0"/>
          <w:i w:val="0"/>
          <w:sz w:val="28"/>
          <w:szCs w:val="28"/>
        </w:rPr>
        <w:t>مهم‌ترین بحث مفهومی این گفتار ـ و یکی از نوآوری‌های این رساله ـ تفکیک چهارگانه مراتب اختیار ولی فقیه است. این تفکیک را این‌جا به‌اجمال می‌آورم و تفصیل استدلالی‌اش را به فصل پنجم (گفتار پنجم) می‌سپارم؛ ولی خواننده باید از همین‌جا با آن آشنا شود، چون در سراسر رساله به آن ارجاع می‌دهم:</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اول، «اختیار صریح»: آن‌چه در متن قانون اساسی ـ به‌ویژه اصل ۱۱۰ ـ به‌صراحت برای رهبری ذکر شده؛ مثل فرماندهی کل قوا، اعلان جنگ و صلح، نصب و عزل مقامات عالی. این‌ها محل اتفاق است و نیازمند استنباط نیست؛ هرکس متن قانون را بخواند، می‌فهمد.</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دوم، «اختیار ضمنی»: آن‌چه به‌صراحت نیامده ولی از اطلاق یا عموم بندهای قانون اساسی ـ به‌ویژه بندهای ۱، ۵، ۷ و ۸ اصل ۱۱۰ ـ استنباط می‌شود؛ مثل تصمیم درباره سرنوشت معاهده‌ای که با سیاست‌های کلی نظام ناسازگار شده یا به معضل نظام بدل گشته. اختیارِ مورد بحث این رساله دست‌کم در این مرتبه قرار دارد؛ و اثباتش ـ چنان‌که در فصل پنجم می‌آید ـ با استناد به عموم و اطلاق این بندهاست.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سوم، «اختیار ولایی»: آن‌چه از «ولایت مطلقه» مذکور در اصل ۵۷ درمی‌آید و فراتر از نصوص خاص است؛ یعنی اختیاری که هیچ بندی ـ حتی با تفسیر موسع ـ پوششش نمی‌دهد، ولی اداره نظام به آن وابسته است. این مرتبه، عرصه اعمال «ولایت» به معنای دقیق کلمه است؛ جایی که حاکم نه به‌عنوان مجری قانون، بلکه به‌عنوان «ولی» امت تصمیم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و مرتبه چهارم، «اختیار حکومتی»: آن‌چه از «حکم حکومتی» ولی فقیه در مقام تزاحم درمی‌آید؛ یعنی سازوکاری که اختیار ضمنی و ولایی را به تصمیم مشخص و لازم‌الاتباع بدل می‌کند. اگر مراتب دوم و سوم «مبنا» هستند، مرتبه چهارم «صورت» است؛ صورتی که مبنا را به عمل می‌رساند.</w:t>
      </w:r>
    </w:p>
    <w:p>
      <w:pPr>
        <w:pStyle w:val="TH-Body"/>
        <w:widowControl/>
        <w:bidi w:val="1"/>
        <w:spacing w:before="0" w:after="200" w:line="336" w:lineRule="auto"/>
        <w:ind w:firstLine="283"/>
        <w:jc w:val="both"/>
      </w:pPr>
      <w:r>
        <w:rPr>
          <w:rFonts w:ascii="B Lotus" w:hAnsi="B Lotus" w:cs="B Lotus" w:eastAsia="B Lotus"/>
          <w:b w:val="0"/>
          <w:i w:val="0"/>
          <w:sz w:val="28"/>
          <w:szCs w:val="28"/>
        </w:rPr>
        <w:t>این تفکیک چهارگانه، راه میانه‌ای است میان دو افراطی که هر دو در ادبیات ما طرفدار دارند: حصرگراییِ فلج‌کننده‌ای که اختیارات رهبری را منحصر در یازده بند اصل ۱۱۰ می‌داند و نظام را در برابر بحران‌های پیش‌بینی‌نشده بی‌پاسخ می‌گذارد؛ و توسعه بی‌ضابطه‌ای که هر اختیاری را برای رهبری قائل است و با حکومت قانون نمی‌سازد. منطق من این است: قانون اساسی «کف» اختیارات است نه «سقف» آن؛ ولی حرکت از کف به سقف، مقید به ضوابط هشت‌گانه‌ای است که در فصل چهارم استخراج می‌کنم. «عدم حصر» به معنای «عدم ضابطه» نیست؛ و همین یک جمله، جوهر کل رساله است.</w:t>
      </w:r>
    </w:p>
    <w:p>
      <w:pPr>
        <w:pStyle w:val="TH-Goftar"/>
        <w:widowControl/>
        <w:bidi w:val="1"/>
        <w:spacing w:before="280" w:after="160" w:line="336" w:lineRule="auto"/>
        <w:jc w:val="right"/>
        <w:keepNext w:val="1"/>
        <w:shd w:val="clear" w:fill="EDEDED"/>
      </w:pPr>
      <w:bookmarkStart w:id="22" w:name="_Toc000022"/>
      <w:r>
        <w:rPr>
          <w:rFonts w:ascii="B Titr" w:hAnsi="B Titr" w:cs="B Titr" w:eastAsia="B Titr"/>
          <w:b/>
          <w:i w:val="0"/>
          <w:sz w:val="32"/>
          <w:szCs w:val="32"/>
          <w:rtl/>
        </w:rPr>
        <w:t>گفتار سوم: مفهوم عدول و مفاهیم خویشاوند</w:t>
      </w:r>
      <w:bookmarkEnd w:id="22"/>
    </w:p>
    <w:p>
      <w:pPr>
        <w:pStyle w:val="TH-Band"/>
        <w:widowControl/>
        <w:bidi w:val="1"/>
        <w:spacing w:before="280" w:after="160" w:line="336" w:lineRule="auto"/>
        <w:jc w:val="right"/>
        <w:keepNext w:val="1"/>
      </w:pPr>
      <w:bookmarkStart w:id="23" w:name="_Toc000023"/>
      <w:r>
        <w:rPr>
          <w:rFonts w:ascii="B Traffic" w:hAnsi="B Traffic" w:cs="B Traffic" w:eastAsia="B Traffic"/>
          <w:b/>
          <w:i w:val="0"/>
          <w:sz w:val="28"/>
          <w:szCs w:val="28"/>
          <w:rtl/>
        </w:rPr>
        <w:t>بند اول: تعریف عدول</w:t>
      </w:r>
      <w:bookmarkEnd w:id="23"/>
    </w:p>
    <w:p>
      <w:pPr>
        <w:pStyle w:val="TH-Body"/>
        <w:widowControl/>
        <w:bidi w:val="1"/>
        <w:spacing w:before="0" w:after="200" w:line="336" w:lineRule="auto"/>
        <w:jc w:val="both"/>
      </w:pPr>
      <w:r>
        <w:rPr>
          <w:rFonts w:ascii="B Lotus" w:hAnsi="B Lotus" w:cs="B Lotus" w:eastAsia="B Lotus"/>
          <w:b w:val="0"/>
          <w:i w:val="0"/>
          <w:sz w:val="28"/>
          <w:szCs w:val="28"/>
        </w:rPr>
        <w:t>«عدول» در لغت یعنی برگشتن و روی‌گرداندن؛ و در این رساله به معنای فنی و مضیقش به کار می‌رود: «تصمیم یک‌جانبه و فوق‌العاده ولی فقیه بر توقف یا تعلیق اجرای تعهد بین‌المللی، بر مبنای مصلحت اهم و در مقام تزاحم». هر قیدی از این تعریف، دایره بحث را تنگ‌تر می‌کند و بار استدلالی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«یک‌جانبه»: عدولِ مورد بحث، تصمیم یک‌طرفه است؛ نه توافق بر خاتمه، نه اعمال حق خروجِ مندرج در متن، نه انقضای مدت. آن‌ها همه «راه‌های حقوقیِ عادی»‌اند و از موضوع این رساله بیرون‌اند ـ هرچند چنان‌که در فصل چهارم می‌آید، بر عدول یک‌جانبه «مقدم‌اند» و تا باز باشند، نوبت به عدول نمی‌رسد.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«فوق‌العاده»: عدولِ مورد بحث، تصمیم روزمره و عادی نیست؛ تصمیمی است که در شرایط غیرعادی و بر مبنای مصلحت فوق‌العاده گرفته می‌شود. این قید، عدول را از «سوءمدیریت» و «عهدشکنیِ بی‌مبنا» جدا می‌کند؛ چون آن‌ها هم یک‌جانبه‌اند ولی فوق‌العاده نیستند، بلکه خلاف قاعده‌اند.</w:t>
      </w:r>
    </w:p>
    <w:p>
      <w:pPr>
        <w:pStyle w:val="TH-Body"/>
        <w:widowControl/>
        <w:bidi w:val="1"/>
        <w:spacing w:before="0" w:after="200" w:line="336" w:lineRule="auto"/>
        <w:ind w:firstLine="283"/>
        <w:jc w:val="both"/>
      </w:pPr>
      <w:r>
        <w:rPr>
          <w:rFonts w:ascii="B Lotus" w:hAnsi="B Lotus" w:cs="B Lotus" w:eastAsia="B Lotus"/>
          <w:b w:val="0"/>
          <w:i w:val="0"/>
          <w:sz w:val="28"/>
          <w:szCs w:val="28"/>
        </w:rPr>
        <w:t>و قید «در مقام تزاحم»: عدولِ مورد بحث، مبتنی بر تزاحم واقعی میان ادامه اجرا و مصلحت اهم است؛ نه سلیقه شخصی حاکم، نه فشار جناحی، نه محاسبات انتخاباتی. این قید، قلب تپنده کل رساله است و فصل چهارم سراسر شرح و بسط آن است.</w:t>
      </w:r>
    </w:p>
    <w:p>
      <w:pPr>
        <w:pStyle w:val="TH-Band"/>
        <w:widowControl/>
        <w:bidi w:val="1"/>
        <w:spacing w:before="280" w:after="160" w:line="336" w:lineRule="auto"/>
        <w:jc w:val="right"/>
        <w:keepNext w:val="1"/>
      </w:pPr>
      <w:bookmarkStart w:id="24" w:name="_Toc000024"/>
      <w:r>
        <w:rPr>
          <w:rFonts w:ascii="B Traffic" w:hAnsi="B Traffic" w:cs="B Traffic" w:eastAsia="B Traffic"/>
          <w:b/>
          <w:i w:val="0"/>
          <w:sz w:val="28"/>
          <w:szCs w:val="28"/>
          <w:rtl/>
        </w:rPr>
        <w:t>بند دوم: تمایز از مفاهیم خویشاوند</w:t>
      </w:r>
      <w:bookmarkEnd w:id="24"/>
    </w:p>
    <w:p>
      <w:pPr>
        <w:pStyle w:val="TH-Body"/>
        <w:widowControl/>
        <w:bidi w:val="1"/>
        <w:spacing w:before="0" w:after="200" w:line="336" w:lineRule="auto"/>
        <w:jc w:val="both"/>
      </w:pPr>
      <w:r>
        <w:rPr>
          <w:rFonts w:ascii="B Lotus" w:hAnsi="B Lotus" w:cs="B Lotus" w:eastAsia="B Lotus"/>
          <w:b w:val="0"/>
          <w:i w:val="0"/>
          <w:sz w:val="28"/>
          <w:szCs w:val="28"/>
        </w:rPr>
        <w:t>عدول را باید از پنج مفهوم خویشاوند جدا کرد؛ مفاهیمی که شباهت ظاهری‌شان منشأ خلط‌های فراوان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یکم، «نقض» (breach): نقض یعنی عدم اجرای تعهد بدون مجوز حقوقی؛ عملی که ذاتاً نامشروع و مسئولیت‌آور است. عدولِ مورد بحث من ـ اگر واجد ضوابط باشد ـ نقضِ نامشروع نیست، بلکه «عدم اجرای موجه» است؛ هرچند در سطح بین‌المللی ـ چنان‌که در فصل پنجم می‌آید ـ ممکن است هم‌چنان مسئولیت بیاورد. تمایزشان در «مجوز» است: نقض بی‌مجوز است، عدول بامجوز (مجوز شرعی و حکومتی).</w:t>
      </w:r>
    </w:p>
    <w:p>
      <w:pPr>
        <w:pStyle w:val="TH-Body"/>
        <w:widowControl/>
        <w:bidi w:val="1"/>
        <w:spacing w:before="0" w:after="200" w:line="336" w:lineRule="auto"/>
        <w:ind w:firstLine="283"/>
        <w:jc w:val="both"/>
      </w:pPr>
      <w:r>
        <w:rPr>
          <w:rFonts w:ascii="B Lotus" w:hAnsi="B Lotus" w:cs="B Lotus" w:eastAsia="B Lotus"/>
          <w:b w:val="0"/>
          <w:i w:val="0"/>
          <w:sz w:val="28"/>
          <w:szCs w:val="28"/>
        </w:rPr>
        <w:t>دوم، «تعلیق» (suspension): تعلیق یعنی توقف «موقت» اجرا با بقای رابطه معاهده‌ای؛ در حالی که عدول ـ چنان‌که تعریف کردم ـ اعم است و شامل توقف دائم هم می‌شود. البته چنان‌که در ضابطه پنجم فصل چهارم می‌آید، عدولِ مطلوب هم باید موقت باشد و راه بازگشت را باز بگذارد؛ ولی این «باید» است، نه «هست» ـ یعنی جزء تعریف نیست، جزء ضوابط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سوم، «خاتمه» (termination): خاتمه یعنی پایان رابطه معاهده‌ای؛ و مثل تعلیق، نهادی حقوقی با سازوکار مشخص در کنوانسیون وین است. عدول ممکن است به خاتمه بینجامد یا نینجامد؛ ولی خودش نهادی جداست ـ تصمیم حکومتیِ فوق‌العاده‌ای که گاه در قالب خاتمه ظاهر می‌شود و گاه در قالب تعلیق و گاه در قالب‌های دیگر.</w:t>
      </w:r>
    </w:p>
    <w:p>
      <w:pPr>
        <w:pStyle w:val="TH-Body"/>
        <w:widowControl/>
        <w:bidi w:val="1"/>
        <w:spacing w:before="0" w:after="200" w:line="336" w:lineRule="auto"/>
        <w:ind w:firstLine="283"/>
        <w:jc w:val="both"/>
      </w:pPr>
      <w:r>
        <w:rPr>
          <w:rFonts w:ascii="B Lotus" w:hAnsi="B Lotus" w:cs="B Lotus" w:eastAsia="B Lotus"/>
          <w:b w:val="0"/>
          <w:i w:val="0"/>
          <w:sz w:val="28"/>
          <w:szCs w:val="28"/>
        </w:rPr>
        <w:t>چهارم، «فسخ» (rescission): فسخ اصطلاح فقهیِ عقود خصوصی است (خیارات) و با نهادهای حقوق معاهدات خلط نشود. در معاهدات بین‌المللی، «فسخ» به معنای فقهی‌اش کاربرد ندارد؛ و آن‌چه فقها در باب هدنه گفته‌اند (فسخ هدنه عند المصلحة) را باید با احتیاط به معاهدات امروزی تعمیم داد ـ کاری که در فصل سوم و چهارم با دقت انجام می‌دهم.</w:t>
      </w:r>
    </w:p>
    <w:p>
      <w:pPr>
        <w:pStyle w:val="TH-Body"/>
        <w:widowControl/>
        <w:bidi w:val="1"/>
        <w:spacing w:before="0" w:after="200" w:line="336" w:lineRule="auto"/>
        <w:ind w:firstLine="283"/>
        <w:jc w:val="both"/>
      </w:pPr>
      <w:r>
        <w:rPr>
          <w:rFonts w:ascii="B Lotus" w:hAnsi="B Lotus" w:cs="B Lotus" w:eastAsia="B Lotus"/>
          <w:b w:val="0"/>
          <w:i w:val="0"/>
          <w:sz w:val="28"/>
          <w:szCs w:val="28"/>
        </w:rPr>
        <w:t>و پنجم، «انباذ» (renunciation): انباذ یعنی اعلام آشکار فسخ عهد به طرف مقابل، مأخوذ از آیه شریفه «فَانْبِذْ إِلَیْهِمْ عَلَی سَوَاءٍ».</w:t>
      </w:r>
      <w:r>
        <w:rPr>
          <w:rFonts w:ascii="B Lotus" w:hAnsi="B Lotus" w:cs="B Lotus" w:eastAsia="B Lotus"/>
          <w:b w:val="0"/>
          <w:i w:val="0"/>
          <w:sz w:val="28"/>
          <w:szCs w:val="28"/>
          <w:vertAlign w:val="superscript"/>
        </w:rPr>
        <w:footnoteReference w:id="10"/>
      </w:r>
      <w:r>
        <w:rPr>
          <w:rFonts w:ascii="B Lotus" w:hAnsi="B Lotus" w:cs="B Lotus" w:eastAsia="B Lotus"/>
          <w:b w:val="0"/>
          <w:i w:val="0"/>
          <w:sz w:val="28"/>
          <w:szCs w:val="28"/>
        </w:rPr>
        <w:t xml:space="preserve"> انباذ نه خودِ عدول، بلکه «صورتِ اعلام» آن است؛ یعنی ضابطه‌ای از ضوابط عدول (ضابطه ششم)، نه تعریف آن. عدولِ بی‌انباذ، عدولِ ناقص است ـ ولی هم‌چنان عدول است.</w:t>
      </w:r>
    </w:p>
    <w:p>
      <w:pPr>
        <w:pStyle w:val="TH-Band"/>
        <w:widowControl/>
        <w:bidi w:val="1"/>
        <w:spacing w:before="280" w:after="160" w:line="336" w:lineRule="auto"/>
        <w:jc w:val="right"/>
        <w:keepNext w:val="1"/>
      </w:pPr>
      <w:bookmarkStart w:id="25" w:name="_Toc000025"/>
      <w:r>
        <w:rPr>
          <w:rFonts w:ascii="B Traffic" w:hAnsi="B Traffic" w:cs="B Traffic" w:eastAsia="B Traffic"/>
          <w:b/>
          <w:i w:val="0"/>
          <w:sz w:val="28"/>
          <w:szCs w:val="28"/>
          <w:rtl/>
        </w:rPr>
        <w:t>بند سوم: طیف پنج‌صورتِ عدول</w:t>
      </w:r>
      <w:bookmarkEnd w:id="25"/>
    </w:p>
    <w:p>
      <w:pPr>
        <w:pStyle w:val="TH-Body"/>
        <w:widowControl/>
        <w:bidi w:val="1"/>
        <w:spacing w:before="0" w:after="200" w:line="336" w:lineRule="auto"/>
        <w:jc w:val="both"/>
      </w:pPr>
      <w:r>
        <w:rPr>
          <w:rFonts w:ascii="B Lotus" w:hAnsi="B Lotus" w:cs="B Lotus" w:eastAsia="B Lotus"/>
          <w:b w:val="0"/>
          <w:i w:val="0"/>
          <w:sz w:val="28"/>
          <w:szCs w:val="28"/>
        </w:rPr>
        <w:t>و این‌جا به یکی دیگر از نوآوری‌های رساله می‌رسم: «طیف پنج‌صورتِ عدول». عدول پدیده‌ای صفر و یکی نیست؛ طیفی است از سبز (کاملاً موجه) تا قرمز (کاملاً ناموجه)، و هر تصمیمی جایی روی این طیف می‌ایستد. این طیف را این‌جا معرفی می‌کنم و کاربردش را در فصول چهارم و پنجم نشان می‌دهم:</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اول (سبز): عدولِ مبتنی بر حق مندرج در متن ـ مثل اعمال شرط خروج یا بازنگری. این اصلاً عدول به معنای فنی نیست، بلکه «اعمال حق» است؛ و موجه‌ترین صورت ممکن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دوم (سبز روشن): عدولِ توافقی ـ مثل مذاکره مجدد و تعلیق با رضایت طرف مقابل. این هم از موضوع بیرون است، ولی به‌عنوان «راه مقدم» همیشه باید اول آزموده شود.</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سوم (زرد): عدولِ مبتنی بر نهادهای حقوقی عام ـ مثل استناد به تغییر بنیادین اوضاع (ماده ۶۲ وین) یا ضرورت (ماده ۲۵ طرح مسئولیت). این صورت، هم مجوز حقوقی دارد هم مجوز شرعی (در صورت احراز شرایط)؛ و مطلوب‌ترین صورتِ عدولِ یک‌جانبه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چهارم (نارنجی): عدولِ واکنشی ـ مثل اقدام متقابل در برابر نقض طرف مقابل. این صورت مجوز دارد ولی مشروط و محدود است؛ و از حدودش که بگذرد، خودش می‌شود نقض.</w:t>
      </w:r>
    </w:p>
    <w:p>
      <w:pPr>
        <w:pStyle w:val="TH-Body"/>
        <w:widowControl/>
        <w:bidi w:val="1"/>
        <w:spacing w:before="0" w:after="200" w:line="336" w:lineRule="auto"/>
        <w:ind w:firstLine="283"/>
        <w:jc w:val="both"/>
      </w:pPr>
      <w:r>
        <w:rPr>
          <w:rFonts w:ascii="B Lotus" w:hAnsi="B Lotus" w:cs="B Lotus" w:eastAsia="B Lotus"/>
          <w:b w:val="0"/>
          <w:i w:val="0"/>
          <w:sz w:val="28"/>
          <w:szCs w:val="28"/>
        </w:rPr>
        <w:t>و صورت پنجم (قرمز): عدولِ بی‌ضابطه ـ تصمیم یک‌جانبه بدون مبنا، بدون تشریفات، بدون اعلام. این صورت، همان «عهدشکنی» مذموم است که آیات و روایات نکوهشش کرده‌اند؛ و هیچ‌یک از مبانی فصل چهارم شاملش نمی‌شود.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فایده این طیف، هم نظری است هم عملی: از نظر نظری، نشان می‌دهد که داوری درباره عدول باید «درجه‌بندی‌شده» باشد نه صفر و یکی؛ و از نظر عملی، به تصمیم‌گیر می‌گوید همیشه بکوشد تصمیمش را به سمت سبز طیف ببرد ـ یعنی هرچه بیشتر در قالب‌های حقوقیِ پذیرفته‌شده بریزد. این همان هنری است که در فصل پنجم با عنوان «راهبردهای مدیریت حقوقی» تفصیل می‌دهم.</w:t>
      </w:r>
    </w:p>
    <w:p>
      <w:pPr>
        <w:pStyle w:val="TH-Goftar"/>
        <w:widowControl/>
        <w:bidi w:val="1"/>
        <w:spacing w:before="280" w:after="160" w:line="336" w:lineRule="auto"/>
        <w:jc w:val="right"/>
        <w:keepNext w:val="1"/>
        <w:shd w:val="clear" w:fill="EDEDED"/>
      </w:pPr>
      <w:bookmarkStart w:id="26" w:name="_Toc000026"/>
      <w:r>
        <w:rPr>
          <w:rFonts w:ascii="B Titr" w:hAnsi="B Titr" w:cs="B Titr" w:eastAsia="B Titr"/>
          <w:b/>
          <w:i w:val="0"/>
          <w:sz w:val="32"/>
          <w:szCs w:val="32"/>
          <w:rtl/>
        </w:rPr>
        <w:t>گفتار چهارم: مفهوم مصلحت و چارچوب نظری</w:t>
      </w:r>
      <w:bookmarkEnd w:id="26"/>
    </w:p>
    <w:p>
      <w:pPr>
        <w:pStyle w:val="TH-Band"/>
        <w:widowControl/>
        <w:bidi w:val="1"/>
        <w:spacing w:before="280" w:after="160" w:line="336" w:lineRule="auto"/>
        <w:jc w:val="right"/>
        <w:keepNext w:val="1"/>
      </w:pPr>
      <w:bookmarkStart w:id="27" w:name="_Toc000027"/>
      <w:r>
        <w:rPr>
          <w:rFonts w:ascii="B Traffic" w:hAnsi="B Traffic" w:cs="B Traffic" w:eastAsia="B Traffic"/>
          <w:b/>
          <w:i w:val="0"/>
          <w:sz w:val="28"/>
          <w:szCs w:val="28"/>
          <w:rtl/>
        </w:rPr>
        <w:t>بند اول: مصلحت در لغت و اصطلاح</w:t>
      </w:r>
      <w:bookmarkEnd w:id="27"/>
    </w:p>
    <w:p>
      <w:pPr>
        <w:pStyle w:val="TH-Body"/>
        <w:widowControl/>
        <w:bidi w:val="1"/>
        <w:spacing w:before="0" w:after="200" w:line="336" w:lineRule="auto"/>
        <w:jc w:val="both"/>
      </w:pPr>
      <w:r>
        <w:rPr>
          <w:rFonts w:ascii="B Lotus" w:hAnsi="B Lotus" w:cs="B Lotus" w:eastAsia="B Lotus"/>
          <w:b w:val="0"/>
          <w:i w:val="0"/>
          <w:sz w:val="28"/>
          <w:szCs w:val="28"/>
        </w:rPr>
        <w:t>«مصلحت» از ریشه «صلاح» است؛ و صلاح یعنی درستی و به‌سامان بودن، در برابر فساد.</w:t>
      </w:r>
      <w:r>
        <w:rPr>
          <w:rFonts w:ascii="B Lotus" w:hAnsi="B Lotus" w:cs="B Lotus" w:eastAsia="B Lotus"/>
          <w:b w:val="0"/>
          <w:i w:val="0"/>
          <w:sz w:val="28"/>
          <w:szCs w:val="28"/>
          <w:vertAlign w:val="superscript"/>
        </w:rPr>
        <w:footnoteReference w:id="11"/>
      </w:r>
      <w:r>
        <w:rPr>
          <w:rFonts w:ascii="B Lotus" w:hAnsi="B Lotus" w:cs="B Lotus" w:eastAsia="B Lotus"/>
          <w:b w:val="0"/>
          <w:i w:val="0"/>
          <w:sz w:val="28"/>
          <w:szCs w:val="28"/>
        </w:rPr>
        <w:t xml:space="preserve"> در اصطلاح فقهی، مصلحت یعنی منفعت واقعی و نوعی که شارع در جعل احکام لحاظ کرده؛ و در ادبیات حکم حکومتی، یعنی منفعت نظام و امت که مبنای تصمیم حاکم قرار می‌گیرد. سه قید در این تعریف هست که هر سه حیاتی‌اند: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«واقعی»: مصلحتِ مجوز، مصلحت واقعی است نه پنداری؛ یعنی باید با کارشناسی و بررسی احراز شود، نه با حدس و گمان و توهم. حاکمی که بر مبنای توهم مصلحت تصمیم بگیرد، تصمیمش مجوز ندارد ـ هرچند خودش گمان کند دارد. این قید، جلوِ خودسری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«نوعی»: مصلحتِ مجوز، مصلحت نوعِ مردم و نظام است، نه مصلحت شخصی حاکم یا گروهش. تصمیمی که به نفع جناح حاکم و به ضرر کشور باشد، مصلحت نیست، سوءاستفاده است؛ و هیچ‌یک از مبانی این رساله شاملش نمی‌شود. این قید، جلوِ استبداد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و قید «اهم»: مصلحتِ مجوز، مصلحت «اهم» است؛ یعنی در ترازوی تزاحم، از وجوب وفا سنگین‌تر باشد. مصلحتِ مساوی یا ادنی، مجوز عدول نیست؛ چون تزاحم به نفع وفا حل می‌شود. این قید، جلوِ عهدشکنیِ آسان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این سه قید ـ واقعی، نوعی، اهم ـ مجموعاً «تعریف عملیاتی مصلحت» در این رساله‌اند؛ و هرجا از مصلحت سخن گفتم، همین سه قید را در ذهن داشته باشید.</w:t>
      </w:r>
    </w:p>
    <w:p>
      <w:pPr>
        <w:pStyle w:val="TH-Band"/>
        <w:widowControl/>
        <w:bidi w:val="1"/>
        <w:spacing w:before="280" w:after="160" w:line="336" w:lineRule="auto"/>
        <w:jc w:val="right"/>
        <w:keepNext w:val="1"/>
      </w:pPr>
      <w:bookmarkStart w:id="28" w:name="_Toc000028"/>
      <w:r>
        <w:rPr>
          <w:rFonts w:ascii="B Traffic" w:hAnsi="B Traffic" w:cs="B Traffic" w:eastAsia="B Traffic"/>
          <w:b/>
          <w:i w:val="0"/>
          <w:sz w:val="28"/>
          <w:szCs w:val="28"/>
          <w:rtl/>
        </w:rPr>
        <w:t>بند دوم: نسبت مصلحت با ضرورت بین‌المللی</w:t>
      </w:r>
      <w:bookmarkEnd w:id="28"/>
    </w:p>
    <w:p>
      <w:pPr>
        <w:pStyle w:val="TH-Body"/>
        <w:widowControl/>
        <w:bidi w:val="1"/>
        <w:spacing w:before="0" w:after="200" w:line="336" w:lineRule="auto"/>
        <w:jc w:val="both"/>
      </w:pPr>
      <w:r>
        <w:rPr>
          <w:rFonts w:ascii="B Lotus" w:hAnsi="B Lotus" w:cs="B Lotus" w:eastAsia="B Lotus"/>
          <w:b w:val="0"/>
          <w:i w:val="0"/>
          <w:sz w:val="28"/>
          <w:szCs w:val="28"/>
        </w:rPr>
        <w:t>در حقوق بین‌الملل، نزدیک‌ترین مفهوم به مصلحت، «ضرورت» (necessity) در ماده ۲۵ طرح مسئولیت است: وضعیتی که در آن دولت برای صیانت از منفعتی اساسی در برابر خطری شدید و قریب‌الوقوع، و به‌عنوان تنها راه چاره، از تعهدش عدول می‌کند.</w:t>
      </w:r>
      <w:r>
        <w:rPr>
          <w:rFonts w:ascii="B Lotus" w:hAnsi="B Lotus" w:cs="B Lotus" w:eastAsia="B Lotus"/>
          <w:b w:val="0"/>
          <w:i w:val="0"/>
          <w:sz w:val="28"/>
          <w:szCs w:val="28"/>
          <w:vertAlign w:val="superscript"/>
        </w:rPr>
        <w:footnoteReference w:id="12"/>
      </w:r>
      <w:r>
        <w:rPr>
          <w:rFonts w:ascii="B Lotus" w:hAnsi="B Lotus" w:cs="B Lotus" w:eastAsia="B Lotus"/>
          <w:b w:val="0"/>
          <w:i w:val="0"/>
          <w:sz w:val="28"/>
          <w:szCs w:val="28"/>
        </w:rPr>
        <w:t xml:space="preserve"> نسبت این دو مفهوم، عموم و خصوص من‌وجه است: هر ضرورتی مصلحت است، ولی هر مصلحتی ضرورت نیست؛ چون آستانه ضرورت (خطر شدید و قریب‌الوقوع + تنها راه بودن) خیلی بالاتر از آستانه مصلحت (اهم بودن واقعی)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عملی این نسبت‌سنجی ـ که در فصل پنجم تفصیل می‌دهم ـ این است: مصلحتی که از نظر فقهی مجوز عدول است، لزوماً در سطح بین‌المللی رافع مسئولیت نیست. یعنی ممکن است عدولی شرعاً کاملاً جایز باشد ولی بین‌المللاً مسئولیت بیاورد؛ و این دقیق‌ترین جلوه تفکیک سه‌گانه سطوح تحلیل است. این نکته را باید قاب گرفت و به دیوار اتاق هر تصمیم‌گیری آویخت.</w:t>
      </w:r>
    </w:p>
    <w:p>
      <w:pPr>
        <w:pStyle w:val="TH-Band"/>
        <w:widowControl/>
        <w:bidi w:val="1"/>
        <w:spacing w:before="280" w:after="160" w:line="336" w:lineRule="auto"/>
        <w:jc w:val="right"/>
        <w:keepNext w:val="1"/>
      </w:pPr>
      <w:bookmarkStart w:id="29" w:name="_Toc000029"/>
      <w:r>
        <w:rPr>
          <w:rFonts w:ascii="B Traffic" w:hAnsi="B Traffic" w:cs="B Traffic" w:eastAsia="B Traffic"/>
          <w:b/>
          <w:i w:val="0"/>
          <w:sz w:val="28"/>
          <w:szCs w:val="28"/>
          <w:rtl/>
        </w:rPr>
        <w:t>بند سوم: چارچوب نظری پژوهش</w:t>
      </w:r>
      <w:bookmarkEnd w:id="29"/>
    </w:p>
    <w:p>
      <w:pPr>
        <w:pStyle w:val="TH-Body"/>
        <w:widowControl/>
        <w:bidi w:val="1"/>
        <w:spacing w:before="0" w:after="200" w:line="336" w:lineRule="auto"/>
        <w:jc w:val="both"/>
      </w:pPr>
      <w:r>
        <w:rPr>
          <w:rFonts w:ascii="B Lotus" w:hAnsi="B Lotus" w:cs="B Lotus" w:eastAsia="B Lotus"/>
          <w:b w:val="0"/>
          <w:i w:val="0"/>
          <w:sz w:val="28"/>
          <w:szCs w:val="28"/>
        </w:rPr>
        <w:t>چارچوب نظری این پژوهش بر سه پایه استوار است که هر سه در فصول آینده بسط می‌یابند:</w:t>
      </w:r>
    </w:p>
    <w:p>
      <w:pPr>
        <w:pStyle w:val="TH-Body"/>
        <w:widowControl/>
        <w:bidi w:val="1"/>
        <w:spacing w:before="0" w:after="200" w:line="336" w:lineRule="auto"/>
        <w:ind w:firstLine="283"/>
        <w:jc w:val="both"/>
      </w:pPr>
      <w:r>
        <w:rPr>
          <w:rFonts w:ascii="B Lotus" w:hAnsi="B Lotus" w:cs="B Lotus" w:eastAsia="B Lotus"/>
          <w:b w:val="0"/>
          <w:i w:val="0"/>
          <w:sz w:val="28"/>
          <w:szCs w:val="28"/>
        </w:rPr>
        <w:t>پایه اول، «قاعده تزاحم»: نسبت وجوب وفای به عهد و وجوب حفظ نظام و مصلحت اهم، نسبت تزاحمی است نه تعارضی؛ یعنی هر دو حکم در مقام جعل باقی‌اند ولی در مقام امتثال با هم تزاحم کرده‌اند، و راه‌حل، تقدیم اهم است. این پایه، مبنای فقهیِ جواز عدول است.</w:t>
      </w:r>
    </w:p>
    <w:p>
      <w:pPr>
        <w:pStyle w:val="TH-Body"/>
        <w:widowControl/>
        <w:bidi w:val="1"/>
        <w:spacing w:before="0" w:after="200" w:line="336" w:lineRule="auto"/>
        <w:ind w:firstLine="283"/>
        <w:jc w:val="both"/>
      </w:pPr>
      <w:r>
        <w:rPr>
          <w:rFonts w:ascii="B Lotus" w:hAnsi="B Lotus" w:cs="B Lotus" w:eastAsia="B Lotus"/>
          <w:b w:val="0"/>
          <w:i w:val="0"/>
          <w:sz w:val="28"/>
          <w:szCs w:val="28"/>
        </w:rPr>
        <w:t>پایه دوم، «نظریه حکم حکومتی»: ولی فقیه در مقام اداره نظام، می‌تواند بر مبنای مصلحت اهم، حکمی صادر کند که احکام فرعیه ـ و به طریق اولی التزام به معاهده ـ را در مقام اجرا کنار بزند. این پایه، مبنای نهادیِ جواز عدول است؛ یعنی نشان می‌دهد «چه کسی» و «با چه سازوکاری» می‌تواند عدول کند.</w:t>
      </w:r>
    </w:p>
    <w:p>
      <w:pPr>
        <w:pStyle w:val="TH-Body"/>
        <w:widowControl/>
        <w:bidi w:val="1"/>
        <w:spacing w:before="0" w:after="200" w:line="336" w:lineRule="auto"/>
        <w:ind w:firstLine="283"/>
        <w:jc w:val="both"/>
      </w:pPr>
      <w:r>
        <w:rPr>
          <w:rFonts w:ascii="B Lotus" w:hAnsi="B Lotus" w:cs="B Lotus" w:eastAsia="B Lotus"/>
          <w:b w:val="0"/>
          <w:i w:val="0"/>
          <w:sz w:val="28"/>
          <w:szCs w:val="28"/>
        </w:rPr>
        <w:t>و پایه سوم، «تفکیک سطوح تحلیل»: جواز فقهی، مشروعیت داخلی و مسئولیت بین‌المللی سه سطح مستقل‌اند که هرکدام مرجع و معیار خودشان را دارند. این پایه، مبنای روشیِ رساله است؛ یعنی نشان می‌دهد «چگونه» باید مسئله را تحلیل کرد تا دچار خلط نشد.</w:t>
      </w:r>
    </w:p>
    <w:p>
      <w:pPr>
        <w:pStyle w:val="TH-Body"/>
        <w:widowControl/>
        <w:bidi w:val="1"/>
        <w:spacing w:before="0" w:after="200" w:line="336" w:lineRule="auto"/>
        <w:ind w:firstLine="283"/>
        <w:jc w:val="both"/>
      </w:pPr>
      <w:r>
        <w:rPr>
          <w:rFonts w:ascii="B Lotus" w:hAnsi="B Lotus" w:cs="B Lotus" w:eastAsia="B Lotus"/>
          <w:b w:val="0"/>
          <w:i w:val="0"/>
          <w:sz w:val="28"/>
          <w:szCs w:val="28"/>
        </w:rPr>
        <w:t>این سه پایه، مجموعاً چارچوبی می‌سازند که هم استدلال فقهی را پوشش می‌دهد، هم تحلیل حقوقی را، و هم کاربرد عملی را. و اگر بخواهم در یک جمله بگویم: این رساله می‌گوید حاکم اسلامی «می‌تواند» از تعهد زیان‌بار عدول کند (پایه اول و دوم)، ولی باید بداند این عدول «چه آثاری» دارد و «چگونه» باید مدیریتش کند (پایه سوم).</w:t>
      </w:r>
    </w:p>
    <w:p>
      <w:pPr>
        <w:pStyle w:val="TH-Goftar"/>
        <w:widowControl/>
        <w:bidi w:val="1"/>
        <w:spacing w:before="280" w:after="160" w:line="336" w:lineRule="auto"/>
        <w:jc w:val="right"/>
        <w:keepNext w:val="1"/>
        <w:shd w:val="clear" w:fill="EDEDED"/>
      </w:pPr>
      <w:bookmarkStart w:id="30" w:name="_Toc000030"/>
      <w:r>
        <w:rPr>
          <w:rFonts w:ascii="B Titr" w:hAnsi="B Titr" w:cs="B Titr" w:eastAsia="B Titr"/>
          <w:b/>
          <w:i w:val="0"/>
          <w:sz w:val="32"/>
          <w:szCs w:val="32"/>
          <w:rtl/>
        </w:rPr>
        <w:t>گفتار پنجم: پیشینه مفهومی عهد در فقه؛ هدنه، امان، ذمه و صلح</w:t>
      </w:r>
      <w:bookmarkEnd w:id="30"/>
    </w:p>
    <w:p>
      <w:pPr>
        <w:pStyle w:val="TH-Band"/>
        <w:widowControl/>
        <w:bidi w:val="1"/>
        <w:spacing w:before="280" w:after="160" w:line="336" w:lineRule="auto"/>
        <w:jc w:val="right"/>
        <w:keepNext w:val="1"/>
      </w:pPr>
      <w:bookmarkStart w:id="31" w:name="_Toc000031"/>
      <w:r>
        <w:rPr>
          <w:rFonts w:ascii="B Traffic" w:hAnsi="B Traffic" w:cs="B Traffic" w:eastAsia="B Traffic"/>
          <w:b/>
          <w:i w:val="0"/>
          <w:sz w:val="28"/>
          <w:szCs w:val="28"/>
          <w:rtl/>
        </w:rPr>
        <w:t>بند اول: چرا پیشینه فقهی لازم است؟</w:t>
      </w:r>
      <w:bookmarkEnd w:id="31"/>
    </w:p>
    <w:p>
      <w:pPr>
        <w:pStyle w:val="TH-Body"/>
        <w:widowControl/>
        <w:bidi w:val="1"/>
        <w:spacing w:before="0" w:after="200" w:line="336" w:lineRule="auto"/>
        <w:jc w:val="both"/>
      </w:pPr>
      <w:r>
        <w:rPr>
          <w:rFonts w:ascii="B Lotus" w:hAnsi="B Lotus" w:cs="B Lotus" w:eastAsia="B Lotus"/>
          <w:b w:val="0"/>
          <w:i w:val="0"/>
          <w:sz w:val="28"/>
          <w:szCs w:val="28"/>
        </w:rPr>
        <w:t>خواننده‌ای که فصل سوم را می‌خواند، مدام با واژه‌هایی مثل «هدنه» و «امان» و «ذمه» روبه‌رو می‌شود؛ واژه‌هایی که فقهای ما احکام عهدنامه‌ها را در قالب آن‌ها بحث کرده‌اند. اگر معنای دقیق این واژه‌ها دانسته نشود، استدلال‌های فصل سوم و چهارم بر هوا می‌ماند. پس این گفتار را به کالبدشکافیِ این مفاهیم اختصاص می‌دهم؛ با این هشدار که هیچ‌کدامشان دقیقاً معادل «معاهده بین‌المللی امروزی» نیستند و تعمیم احکامشان نیازمند احتیاط است ـ احتیاطی که در فصول بعدی رعایت می‌کنم.</w:t>
      </w:r>
    </w:p>
    <w:p>
      <w:pPr>
        <w:pStyle w:val="TH-Band"/>
        <w:widowControl/>
        <w:bidi w:val="1"/>
        <w:spacing w:before="280" w:after="160" w:line="336" w:lineRule="auto"/>
        <w:jc w:val="right"/>
        <w:keepNext w:val="1"/>
      </w:pPr>
      <w:bookmarkStart w:id="32" w:name="_Toc000032"/>
      <w:r>
        <w:rPr>
          <w:rFonts w:ascii="B Traffic" w:hAnsi="B Traffic" w:cs="B Traffic" w:eastAsia="B Traffic"/>
          <w:b/>
          <w:i w:val="0"/>
          <w:sz w:val="28"/>
          <w:szCs w:val="28"/>
          <w:rtl/>
        </w:rPr>
        <w:t>بند دوم: هدنه؛ آتش‌بس موقت</w:t>
      </w:r>
      <w:bookmarkEnd w:id="32"/>
    </w:p>
    <w:p>
      <w:pPr>
        <w:pStyle w:val="TH-Body"/>
        <w:widowControl/>
        <w:bidi w:val="1"/>
        <w:spacing w:before="0" w:after="200" w:line="336" w:lineRule="auto"/>
        <w:jc w:val="both"/>
      </w:pPr>
      <w:r>
        <w:rPr>
          <w:rFonts w:ascii="B Lotus" w:hAnsi="B Lotus" w:cs="B Lotus" w:eastAsia="B Lotus"/>
          <w:b w:val="0"/>
          <w:i w:val="0"/>
          <w:sz w:val="28"/>
          <w:szCs w:val="28"/>
        </w:rPr>
        <w:t>«هدنه» (به معنای سکون و آرامش) در فقه یعنی «آتش‌بس موقت با دشمن»؛ پیمانی که به موجب آن، جنگ برای مدتی معین متوقف می‌شود. فقها شرایطی برایش گذاشته‌اند که مهم‌ترینشان سه‌تاست: یکم، باید «موقت» باشد ـ چون صلح دائم با دشمنِ محارب، با وجوب جهاد ناسازگار است؛ ولی در «حداکثر مدت» اختلاف کرده‌اند: بعضی چهار ماه، بعضی یک سال، بعضی ده سال (به استناد مدت حدیبیه)، و بعضی هر مدتی که مصلحت اقتضا کند.</w:t>
      </w:r>
      <w:r>
        <w:rPr>
          <w:rFonts w:ascii="B Lotus" w:hAnsi="B Lotus" w:cs="B Lotus" w:eastAsia="B Lotus"/>
          <w:b w:val="0"/>
          <w:i w:val="0"/>
          <w:sz w:val="28"/>
          <w:szCs w:val="28"/>
          <w:vertAlign w:val="superscript"/>
        </w:rPr>
        <w:footnoteReference w:id="13"/>
      </w:r>
      <w:r>
        <w:rPr>
          <w:rFonts w:ascii="B Lotus" w:hAnsi="B Lotus" w:cs="B Lotus" w:eastAsia="B Lotus"/>
          <w:b w:val="0"/>
          <w:i w:val="0"/>
          <w:sz w:val="28"/>
          <w:szCs w:val="28"/>
        </w:rPr>
        <w:t xml:space="preserve"> دوم، باید با «مصلحت» باشد ـ یعنی حاکم باید تشخیص بدهد که آتش‌بس به نفع اسلام و مسلمین است (مثل فرصت تجدید قوا یا دعوت دشمن به اسلام). و سوم، باید با «اذن حاکم» باشد ـ چون تصمیم جنگ و صلح، از شئون حکومت است، نه اشخاص.</w:t>
      </w:r>
    </w:p>
    <w:p>
      <w:pPr>
        <w:pStyle w:val="TH-Body"/>
        <w:widowControl/>
        <w:bidi w:val="1"/>
        <w:spacing w:before="0" w:after="200" w:line="336" w:lineRule="auto"/>
        <w:ind w:firstLine="283"/>
        <w:jc w:val="both"/>
      </w:pPr>
      <w:r>
        <w:rPr>
          <w:rFonts w:ascii="B Lotus" w:hAnsi="B Lotus" w:cs="B Lotus" w:eastAsia="B Lotus"/>
          <w:b w:val="0"/>
          <w:i w:val="0"/>
          <w:sz w:val="28"/>
          <w:szCs w:val="28"/>
        </w:rPr>
        <w:t>نسبتش با مسئله من در دو نکته است. نکته اول: هدنه، نزدیک‌ترین نهادِ فقهی به «معاهده موقتِ امنیتیِ امروزی» (مثل آتش‌بس و موافقت‌نامه ترک مخاصمه) است؛ ولی فرق مهمش این است که هدنه ذاتاً «موقت» است، در حالی که معاهدات امروزی غالباً بلندمدت یا دائم‌اند. پس تعمیم مستقیمِ احکام هدنه به معاهدات امروزی، نیازمند توجیه است. نکته دوم ـ و مهم‌تر ـ: قول مشهور فقها این است که حاکم می‌تواند هدنه را «عند المصلحة» فسخ کند ـ یعنی اگر مصلحت اقتضا کند، آتش‌بس را برهم بزند (البته با اعلام قبلی، همان انباذ).</w:t>
      </w:r>
      <w:r>
        <w:rPr>
          <w:rFonts w:ascii="B Lotus" w:hAnsi="B Lotus" w:cs="B Lotus" w:eastAsia="B Lotus"/>
          <w:b w:val="0"/>
          <w:i w:val="0"/>
          <w:sz w:val="28"/>
          <w:szCs w:val="28"/>
          <w:vertAlign w:val="superscript"/>
        </w:rPr>
        <w:footnoteReference w:id="14"/>
      </w:r>
      <w:r>
        <w:rPr>
          <w:rFonts w:ascii="B Lotus" w:hAnsi="B Lotus" w:cs="B Lotus" w:eastAsia="B Lotus"/>
          <w:b w:val="0"/>
          <w:i w:val="0"/>
          <w:sz w:val="28"/>
          <w:szCs w:val="28"/>
        </w:rPr>
        <w:t xml:space="preserve"> این قولِ مشهور، مهم‌ترین سابقه فقهیِ «جواز عدول مصلحتی» است و من در فصل چهارم از آن بهره می‌گیرم؛ ولی با این قید که هدنه با معاهده امروزی فرق دارد و تعمیم، محتاج دلیلِ مستقل است ـ که همان تزاحم و حکم حکومتی است.</w:t>
      </w:r>
    </w:p>
    <w:p>
      <w:pPr>
        <w:pStyle w:val="TH-Band"/>
        <w:widowControl/>
        <w:bidi w:val="1"/>
        <w:spacing w:before="280" w:after="160" w:line="336" w:lineRule="auto"/>
        <w:jc w:val="right"/>
        <w:keepNext w:val="1"/>
      </w:pPr>
      <w:bookmarkStart w:id="33" w:name="_Toc000033"/>
      <w:r>
        <w:rPr>
          <w:rFonts w:ascii="B Traffic" w:hAnsi="B Traffic" w:cs="B Traffic" w:eastAsia="B Traffic"/>
          <w:b/>
          <w:i w:val="0"/>
          <w:sz w:val="28"/>
          <w:szCs w:val="28"/>
          <w:rtl/>
        </w:rPr>
        <w:t>بند سوم: امان؛ تأمین فردی و جمعی</w:t>
      </w:r>
      <w:bookmarkEnd w:id="33"/>
    </w:p>
    <w:p>
      <w:pPr>
        <w:pStyle w:val="TH-Body"/>
        <w:widowControl/>
        <w:bidi w:val="1"/>
        <w:spacing w:before="0" w:after="200" w:line="336" w:lineRule="auto"/>
        <w:jc w:val="both"/>
      </w:pPr>
      <w:r>
        <w:rPr>
          <w:rFonts w:ascii="B Lotus" w:hAnsi="B Lotus" w:cs="B Lotus" w:eastAsia="B Lotus"/>
          <w:b w:val="0"/>
          <w:i w:val="0"/>
          <w:sz w:val="28"/>
          <w:szCs w:val="28"/>
        </w:rPr>
        <w:t>«امان» یعنی «تأمین»؛ پیمانی که به موجب آن، به شخص یا گروهی از غیرمسلمانان (حربی) امنیت جانی و مالی داده می‌شود تا وارد دارالاسلام شوند (امان‌نامه تجاری و سفارتی، صورت‌های امروزی‌اش است). فرقش با هدنه در این است که هدنه «جمعی و متقابل» است (میان دو لشکر یا دو حکومت)، ولی امان می‌تواند «فردی و یک‌طرفه» هم باشد (مثل امانی که یک مسلمان به یک حربی می‌دهد). فقها گفته‌اند که امانِ هر مسلمانِ بالغِ عاقل ـ حتی زن و برده ـ برای همه مسلمانان لازم‌الاتباع است؛ چون «ذمه مسلمانان واحد است».</w:t>
      </w:r>
      <w:r>
        <w:rPr>
          <w:rFonts w:ascii="B Lotus" w:hAnsi="B Lotus" w:cs="B Lotus" w:eastAsia="B Lotus"/>
          <w:b w:val="0"/>
          <w:i w:val="0"/>
          <w:sz w:val="28"/>
          <w:szCs w:val="28"/>
          <w:vertAlign w:val="superscript"/>
        </w:rPr>
        <w:footnoteReference w:id="15"/>
      </w:r>
    </w:p>
    <w:p>
      <w:pPr>
        <w:pStyle w:val="TH-Body"/>
        <w:widowControl/>
        <w:bidi w:val="1"/>
        <w:spacing w:before="0" w:after="200" w:line="336" w:lineRule="auto"/>
        <w:ind w:firstLine="283"/>
        <w:jc w:val="both"/>
      </w:pPr>
      <w:r>
        <w:rPr>
          <w:rFonts w:ascii="B Lotus" w:hAnsi="B Lotus" w:cs="B Lotus" w:eastAsia="B Lotus"/>
          <w:b w:val="0"/>
          <w:i w:val="0"/>
          <w:sz w:val="28"/>
          <w:szCs w:val="28"/>
        </w:rPr>
        <w:t>نسبتش با مسئله من غیرمستقیم ولی مهم است: امان نشان می‌دهد که در فقه ما، «پیمان با غیرمسلمان» ـ حتی در سطح فردی ـ محترم و لازم‌الاتباع است؛ چه رسد به پیمانِ حکومتیِ رسمی. پس قاعده وفا، دامنه‌اش از فرد تا حکومت گسترده است و نمی‌شود آن را به عقود خصوصی محدود کرد. و نیز نشان می‌دهد که «امنیتِ ناشی از عهد» در اسلام، حقی برای طرف مقابل می‌سازد که نقض بی‌مجوزش، ظلم است ـ حتی اگر طرف، غیرمسلمان باشد. این، اوجِ جهان‌شمولیِ اخلاقِ عهد در اسلام است.</w:t>
      </w:r>
    </w:p>
    <w:p>
      <w:pPr>
        <w:pStyle w:val="TH-Band"/>
        <w:widowControl/>
        <w:bidi w:val="1"/>
        <w:spacing w:before="280" w:after="160" w:line="336" w:lineRule="auto"/>
        <w:jc w:val="right"/>
        <w:keepNext w:val="1"/>
      </w:pPr>
      <w:bookmarkStart w:id="34" w:name="_Toc000034"/>
      <w:r>
        <w:rPr>
          <w:rFonts w:ascii="B Traffic" w:hAnsi="B Traffic" w:cs="B Traffic" w:eastAsia="B Traffic"/>
          <w:b/>
          <w:i w:val="0"/>
          <w:sz w:val="28"/>
          <w:szCs w:val="28"/>
          <w:rtl/>
        </w:rPr>
        <w:t>بند چهارم: ذمه و صلح؛ پیمان‌های دائم</w:t>
      </w:r>
      <w:bookmarkEnd w:id="34"/>
    </w:p>
    <w:p>
      <w:pPr>
        <w:pStyle w:val="TH-Body"/>
        <w:widowControl/>
        <w:bidi w:val="1"/>
        <w:spacing w:before="0" w:after="200" w:line="336" w:lineRule="auto"/>
        <w:jc w:val="both"/>
      </w:pPr>
      <w:r>
        <w:rPr>
          <w:rFonts w:ascii="B Lotus" w:hAnsi="B Lotus" w:cs="B Lotus" w:eastAsia="B Lotus"/>
          <w:b w:val="0"/>
          <w:i w:val="0"/>
          <w:sz w:val="28"/>
          <w:szCs w:val="28"/>
        </w:rPr>
        <w:t>«ذمه» (عقد ذمه) پیمانی است که به موجب آن، اقلیت‌های دینیِ (اهل کتاب) در پناه حکومت اسلامی قرار می‌گیرند و در برابرِ پرداخت جزیه، از جان و مال و دینشان حمایت می‌شود. و «صلح» (به معنای خاص: مصالحه با دشمن بر ترک جنگ در برابر مال یا شرایطی) صورت دیگری از پیمان است که می‌تواند دائم باشد.</w:t>
      </w:r>
      <w:r>
        <w:rPr>
          <w:rFonts w:ascii="B Lotus" w:hAnsi="B Lotus" w:cs="B Lotus" w:eastAsia="B Lotus"/>
          <w:b w:val="0"/>
          <w:i w:val="0"/>
          <w:sz w:val="28"/>
          <w:szCs w:val="28"/>
          <w:vertAlign w:val="superscript"/>
        </w:rPr>
        <w:footnoteReference w:id="16"/>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ذمه و صلح برای مسئله من در این است که نشان می‌دهند فقه ما، «پیمان دائم با غیرمسلمان» را هم می‌شناسد ـ نه فقط پیمان موقت (هدنه). پس این استدلال که «در اسلام، پیمان با بیگانه فقط موقت است و معاهده دائم امروزی اصلاً مشروع نیست»، با ادبیات فقهی ما سازگار نیست. ذمه، پیمانی دائم است و مشروع؛ و معاهده امروزی ـ اگر شرایطش را داشته باشد ـ می‌تواند در همین منطق بگنجد. البته ـ چنان‌که بارها گفته‌ام ـ تعمیم، نیازمند احتیاط است؛ ولی «اصلِ امکانِ پیمانِ بلندمدت» در فقه ما پذیرفته شده و انکارش، انکارِ بدیهیاتِ فقهی است.</w:t>
      </w:r>
    </w:p>
    <w:p>
      <w:pPr>
        <w:pStyle w:val="TH-Band"/>
        <w:widowControl/>
        <w:bidi w:val="1"/>
        <w:spacing w:before="280" w:after="160" w:line="336" w:lineRule="auto"/>
        <w:jc w:val="right"/>
        <w:keepNext w:val="1"/>
      </w:pPr>
      <w:bookmarkStart w:id="35" w:name="_Toc000035"/>
      <w:r>
        <w:rPr>
          <w:rFonts w:ascii="B Traffic" w:hAnsi="B Traffic" w:cs="B Traffic" w:eastAsia="B Traffic"/>
          <w:b/>
          <w:i w:val="0"/>
          <w:sz w:val="28"/>
          <w:szCs w:val="28"/>
          <w:rtl/>
        </w:rPr>
        <w:t>بند پنجم: جمع‌بندی؛ از نهادهای کهن تا معاهده مدرن</w:t>
      </w:r>
      <w:bookmarkEnd w:id="35"/>
    </w:p>
    <w:p>
      <w:pPr>
        <w:pStyle w:val="TH-Body"/>
        <w:widowControl/>
        <w:bidi w:val="1"/>
        <w:spacing w:before="0" w:after="200" w:line="336" w:lineRule="auto"/>
        <w:jc w:val="both"/>
      </w:pPr>
      <w:r>
        <w:rPr>
          <w:rFonts w:ascii="B Lotus" w:hAnsi="B Lotus" w:cs="B Lotus" w:eastAsia="B Lotus"/>
          <w:b w:val="0"/>
          <w:i w:val="0"/>
          <w:sz w:val="28"/>
          <w:szCs w:val="28"/>
        </w:rPr>
        <w:t>از مجموع این چهار نهاد (هدنه، امان، ذمه، صلح) تصویرِ کاملی از «فقهِ عهدنامه‌ها» درمی‌آید؛ فقهی که هم پیمان موقت را می‌شناسد (هدنه)، هم پیمان فردی (امان)، هم پیمان دائم (ذمه و صلح)؛ هم وفا را واجب می‌داند، هم عدولِ مصلحتیِ ضابطه‌مند را می‌پذیرد (فسخ هدنه عند المصلحة)؛ و هم شیوه عدول را مقید می‌کند (انباذ). این منظومه، «سرمایه» فقه ماست در گفت‌وگو با حقوق بین‌الملل؛ سرمایه‌ای که اگر درست به کار رود، می‌تواند مبنای «فقهِ معاهداتِ امروزی» شود ـ فقهی که هنوز به‌صورت مدون نداریم و این رساله، گامی ـ هرچند کوچک ـ در راه ساختن آن است.</w:t>
      </w:r>
    </w:p>
    <w:p>
      <w:pPr>
        <w:pStyle w:val="TH-Goftar"/>
        <w:widowControl/>
        <w:bidi w:val="1"/>
        <w:spacing w:before="280" w:after="160" w:line="336" w:lineRule="auto"/>
        <w:jc w:val="right"/>
        <w:keepNext w:val="1"/>
        <w:shd w:val="clear" w:fill="EDEDED"/>
      </w:pPr>
      <w:bookmarkStart w:id="36" w:name="_Toc000036"/>
      <w:r>
        <w:rPr>
          <w:rFonts w:ascii="B Titr" w:hAnsi="B Titr" w:cs="B Titr" w:eastAsia="B Titr"/>
          <w:b/>
          <w:i w:val="0"/>
          <w:sz w:val="32"/>
          <w:szCs w:val="32"/>
          <w:rtl/>
        </w:rPr>
        <w:t>حاصل فصل اول</w:t>
      </w:r>
      <w:bookmarkEnd w:id="36"/>
    </w:p>
    <w:p>
      <w:pPr>
        <w:pStyle w:val="TH-Body"/>
        <w:widowControl/>
        <w:bidi w:val="1"/>
        <w:spacing w:before="0" w:after="200" w:line="336" w:lineRule="auto"/>
        <w:jc w:val="both"/>
      </w:pPr>
      <w:r>
        <w:rPr>
          <w:rFonts w:ascii="B Lotus" w:hAnsi="B Lotus" w:cs="B Lotus" w:eastAsia="B Lotus"/>
          <w:b w:val="0"/>
          <w:i w:val="0"/>
          <w:sz w:val="28"/>
          <w:szCs w:val="28"/>
        </w:rPr>
        <w:t>حاصل این فصل، تنقیح مفاهیم و تحدید محل بحث است: معاهده یعنی توافق کتبی میان دولت‌ها تابع حقوق بین‌الملل؛ ولی فقیه یعنی مقام رهبری در نظام جمهوری اسلامی؛ عدول یعنی تصمیم یک‌جانبه و فوق‌العاده حاکم بر توقف یا تعلیق اجرا در مقام تزاحم؛ و مصلحت یعنی منفعت واقعی و نوعی و اهم نظام و امت. از این‌جا به بعد، هرجا این واژه‌ها را به کار بردم، همین معانی مضیق و فنی را اراده کرده‌ام؛ و خواننده‌ای که این قیدها را فراموش کند، در فصول بعدی گم خواهد شد. با این نقشه مفهومی، حالا می‌شود وارد کلیات شد: این‌که حقوق معاهدات چه می‌گوید و قانون اساسی ما چه جایگاهی برای این بحث پیش‌بینی کرده.</w:t>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37" w:name="_Toc000037"/>
      <w:r>
        <w:rPr>
          <w:rFonts w:ascii="B Titr" w:hAnsi="B Titr" w:cs="B Titr" w:eastAsia="B Titr"/>
          <w:b/>
          <w:i w:val="0"/>
          <w:sz w:val="44"/>
          <w:szCs w:val="44"/>
          <w:rtl/>
        </w:rPr>
        <w:t>فصل دوم: کلیات حقوق معاهدات و قانون اساسی</w:t>
      </w:r>
      <w:bookmarkEnd w:id="37"/>
    </w:p>
    <w:p>
      <w:pPr>
        <w:pStyle w:val="TH-Body"/>
        <w:widowControl/>
        <w:bidi w:val="1"/>
        <w:spacing w:before="0" w:after="200" w:line="336" w:lineRule="auto"/>
        <w:jc w:val="both"/>
      </w:pPr>
      <w:r>
        <w:rPr>
          <w:rFonts w:ascii="B Lotus" w:hAnsi="B Lotus" w:cs="B Lotus" w:eastAsia="B Lotus"/>
          <w:b w:val="0"/>
          <w:i w:val="0"/>
          <w:sz w:val="28"/>
          <w:szCs w:val="28"/>
        </w:rPr>
        <w:t>در فصل اول نقشه مفاهیم را کشیدم؛ حالا باید زمین بازی را بشناسم. این فصل دو نیمه دارد که هر دو «کلیات»‌اند ولی از دو دنیای مختلف: نیمه اول، نظام حقوق معاهدات ـ یعنی قواعدی که جامعه بین‌المللی برای پیمان‌بستن و پیمان‌شکستن گذاشته؛ و نیمه دوم، قانون اساسی جمهوری اسلامی ـ یعنی چارچوبی که نظام ما برای همین موضوع پیش‌بینی کرده. خواننده‌ای که این فصل را خوب بخواند، در فصول بعدی هرگز احساس غریبگی نمی‌کند؛ چون هر اصطلاح حقوقی و هر اصل قانون اساسی را یک‌بار این‌جا دیده است.</w:t>
      </w:r>
    </w:p>
    <w:p>
      <w:pPr>
        <w:pStyle w:val="TH-Goftar"/>
        <w:widowControl/>
        <w:bidi w:val="1"/>
        <w:spacing w:before="280" w:after="160" w:line="336" w:lineRule="auto"/>
        <w:jc w:val="right"/>
        <w:keepNext w:val="1"/>
        <w:shd w:val="clear" w:fill="EDEDED"/>
      </w:pPr>
      <w:bookmarkStart w:id="38" w:name="_Toc000038"/>
      <w:r>
        <w:rPr>
          <w:rFonts w:ascii="B Titr" w:hAnsi="B Titr" w:cs="B Titr" w:eastAsia="B Titr"/>
          <w:b/>
          <w:i w:val="0"/>
          <w:sz w:val="32"/>
          <w:szCs w:val="32"/>
          <w:rtl/>
        </w:rPr>
        <w:t>گفتار اول: تاریخچه و اصول حقوق معاهدات</w:t>
      </w:r>
      <w:bookmarkEnd w:id="38"/>
    </w:p>
    <w:p>
      <w:pPr>
        <w:pStyle w:val="TH-Band"/>
        <w:widowControl/>
        <w:bidi w:val="1"/>
        <w:spacing w:before="280" w:after="160" w:line="336" w:lineRule="auto"/>
        <w:jc w:val="right"/>
        <w:keepNext w:val="1"/>
      </w:pPr>
      <w:bookmarkStart w:id="39" w:name="_Toc000039"/>
      <w:r>
        <w:rPr>
          <w:rFonts w:ascii="B Traffic" w:hAnsi="B Traffic" w:cs="B Traffic" w:eastAsia="B Traffic"/>
          <w:b/>
          <w:i w:val="0"/>
          <w:sz w:val="28"/>
          <w:szCs w:val="28"/>
          <w:rtl/>
        </w:rPr>
        <w:t>بند اول: از عرف تا وین؛ تاریخچه‌ای کوتاه</w:t>
      </w:r>
      <w:bookmarkEnd w:id="39"/>
    </w:p>
    <w:p>
      <w:pPr>
        <w:pStyle w:val="TH-Body"/>
        <w:widowControl/>
        <w:bidi w:val="1"/>
        <w:spacing w:before="0" w:after="200" w:line="336" w:lineRule="auto"/>
        <w:jc w:val="both"/>
      </w:pPr>
      <w:r>
        <w:rPr>
          <w:rFonts w:ascii="B Lotus" w:hAnsi="B Lotus" w:cs="B Lotus" w:eastAsia="B Lotus"/>
          <w:b w:val="0"/>
          <w:i w:val="0"/>
          <w:sz w:val="28"/>
          <w:szCs w:val="28"/>
        </w:rPr>
        <w:t>حقوق معاهدات قدمتی به‌اندازه تمدن دارد؛ چون هرجا دو قدرت با هم پیمانی بسته‌اند، پرسش از اعتبار و آثارش هم پیش آمده. ولی صورت مدون و نظام‌مندش، پدیده قرن بیستم است. تا پیش از جنگ جهانی اول، حقوق معاهدات عمدتاً عرفی و پراکنده بود؛ عهدنامه‌هایی بسته می‌شد و عرفی هم درباره آثارشان شکل می‌گرفت، ولی متن مدون و مرجعی نبود. بعد از جنگ اول و تأسیس جامعه ملل، گام‌هایی برداشته شد؛ ولی نقطه عطف واقعی، تأسیس سازمان ملل (۱۹۴۵) و آغاز کار کمیسیون حقوق بین‌الملل (۱۹۴۹) بود. این کمیسیون ـ که رکن فرعی مجمع عمومی و متشکل از حقوق‌دانان برجسته جهان است ـ تدوین حقوق معاهدات را در دستور کارش گذاشت و پس از دهه‌ها کار و گزارش‌های گزارشگران ویژه (از جمله فیتزموریس و والداک)، سرانجام کنوانسیون وین حقوق معاهدات در سال ۱۹۶۹ تصویب شد و در سال ۱۹۸۰ لازم‌الاجرا گردید.</w:t>
      </w:r>
      <w:r>
        <w:rPr>
          <w:rFonts w:ascii="B Lotus" w:hAnsi="B Lotus" w:cs="B Lotus" w:eastAsia="B Lotus"/>
          <w:b w:val="0"/>
          <w:i w:val="0"/>
          <w:sz w:val="28"/>
          <w:szCs w:val="28"/>
          <w:vertAlign w:val="superscript"/>
        </w:rPr>
        <w:footnoteReference w:id="17"/>
      </w:r>
    </w:p>
    <w:p>
      <w:pPr>
        <w:pStyle w:val="TH-Body"/>
        <w:widowControl/>
        <w:bidi w:val="1"/>
        <w:spacing w:before="0" w:after="200" w:line="336" w:lineRule="auto"/>
        <w:ind w:firstLine="283"/>
        <w:jc w:val="both"/>
      </w:pPr>
      <w:r>
        <w:rPr>
          <w:rFonts w:ascii="B Lotus" w:hAnsi="B Lotus" w:cs="B Lotus" w:eastAsia="B Lotus"/>
          <w:b w:val="0"/>
          <w:i w:val="0"/>
          <w:sz w:val="28"/>
          <w:szCs w:val="28"/>
        </w:rPr>
        <w:t>کنوانسیون وین در ۸۵ ماده، تقریباً همه مسائل معاهدات را پوشش می‌دهد: انعقاد، اعتبار، تفسیر، اجرا، تعلیق، خاتمه، و حق شرط. هرچند همه دولت‌ها عضو آن نیستند (از جمله ایران که آن را امضا ولی تصویب نکرده)، ولی بسیاری از قواعدش ـ چنان‌که رویه دیوان بین‌المللی دادگستری نشان می‌دهد ـ جنبه عرفی پیدا کرده و حتی بر غیراعضا هم اعمال می‌شود. پس در این رساله، وین را به‌مثابه «بیان عرف بین‌المللی» به کار می‌برم، نه فقط به‌مثابه معاهده‌ای که ایران عضو آن نیست. این موضع روشی مهم است و باید از اول روشن باشد.</w:t>
      </w:r>
    </w:p>
    <w:p>
      <w:pPr>
        <w:pStyle w:val="TH-Band"/>
        <w:widowControl/>
        <w:bidi w:val="1"/>
        <w:spacing w:before="280" w:after="160" w:line="336" w:lineRule="auto"/>
        <w:jc w:val="right"/>
        <w:keepNext w:val="1"/>
      </w:pPr>
      <w:bookmarkStart w:id="40" w:name="_Toc000040"/>
      <w:r>
        <w:rPr>
          <w:rFonts w:ascii="B Traffic" w:hAnsi="B Traffic" w:cs="B Traffic" w:eastAsia="B Traffic"/>
          <w:b/>
          <w:i w:val="0"/>
          <w:sz w:val="28"/>
          <w:szCs w:val="28"/>
          <w:rtl/>
        </w:rPr>
        <w:t>بند دوم: اصل بنیادین؛ پاکتا سونت سرواندا</w:t>
      </w:r>
      <w:bookmarkEnd w:id="40"/>
    </w:p>
    <w:p>
      <w:pPr>
        <w:pStyle w:val="TH-Body"/>
        <w:widowControl/>
        <w:bidi w:val="1"/>
        <w:spacing w:before="0" w:after="200" w:line="336" w:lineRule="auto"/>
        <w:jc w:val="both"/>
      </w:pPr>
      <w:r>
        <w:rPr>
          <w:rFonts w:ascii="B Lotus" w:hAnsi="B Lotus" w:cs="B Lotus" w:eastAsia="B Lotus"/>
          <w:b w:val="0"/>
          <w:i w:val="0"/>
          <w:sz w:val="28"/>
          <w:szCs w:val="28"/>
        </w:rPr>
        <w:t>قلب تپنده حقوق معاهدات، اصلی است با نام لاتین «پاکتا سونت سرواندا» ـ یعنی «پیمان‌ها باید محترم شمرده شوند» ـ که در ماده ۲۶ وین چنین بیان شده:</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هر معاهده لازم‌الاجرایی اطراف آن را متعهد می‌کند و باید با حسن نیت اجرا شود.</w:t>
      </w:r>
      <w:r>
        <w:rPr>
          <w:rFonts w:ascii="B Badr" w:hAnsi="B Badr" w:cs="B Badr" w:eastAsia="B Badr"/>
          <w:b w:val="0"/>
          <w:i w:val="0"/>
          <w:sz w:val="26"/>
          <w:szCs w:val="26"/>
          <w:vertAlign w:val="superscript"/>
        </w:rPr>
        <w:footnoteReference w:id="18"/>
      </w:r>
    </w:p>
    <w:p>
      <w:pPr>
        <w:pStyle w:val="TH-Body"/>
        <w:widowControl/>
        <w:bidi w:val="1"/>
        <w:spacing w:before="0" w:after="200" w:line="336" w:lineRule="auto"/>
        <w:jc w:val="both"/>
      </w:pPr>
      <w:r>
        <w:rPr>
          <w:rFonts w:ascii="B Lotus" w:hAnsi="B Lotus" w:cs="B Lotus" w:eastAsia="B Lotus"/>
          <w:b w:val="0"/>
          <w:i w:val="0"/>
          <w:sz w:val="28"/>
          <w:szCs w:val="28"/>
        </w:rPr>
        <w:t>این اصل، برابرنهاد حقوقیِ همان «اوفوا بالعقود» ماست؛ و همین خویشاوندی است که گفت‌وگوی فقه و حقوق را ممکن می‌کند. دو جزء دارد: جزء اول (تعهدآور بودن) یعنی معاهده قانونِ اطراف است و نمی‌شود به‌دلخواه از آن شانه خالی کرد؛ و جزء دوم (حسن نیت) یعنی اجرا باید صادقانه و منصفانه باشد، نه صوری و ترفندآمیز. دولتی که به حرفِ معاهده عمل می‌کند ولی روحش را نقض می‌کند ـ مثلاً با تفسیرهای مغرضانه یا تأخیرهای عمدی ـ ناقض حسن نیت است، هرچند ظاهراً اجرا کرده باشد.</w:t>
      </w:r>
    </w:p>
    <w:p>
      <w:pPr>
        <w:pStyle w:val="TH-Body"/>
        <w:widowControl/>
        <w:bidi w:val="1"/>
        <w:spacing w:before="0" w:after="200" w:line="336" w:lineRule="auto"/>
        <w:ind w:firstLine="283"/>
        <w:jc w:val="both"/>
      </w:pPr>
      <w:r>
        <w:rPr>
          <w:rFonts w:ascii="B Lotus" w:hAnsi="B Lotus" w:cs="B Lotus" w:eastAsia="B Lotus"/>
          <w:b w:val="0"/>
          <w:i w:val="0"/>
          <w:sz w:val="28"/>
          <w:szCs w:val="28"/>
        </w:rPr>
        <w:t>ولی ـ و این «ولی» مهم است ـ پاکتا سونت سرواندا در حقوق بین‌الملل هم مثل وجوب وفا در فقه ما، «قاعده اولی» است نه حکم مطلقِ بی‌استثنا. خودِ کنوانسیون وین استثناها و راه‌های خروجش را پیش‌بینی کرده: تعلیق، خاتمه، تغییر بنیادین اوضاع، نقض اساسی طرف مقابل، و… پس منطق وین هم مثل منطق فقه ماست: اصل، وفاست؛ ولی خروجِ ضابطه‌مند از اصل، ممکن است. این هم‌زبانیِ دو نظام، یکی از یافته‌های شیرین این پژوهش برای من بود.</w:t>
      </w:r>
    </w:p>
    <w:p>
      <w:pPr>
        <w:pStyle w:val="TH-Band"/>
        <w:widowControl/>
        <w:bidi w:val="1"/>
        <w:spacing w:before="280" w:after="160" w:line="336" w:lineRule="auto"/>
        <w:jc w:val="right"/>
        <w:keepNext w:val="1"/>
      </w:pPr>
      <w:bookmarkStart w:id="41" w:name="_Toc000041"/>
      <w:r>
        <w:rPr>
          <w:rFonts w:ascii="B Traffic" w:hAnsi="B Traffic" w:cs="B Traffic" w:eastAsia="B Traffic"/>
          <w:b/>
          <w:i w:val="0"/>
          <w:sz w:val="28"/>
          <w:szCs w:val="28"/>
          <w:rtl/>
        </w:rPr>
        <w:t>بند سوم: ماده ۲۷؛ دیوار میان داخلی و بین‌المللی</w:t>
      </w:r>
      <w:bookmarkEnd w:id="41"/>
    </w:p>
    <w:p>
      <w:pPr>
        <w:pStyle w:val="TH-Body"/>
        <w:widowControl/>
        <w:bidi w:val="1"/>
        <w:spacing w:before="0" w:after="200" w:line="336" w:lineRule="auto"/>
        <w:jc w:val="both"/>
      </w:pPr>
      <w:r>
        <w:rPr>
          <w:rFonts w:ascii="B Lotus" w:hAnsi="B Lotus" w:cs="B Lotus" w:eastAsia="B Lotus"/>
          <w:b w:val="0"/>
          <w:i w:val="0"/>
          <w:sz w:val="28"/>
          <w:szCs w:val="28"/>
        </w:rPr>
        <w:t>و حالا می‌رسم به ماده‌ای که شاید مهم‌ترین ماده وین برای مسئله من باشد؛ ماده‌ای که باید با طلا نوشت و قاب گرفت:</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هیچ طرفی نمی‌تواند به مقررات حقوق داخلی خود به‌عنوان توجیهی برای عدم اجرای معاهده استناد کند.</w:t>
      </w:r>
      <w:r>
        <w:rPr>
          <w:rFonts w:ascii="B Badr" w:hAnsi="B Badr" w:cs="B Badr" w:eastAsia="B Badr"/>
          <w:b w:val="0"/>
          <w:i w:val="0"/>
          <w:sz w:val="26"/>
          <w:szCs w:val="26"/>
          <w:vertAlign w:val="superscript"/>
        </w:rPr>
        <w:footnoteReference w:id="19"/>
      </w:r>
    </w:p>
    <w:p>
      <w:pPr>
        <w:pStyle w:val="TH-Body"/>
        <w:widowControl/>
        <w:bidi w:val="1"/>
        <w:spacing w:before="0" w:after="200" w:line="336" w:lineRule="auto"/>
        <w:jc w:val="both"/>
      </w:pPr>
      <w:r>
        <w:rPr>
          <w:rFonts w:ascii="B Lotus" w:hAnsi="B Lotus" w:cs="B Lotus" w:eastAsia="B Lotus"/>
          <w:b w:val="0"/>
          <w:i w:val="0"/>
          <w:sz w:val="28"/>
          <w:szCs w:val="28"/>
        </w:rPr>
        <w:t>معنایش روشن و بی‌رحم است: قانون اساسی‌ات، قوانین عادی‌ات، احکام شرع‌ات، حکم حکومتی ولی فقیه‌ات ـ همه از نظر حقوق بین‌الملل «حقوق داخلی»‌اند و هیچ‌کدام نمی‌توانند توجیه عدم اجرا در برابر طرف مقابل باشند. دولتی که به استناد قانون داخلی‌اش از اجرای معاهده سرباز بزند، «ناقض» است؛ و طرف مقابل حق دارد آثار نقض را مطالبه کند. تنها استثنای مضیق این قاعده در ماده ۴۶ آمده: وقتی نقض مقررات داخلی درباره صلاحیت انعقاد، «آشکار» باشد و به «قاعده بنیادین» حقوق داخلی مربوط شود ـ که آن هم ناظر به مرحله انعقاد است، نه اجرا.</w:t>
      </w:r>
      <w:r>
        <w:rPr>
          <w:rFonts w:ascii="B Lotus" w:hAnsi="B Lotus" w:cs="B Lotus" w:eastAsia="B Lotus"/>
          <w:b w:val="0"/>
          <w:i w:val="0"/>
          <w:sz w:val="28"/>
          <w:szCs w:val="28"/>
          <w:vertAlign w:val="superscript"/>
        </w:rPr>
        <w:footnoteReference w:id="20"/>
      </w:r>
    </w:p>
    <w:p>
      <w:pPr>
        <w:pStyle w:val="TH-Body"/>
        <w:widowControl/>
        <w:bidi w:val="1"/>
        <w:spacing w:before="0" w:after="200" w:line="336" w:lineRule="auto"/>
        <w:ind w:firstLine="283"/>
        <w:jc w:val="both"/>
      </w:pPr>
      <w:r>
        <w:rPr>
          <w:rFonts w:ascii="B Lotus" w:hAnsi="B Lotus" w:cs="B Lotus" w:eastAsia="B Lotus"/>
          <w:b w:val="0"/>
          <w:i w:val="0"/>
          <w:sz w:val="28"/>
          <w:szCs w:val="28"/>
        </w:rPr>
        <w:t>این ماده، دیوار بلندی میان «نظام داخلی» و «نظام بین‌المللی» می‌کشد؛ و هر توهمی را درباره سرایت جواز داخلی به سطح بین‌المللی از بین می‌برد. من این ماده را ستون فقرات تفکیک سه‌گانه‌ام می‌دانم: چون حکم حکومتی در نظام داخلی معتبر است ولی در نظام بین‌المللی توجیه نیست، پس «مشروعیت داخلی» و «مسئولیت بین‌المللی» دو سطح جدا هستند و باید جدا تحلیل شوند. هرکس این ماده را نفهمد، کل فصل پنجم را نخواهد فهمید.</w:t>
      </w:r>
    </w:p>
    <w:p>
      <w:pPr>
        <w:pStyle w:val="TH-Goftar"/>
        <w:widowControl/>
        <w:bidi w:val="1"/>
        <w:spacing w:before="280" w:after="160" w:line="336" w:lineRule="auto"/>
        <w:jc w:val="right"/>
        <w:keepNext w:val="1"/>
        <w:shd w:val="clear" w:fill="EDEDED"/>
      </w:pPr>
      <w:bookmarkStart w:id="42" w:name="_Toc000042"/>
      <w:r>
        <w:rPr>
          <w:rFonts w:ascii="B Titr" w:hAnsi="B Titr" w:cs="B Titr" w:eastAsia="B Titr"/>
          <w:b/>
          <w:i w:val="0"/>
          <w:sz w:val="32"/>
          <w:szCs w:val="32"/>
          <w:rtl/>
        </w:rPr>
        <w:t>گفتار دوم: سازوکارهای تعلیق و خاتمه موجه</w:t>
      </w:r>
      <w:bookmarkEnd w:id="42"/>
    </w:p>
    <w:p>
      <w:pPr>
        <w:pStyle w:val="TH-Band"/>
        <w:widowControl/>
        <w:bidi w:val="1"/>
        <w:spacing w:before="280" w:after="160" w:line="336" w:lineRule="auto"/>
        <w:jc w:val="right"/>
        <w:keepNext w:val="1"/>
      </w:pPr>
      <w:bookmarkStart w:id="43" w:name="_Toc000043"/>
      <w:r>
        <w:rPr>
          <w:rFonts w:ascii="B Traffic" w:hAnsi="B Traffic" w:cs="B Traffic" w:eastAsia="B Traffic"/>
          <w:b/>
          <w:i w:val="0"/>
          <w:sz w:val="28"/>
          <w:szCs w:val="28"/>
          <w:rtl/>
        </w:rPr>
        <w:t>بند اول: منطق کلی؛ خاتمه فقط از مجرای قانون</w:t>
      </w:r>
      <w:bookmarkEnd w:id="43"/>
    </w:p>
    <w:p>
      <w:pPr>
        <w:pStyle w:val="TH-Body"/>
        <w:widowControl/>
        <w:bidi w:val="1"/>
        <w:spacing w:before="0" w:after="200" w:line="336" w:lineRule="auto"/>
        <w:jc w:val="both"/>
      </w:pPr>
      <w:r>
        <w:rPr>
          <w:rFonts w:ascii="B Lotus" w:hAnsi="B Lotus" w:cs="B Lotus" w:eastAsia="B Lotus"/>
          <w:b w:val="0"/>
          <w:i w:val="0"/>
          <w:sz w:val="28"/>
          <w:szCs w:val="28"/>
        </w:rPr>
        <w:t>کنوانسیون وین در مواد ۵۴ تا ۶۴ سازوکارهای خاتمه و تعلیق را برشمرده؛ و منطق کلی‌اش در ماده ۵۴ و ۵۷ خلاصه می‌شود: خاتمه یا تعلیق فقط «بر اساس مقررات معاهده یا کنوانسیون» ممکن است؛ یعنی راه دیگری نیست.</w:t>
      </w:r>
      <w:r>
        <w:rPr>
          <w:rFonts w:ascii="B Lotus" w:hAnsi="B Lotus" w:cs="B Lotus" w:eastAsia="B Lotus"/>
          <w:b w:val="0"/>
          <w:i w:val="0"/>
          <w:sz w:val="28"/>
          <w:szCs w:val="28"/>
          <w:vertAlign w:val="superscript"/>
        </w:rPr>
        <w:footnoteReference w:id="21"/>
      </w:r>
      <w:r>
        <w:rPr>
          <w:rFonts w:ascii="B Lotus" w:hAnsi="B Lotus" w:cs="B Lotus" w:eastAsia="B Lotus"/>
          <w:b w:val="0"/>
          <w:i w:val="0"/>
          <w:sz w:val="28"/>
          <w:szCs w:val="28"/>
        </w:rPr>
        <w:t xml:space="preserve"> این انحصار، مهم است؛ چون معنایش این است که هر عدولی که در قالب این سازوکارها نگنجد، از نظر وین «ناموجه» است و آثار نقض را دارد. پس اولین کاری که حاکم عاقل قبل از عدول باید بکند، این است که ببیند آیا رفتارش را می‌شود در یکی از این قالب‌ها ریخت یا نه. این همان ضابطه دوم فصل چهارم (تقدم راه‌های حقوقی مندرج) است، ولی این‌جا از زبان خودِ وین.</w:t>
      </w:r>
    </w:p>
    <w:p>
      <w:pPr>
        <w:pStyle w:val="TH-Body"/>
        <w:widowControl/>
        <w:bidi w:val="1"/>
        <w:spacing w:before="0" w:after="200" w:line="336" w:lineRule="auto"/>
        <w:ind w:firstLine="283"/>
        <w:jc w:val="both"/>
      </w:pPr>
      <w:r>
        <w:rPr>
          <w:rFonts w:ascii="B Lotus" w:hAnsi="B Lotus" w:cs="B Lotus" w:eastAsia="B Lotus"/>
          <w:b w:val="0"/>
          <w:i w:val="0"/>
          <w:sz w:val="28"/>
          <w:szCs w:val="28"/>
        </w:rPr>
        <w:t>مهم‌ترین این سازوکارها پنج‌تاست که هرکدام را جداگانه می‌گویم، چون هرکدام نسبتی با مسئله من دارد:</w:t>
      </w:r>
    </w:p>
    <w:p>
      <w:pPr>
        <w:pStyle w:val="TH-Band"/>
        <w:widowControl/>
        <w:bidi w:val="1"/>
        <w:spacing w:before="280" w:after="160" w:line="336" w:lineRule="auto"/>
        <w:jc w:val="right"/>
        <w:keepNext w:val="1"/>
      </w:pPr>
      <w:bookmarkStart w:id="44" w:name="_Toc000044"/>
      <w:r>
        <w:rPr>
          <w:rFonts w:ascii="B Traffic" w:hAnsi="B Traffic" w:cs="B Traffic" w:eastAsia="B Traffic"/>
          <w:b/>
          <w:i w:val="0"/>
          <w:sz w:val="28"/>
          <w:szCs w:val="28"/>
          <w:rtl/>
        </w:rPr>
        <w:t>بند دوم: توافق اطراف و حق مندرج در متن</w:t>
      </w:r>
      <w:bookmarkEnd w:id="44"/>
    </w:p>
    <w:p>
      <w:pPr>
        <w:pStyle w:val="TH-Body"/>
        <w:widowControl/>
        <w:bidi w:val="1"/>
        <w:spacing w:before="0" w:after="200" w:line="336" w:lineRule="auto"/>
        <w:jc w:val="both"/>
      </w:pPr>
      <w:r>
        <w:rPr>
          <w:rFonts w:ascii="B Lotus" w:hAnsi="B Lotus" w:cs="B Lotus" w:eastAsia="B Lotus"/>
          <w:b w:val="0"/>
          <w:i w:val="0"/>
          <w:sz w:val="28"/>
          <w:szCs w:val="28"/>
        </w:rPr>
        <w:t>ساده‌ترین و کم‌هزینه‌ترین راه، همان است که خودِ معاهده پیش‌بینی کرده: شرط خروج، شرط بازنگری، انقضای مدت، یا توافق بعدی اطراف بر خاتمه.</w:t>
      </w:r>
      <w:r>
        <w:rPr>
          <w:rFonts w:ascii="B Lotus" w:hAnsi="B Lotus" w:cs="B Lotus" w:eastAsia="B Lotus"/>
          <w:b w:val="0"/>
          <w:i w:val="0"/>
          <w:sz w:val="28"/>
          <w:szCs w:val="28"/>
          <w:vertAlign w:val="superscript"/>
        </w:rPr>
        <w:footnoteReference w:id="22"/>
      </w:r>
      <w:r>
        <w:rPr>
          <w:rFonts w:ascii="B Lotus" w:hAnsi="B Lotus" w:cs="B Lotus" w:eastAsia="B Lotus"/>
          <w:b w:val="0"/>
          <w:i w:val="0"/>
          <w:sz w:val="28"/>
          <w:szCs w:val="28"/>
        </w:rPr>
        <w:t xml:space="preserve"> این راه، سبزترین صورت طیف پنج‌صورت من است؛ و هر مذاکره‌کننده عاقلی باید هنگام انعقاد، این شرط‌ها را در متن بگنجاند تا دست حاکم آینده باز بماند. این توصیه را در فصل پنجم با عنوان «راهبرد شرط‌گذاری در متن» تفصیل می‌دهم؛ ولی ریشه‌اش همین‌جاست. خیلی از دردسرهای بعدی، ریشه در غفلت‌های مرحله انعقاد دارد ـ و این درسی است که باید به مذاکره‌کنندگانمان آموخت.</w:t>
      </w:r>
    </w:p>
    <w:p>
      <w:pPr>
        <w:pStyle w:val="TH-Band"/>
        <w:widowControl/>
        <w:bidi w:val="1"/>
        <w:spacing w:before="280" w:after="160" w:line="336" w:lineRule="auto"/>
        <w:jc w:val="right"/>
        <w:keepNext w:val="1"/>
      </w:pPr>
      <w:bookmarkStart w:id="45" w:name="_Toc000045"/>
      <w:r>
        <w:rPr>
          <w:rFonts w:ascii="B Traffic" w:hAnsi="B Traffic" w:cs="B Traffic" w:eastAsia="B Traffic"/>
          <w:b/>
          <w:i w:val="0"/>
          <w:sz w:val="28"/>
          <w:szCs w:val="28"/>
          <w:rtl/>
        </w:rPr>
        <w:t>بند سوم: نقض اساسی طرف مقابل</w:t>
      </w:r>
      <w:bookmarkEnd w:id="45"/>
    </w:p>
    <w:p>
      <w:pPr>
        <w:pStyle w:val="TH-Body"/>
        <w:widowControl/>
        <w:bidi w:val="1"/>
        <w:spacing w:before="0" w:after="200" w:line="336" w:lineRule="auto"/>
        <w:jc w:val="both"/>
      </w:pPr>
      <w:r>
        <w:rPr>
          <w:rFonts w:ascii="B Lotus" w:hAnsi="B Lotus" w:cs="B Lotus" w:eastAsia="B Lotus"/>
          <w:b w:val="0"/>
          <w:i w:val="0"/>
          <w:sz w:val="28"/>
          <w:szCs w:val="28"/>
        </w:rPr>
        <w:t>طبق ماده ۶۰ وین، هر وقت یک طرف «نقض اساسی» کند ـ یعنی نقض مقرره‌ای که برای تحقق موضوع و هدف معاهده اساسی است ـ طرف زیان‌دیده می‌تواند اجرای تعهداتش را تعلیق کند یا به رابطه معاهده‌ای خاتمه بدهد.</w:t>
      </w:r>
      <w:r>
        <w:rPr>
          <w:rFonts w:ascii="B Lotus" w:hAnsi="B Lotus" w:cs="B Lotus" w:eastAsia="B Lotus"/>
          <w:b w:val="0"/>
          <w:i w:val="0"/>
          <w:sz w:val="28"/>
          <w:szCs w:val="28"/>
          <w:vertAlign w:val="superscript"/>
        </w:rPr>
        <w:footnoteReference w:id="23"/>
      </w:r>
      <w:r>
        <w:rPr>
          <w:rFonts w:ascii="B Lotus" w:hAnsi="B Lotus" w:cs="B Lotus" w:eastAsia="B Lotus"/>
          <w:b w:val="0"/>
          <w:i w:val="0"/>
          <w:sz w:val="28"/>
          <w:szCs w:val="28"/>
        </w:rPr>
        <w:t xml:space="preserve"> این نهاد، پشتوانه حقوقیِ «عدول واکنشی» (صورت چهارم طیف من) است؛ و نشان می‌دهد که منطق «تقابل» ـ شبیه همان منطق آیه «فَمَا اسْتَقَامُوا لَکُمْ فَاسْتَقِیمُوا لَهُمْ»</w:t>
      </w:r>
      <w:r>
        <w:rPr>
          <w:rFonts w:ascii="B Lotus" w:hAnsi="B Lotus" w:cs="B Lotus" w:eastAsia="B Lotus"/>
          <w:b w:val="0"/>
          <w:i w:val="0"/>
          <w:sz w:val="28"/>
          <w:szCs w:val="28"/>
          <w:vertAlign w:val="superscript"/>
        </w:rPr>
        <w:footnoteReference w:id="24"/>
      </w:r>
      <w:r>
        <w:rPr>
          <w:rFonts w:ascii="B Lotus" w:hAnsi="B Lotus" w:cs="B Lotus" w:eastAsia="B Lotus"/>
          <w:b w:val="0"/>
          <w:i w:val="0"/>
          <w:sz w:val="28"/>
          <w:szCs w:val="28"/>
        </w:rPr>
        <w:t xml:space="preserve"> ـ در حقوق بین‌الملل هم پذیرفته شده. البته با شرایط و تشریفاتی (اعلام، مهلت، تناسب) که رعایتشان برای موجه بودن اقدام ضروری است و در مواد ۶۵ تا ۶۸ آمده.</w:t>
      </w:r>
      <w:r>
        <w:rPr>
          <w:rFonts w:ascii="B Lotus" w:hAnsi="B Lotus" w:cs="B Lotus" w:eastAsia="B Lotus"/>
          <w:b w:val="0"/>
          <w:i w:val="0"/>
          <w:sz w:val="28"/>
          <w:szCs w:val="28"/>
          <w:vertAlign w:val="superscript"/>
        </w:rPr>
        <w:footnoteReference w:id="25"/>
      </w:r>
    </w:p>
    <w:p>
      <w:pPr>
        <w:pStyle w:val="TH-Band"/>
        <w:widowControl/>
        <w:bidi w:val="1"/>
        <w:spacing w:before="280" w:after="160" w:line="336" w:lineRule="auto"/>
        <w:jc w:val="right"/>
        <w:keepNext w:val="1"/>
      </w:pPr>
      <w:bookmarkStart w:id="46" w:name="_Toc000046"/>
      <w:r>
        <w:rPr>
          <w:rFonts w:ascii="B Traffic" w:hAnsi="B Traffic" w:cs="B Traffic" w:eastAsia="B Traffic"/>
          <w:b/>
          <w:i w:val="0"/>
          <w:sz w:val="28"/>
          <w:szCs w:val="28"/>
          <w:rtl/>
        </w:rPr>
        <w:t>بند چهارم: تغییر بنیادین اوضاع</w:t>
      </w:r>
      <w:bookmarkEnd w:id="46"/>
    </w:p>
    <w:p>
      <w:pPr>
        <w:pStyle w:val="TH-Body"/>
        <w:widowControl/>
        <w:bidi w:val="1"/>
        <w:spacing w:before="0" w:after="200" w:line="336" w:lineRule="auto"/>
        <w:jc w:val="both"/>
      </w:pPr>
      <w:r>
        <w:rPr>
          <w:rFonts w:ascii="B Lotus" w:hAnsi="B Lotus" w:cs="B Lotus" w:eastAsia="B Lotus"/>
          <w:b w:val="0"/>
          <w:i w:val="0"/>
          <w:sz w:val="28"/>
          <w:szCs w:val="28"/>
        </w:rPr>
        <w:t>و حالا می‌رسم به مشهورترین و پرمناقشه‌ترین نهاد این حوزه: «تغییر بنیادین اوضاع» (rebus sic stantibus) در ماده ۶۲. طبق این ماده، دولتی می‌تواند به تغییر اوضاع استناد کند و از معاهده خارج شود، مشروط به چهار شرط سخت: (۱) اوضاعِ تغییرکرده، مبنای اساسی رضایت اطراف بوده باشد؛ (۲) تغییر، اثر بنیادین بر تعهدات بگذارد؛ (۳) تغییر پیش‌بینی‌نشده بوده باشد؛ و (۴) معاهده مرزی نباشد و خودِ دولتِ مستند هم با نقضش باعث تغییر نشده باشد.</w:t>
      </w:r>
      <w:r>
        <w:rPr>
          <w:rFonts w:ascii="B Lotus" w:hAnsi="B Lotus" w:cs="B Lotus" w:eastAsia="B Lotus"/>
          <w:b w:val="0"/>
          <w:i w:val="0"/>
          <w:sz w:val="28"/>
          <w:szCs w:val="28"/>
          <w:vertAlign w:val="superscript"/>
        </w:rPr>
        <w:footnoteReference w:id="26"/>
      </w:r>
      <w:r>
        <w:rPr>
          <w:rFonts w:ascii="B Lotus" w:hAnsi="B Lotus" w:cs="B Lotus" w:eastAsia="B Lotus"/>
          <w:b w:val="0"/>
          <w:i w:val="0"/>
          <w:sz w:val="28"/>
          <w:szCs w:val="28"/>
        </w:rPr>
        <w:t xml:space="preserve"> دیوان در قضیه گابچیکوو (۱۹۹۷) این شرایط را بسیار مضیق تفسیر کرد و نشان داد که استناد موفق به این ماده، امری استثنایی و نادر است.</w:t>
      </w:r>
      <w:r>
        <w:rPr>
          <w:rFonts w:ascii="B Lotus" w:hAnsi="B Lotus" w:cs="B Lotus" w:eastAsia="B Lotus"/>
          <w:b w:val="0"/>
          <w:i w:val="0"/>
          <w:sz w:val="28"/>
          <w:szCs w:val="28"/>
          <w:vertAlign w:val="superscript"/>
        </w:rPr>
        <w:footnoteReference w:id="27"/>
      </w:r>
    </w:p>
    <w:p>
      <w:pPr>
        <w:pStyle w:val="TH-Body"/>
        <w:widowControl/>
        <w:bidi w:val="1"/>
        <w:spacing w:before="0" w:after="200" w:line="336" w:lineRule="auto"/>
        <w:ind w:firstLine="283"/>
        <w:jc w:val="both"/>
      </w:pPr>
      <w:r>
        <w:rPr>
          <w:rFonts w:ascii="B Lotus" w:hAnsi="B Lotus" w:cs="B Lotus" w:eastAsia="B Lotus"/>
          <w:b w:val="0"/>
          <w:i w:val="0"/>
          <w:sz w:val="28"/>
          <w:szCs w:val="28"/>
        </w:rPr>
        <w:t>نسبت این نهاد با «تزاحم مصلحتی» من چیست؟ نزدیک‌اند ولی یکی نیستند. هر دو از «تغییر شرایط» سخن می‌گویند؛ ولی آستانه ماده ۶۲ (بنیادین بودن + پیش‌بینی‌نشده بودن + مبنای رضایت بودن) بالاتر از آستانه تزاحم فقهی (اهم بودن واقعی) است. پس مثل نسبت مصلحت و ضرورت، این‌جا هم عموم و خصوص من‌وجه حاکم است: هر تغییر بنیادینی تزاحم می‌سازد، ولی هر تزاحمی تغییر بنیادین نیست. نتیجه عملی‌اش همان است که گفتم: مجوز فقهی، لزوماً مجوز بین‌المللی نیست ـ و حاکم باید هر دو را با هم بسنجد.</w:t>
      </w:r>
    </w:p>
    <w:p>
      <w:pPr>
        <w:pStyle w:val="TH-Band"/>
        <w:widowControl/>
        <w:bidi w:val="1"/>
        <w:spacing w:before="280" w:after="160" w:line="336" w:lineRule="auto"/>
        <w:jc w:val="right"/>
        <w:keepNext w:val="1"/>
      </w:pPr>
      <w:bookmarkStart w:id="47" w:name="_Toc000047"/>
      <w:r>
        <w:rPr>
          <w:rFonts w:ascii="B Traffic" w:hAnsi="B Traffic" w:cs="B Traffic" w:eastAsia="B Traffic"/>
          <w:b/>
          <w:i w:val="0"/>
          <w:sz w:val="28"/>
          <w:szCs w:val="28"/>
          <w:rtl/>
        </w:rPr>
        <w:t>بند پنجم: عدم امکان اجرا و آیین ادعا</w:t>
      </w:r>
      <w:bookmarkEnd w:id="47"/>
    </w:p>
    <w:p>
      <w:pPr>
        <w:pStyle w:val="TH-Body"/>
        <w:widowControl/>
        <w:bidi w:val="1"/>
        <w:spacing w:before="0" w:after="200" w:line="336" w:lineRule="auto"/>
        <w:jc w:val="both"/>
      </w:pPr>
      <w:r>
        <w:rPr>
          <w:rFonts w:ascii="B Lotus" w:hAnsi="B Lotus" w:cs="B Lotus" w:eastAsia="B Lotus"/>
          <w:b w:val="0"/>
          <w:i w:val="0"/>
          <w:sz w:val="28"/>
          <w:szCs w:val="28"/>
        </w:rPr>
        <w:t>دو نهاد دیگر هم هست که کوتاه می‌گویم: «عدم امکان بعدی اجرا» (ماده ۶۱) ـ وقتی اجرای معاهده به خاطر از بین رفتن موضوعش (مثل خشک شدن رودخانه‌ای که موضوع معاهده آبی است) ناممکن شود؛</w:t>
      </w:r>
      <w:r>
        <w:rPr>
          <w:rFonts w:ascii="B Lotus" w:hAnsi="B Lotus" w:cs="B Lotus" w:eastAsia="B Lotus"/>
          <w:b w:val="0"/>
          <w:i w:val="0"/>
          <w:sz w:val="28"/>
          <w:szCs w:val="28"/>
          <w:vertAlign w:val="superscript"/>
        </w:rPr>
        <w:footnoteReference w:id="28"/>
      </w:r>
      <w:r>
        <w:rPr>
          <w:rFonts w:ascii="B Lotus" w:hAnsi="B Lotus" w:cs="B Lotus" w:eastAsia="B Lotus"/>
          <w:b w:val="0"/>
          <w:i w:val="0"/>
          <w:sz w:val="28"/>
          <w:szCs w:val="28"/>
        </w:rPr>
        <w:t xml:space="preserve"> و «آیین ادعا» (مواد ۶۵ تا ۶۸) ـ که هر ادعای بطلان یا خاتمه یا تعلیق باید کتباً اعلام شود، مهلت اعتراض (کمتر از سه ماه، مگر در موارد فوری) رعایت شود، و تا پیش از اثرگذاری قابل استرداد است. این آیین، برابرنهاد حقوقیِ «انباذ علی سواء» ماست؛ و نشان می‌دهد که هر دو نظام ـ فقهی و بین‌المللی ـ بر «اعلام آشکار» تأکید دارند و عدول پنهانی و غافلگیرانه را نمی‌پذیرند. این هم‌زبانی دوم هم برای من شیرین بود.</w:t>
      </w:r>
    </w:p>
    <w:p>
      <w:pPr>
        <w:pStyle w:val="TH-Band"/>
        <w:widowControl/>
        <w:bidi w:val="1"/>
        <w:spacing w:before="280" w:after="160" w:line="336" w:lineRule="auto"/>
        <w:jc w:val="right"/>
        <w:keepNext w:val="1"/>
      </w:pPr>
      <w:bookmarkStart w:id="48" w:name="_Toc000048"/>
      <w:r>
        <w:rPr>
          <w:rFonts w:ascii="B Traffic" w:hAnsi="B Traffic" w:cs="B Traffic" w:eastAsia="B Traffic"/>
          <w:b/>
          <w:i w:val="0"/>
          <w:sz w:val="28"/>
          <w:szCs w:val="28"/>
          <w:rtl/>
        </w:rPr>
        <w:t>بند ششم: حق شرط و اعلامیه تفسیری؛ انعطافِ هنگامِ پذیرش</w:t>
      </w:r>
      <w:bookmarkEnd w:id="48"/>
    </w:p>
    <w:p>
      <w:pPr>
        <w:pStyle w:val="TH-Body"/>
        <w:widowControl/>
        <w:bidi w:val="1"/>
        <w:spacing w:before="0" w:after="200" w:line="336" w:lineRule="auto"/>
        <w:jc w:val="both"/>
      </w:pPr>
      <w:r>
        <w:rPr>
          <w:rFonts w:ascii="B Lotus" w:hAnsi="B Lotus" w:cs="B Lotus" w:eastAsia="B Lotus"/>
          <w:b w:val="0"/>
          <w:i w:val="0"/>
          <w:sz w:val="28"/>
          <w:szCs w:val="28"/>
        </w:rPr>
        <w:t>آخرین نهادی که در این گفتار باید شناخت ـ و از نظرِ عملی شاید مهم‌ترینشان ـ «حق شرط» (reservation) است: اعلامِ یک‌جانبه دولت هنگامِ پذیرشِ معاهده چندجانبه، مبنی بر این‌که اثرِ حقوقیِ بعضی مقررات را نسبت به خودش منتفی یا محدود می‌کند. مواد ۱۹ تا ۲۳ وین، نظامِ حق شرط را با تفصیل تنظیم کرده‌اند: حق شرط جایز است، مگر این‌که در خودِ معاهده ممنوع شده باشد یا با «موضوع و هدفِ» معاهده ناسازگار باشد (ماده ۱۹)؛ و آثارش نسبت به دولت‌های پذیرنده و معترض متفاوت است (مواد ۲۰ و ۲۱).</w:t>
      </w:r>
      <w:r>
        <w:rPr>
          <w:rFonts w:ascii="B Lotus" w:hAnsi="B Lotus" w:cs="B Lotus" w:eastAsia="B Lotus"/>
          <w:b w:val="0"/>
          <w:i w:val="0"/>
          <w:sz w:val="28"/>
          <w:szCs w:val="28"/>
          <w:vertAlign w:val="superscript"/>
        </w:rPr>
        <w:footnoteReference w:id="29"/>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حق شرط برای مسئله من در این است که «بهترین زمانِ مدیریتِ تعهد، هنگامِ پذیرش است، نه هنگامِ اجرا». دولتی که هنگامِ امضای معاهده چندجانبه، با دقت و هوشمندی حق شرط بگذارد ـ بر بندهایی که با منافعِ حیاتی‌اش ناسازگار است ـ بعداً کمتر نیازمندِ عدول می‌شود؛ چون از اول، دایره التزامش را محدود کرده. به زبانِ اقتصادی: حق شرط، «بیمه» است و عدول، «جراحی» ـ و عاقل، بیمه را بر جراحی مقدم می‌کند. پس توصیه اکیدِ من به مذاکره‌کنندگان و به مجلس (که تصویب‌کننده است): هر معاهده چندجانبه‌ای را که بررسی می‌کنید، اول بپرسید «کجایش نیازمندِ حق شرط است؟» ـ و این پرسش را جدی بگیرید، چون پاسخی که امروز ندهید، فردا به بحران بدل 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در کنارِ حق شرط، «اعلامیه تفسیری» (interpretive declaration) هم هست: اعلامِ رسمیِ دولت مبنی بر این‌که فلان مقرره را چنین و چنان می‌فهمد. اثرِ حقوقی‌اش کمتر از حق شرط است (چون التزام را محدود نمی‌کند، فقط فهمِ دولت را ثبت می‌کند)، ولی در فرایندِ تفسیر (مواد ۳۱ و ۳۲) و در روزِ اختلاف، سندِ مهمی است. تفاوتِ ظریفِ میانِ «حق شرطِ پنهان» (اعلامیه‌ای که در واقع حق شرط است ولی نامش اعلامیه است) و «اعلامیه تفسیریِ واقعی» هم در رویه محلِ بحث است و دولت‌ها باید در تنظیمِ متنِ اعلامیه‌هایشان دقت کنند تا بعداً گرفتارِ تفسیرِ نامطلوب نشوند. درسِ کلی: «کلمه» در حقوق بین‌الملل، بارِ حقوقی دارد؛ و هر سندی که دولت صادر می‌کند ـ از اعلامیه تا یادداشت تا مصاحبه رسمی ـ ممکن است روزی علیهش به کار رود. پس دستگاهِ دیپلماسی باید «حقوق‌محور» باشد، نه فقط «سیاست‌محور» ـ و این، یکی از پیام‌های پنهانِ این رساله است.</w:t>
      </w:r>
    </w:p>
    <w:p>
      <w:pPr>
        <w:pStyle w:val="TH-Goftar"/>
        <w:widowControl/>
        <w:bidi w:val="1"/>
        <w:spacing w:before="280" w:after="160" w:line="336" w:lineRule="auto"/>
        <w:jc w:val="right"/>
        <w:keepNext w:val="1"/>
        <w:shd w:val="clear" w:fill="EDEDED"/>
      </w:pPr>
      <w:bookmarkStart w:id="49" w:name="_Toc000049"/>
      <w:r>
        <w:rPr>
          <w:rFonts w:ascii="B Titr" w:hAnsi="B Titr" w:cs="B Titr" w:eastAsia="B Titr"/>
          <w:b/>
          <w:i w:val="0"/>
          <w:sz w:val="32"/>
          <w:szCs w:val="32"/>
          <w:rtl/>
        </w:rPr>
        <w:t>گفتار سوم: قواعد تفسیر معاهدات؛ فهم متن پیش از عمل</w:t>
      </w:r>
      <w:bookmarkEnd w:id="49"/>
    </w:p>
    <w:p>
      <w:pPr>
        <w:pStyle w:val="TH-Band"/>
        <w:widowControl/>
        <w:bidi w:val="1"/>
        <w:spacing w:before="280" w:after="160" w:line="336" w:lineRule="auto"/>
        <w:jc w:val="right"/>
        <w:keepNext w:val="1"/>
      </w:pPr>
      <w:bookmarkStart w:id="50" w:name="_Toc000050"/>
      <w:r>
        <w:rPr>
          <w:rFonts w:ascii="B Traffic" w:hAnsi="B Traffic" w:cs="B Traffic" w:eastAsia="B Traffic"/>
          <w:b/>
          <w:i w:val="0"/>
          <w:sz w:val="28"/>
          <w:szCs w:val="28"/>
          <w:rtl/>
        </w:rPr>
        <w:t>بند اول: قاعده عام تفسیر؛ متن، سیاق، هدف</w:t>
      </w:r>
      <w:bookmarkEnd w:id="50"/>
    </w:p>
    <w:p>
      <w:pPr>
        <w:pStyle w:val="TH-Body"/>
        <w:widowControl/>
        <w:bidi w:val="1"/>
        <w:spacing w:before="0" w:after="200" w:line="336" w:lineRule="auto"/>
        <w:jc w:val="both"/>
      </w:pPr>
      <w:r>
        <w:rPr>
          <w:rFonts w:ascii="B Lotus" w:hAnsi="B Lotus" w:cs="B Lotus" w:eastAsia="B Lotus"/>
          <w:b w:val="0"/>
          <w:i w:val="0"/>
          <w:sz w:val="28"/>
          <w:szCs w:val="28"/>
        </w:rPr>
        <w:t>پیش از این‌که از اجرا و نقض و خاتمه حرف بزنیم، باید بدانیم «معنای» معاهده چیست؛ چون تا ندانیم معاهده چه می‌گوید، نمی‌توانیم بگوییم اجرا شده یا نقض شده. کنوانسیون وین در مواد ۳۱ و ۳۲ قواعد تفسیر را بیان کرده و قاعده عامش در ماده ۳۱ آمده: معاهده باید «با حسن نیت» و «مطابق معنای متعارف الفاظ» و «در سیاقشان» و «در پرتو موضوع و هدفش» تفسیر شود.</w:t>
      </w:r>
      <w:r>
        <w:rPr>
          <w:rFonts w:ascii="B Lotus" w:hAnsi="B Lotus" w:cs="B Lotus" w:eastAsia="B Lotus"/>
          <w:b w:val="0"/>
          <w:i w:val="0"/>
          <w:sz w:val="28"/>
          <w:szCs w:val="28"/>
          <w:vertAlign w:val="superscript"/>
        </w:rPr>
        <w:footnoteReference w:id="30"/>
      </w:r>
    </w:p>
    <w:p>
      <w:pPr>
        <w:pStyle w:val="TH-Body"/>
        <w:widowControl/>
        <w:bidi w:val="1"/>
        <w:spacing w:before="0" w:after="200" w:line="336" w:lineRule="auto"/>
        <w:ind w:firstLine="283"/>
        <w:jc w:val="both"/>
      </w:pPr>
      <w:r>
        <w:rPr>
          <w:rFonts w:ascii="B Lotus" w:hAnsi="B Lotus" w:cs="B Lotus" w:eastAsia="B Lotus"/>
          <w:b w:val="0"/>
          <w:i w:val="0"/>
          <w:sz w:val="28"/>
          <w:szCs w:val="28"/>
        </w:rPr>
        <w:t>این قاعده چهارلایه، برای مسئله من دو کاربرد مستقیم دارد. کاربرد اول: وقتی حاکم می‌خواهد ببیند آیا رفتارش «نقض» است یا نه، باید اول معنای تعهد را با همین قواعد بفهمد؛ چه‌بسا رفتاری که در نگاه اول نقض به نظر می‌رسد، با تفسیر صحیح (مثلاً با توجه به سیاق یا هدف معاهده) نقض نباشد ـ و چه‌بسا برعکس. پس «تفسیر» مقدم بر «داوریِ نقض» است؛ و حاکمی که بدون تفسیرِ دقیق، حکم به جواز یا عدم جواز بدهد، عجله کرده. کاربرد دوم: اعلامیه‌های تفسیری دولت (راهبرد دوم فصل پنجم) دقیقاً در همین فرایند تفسیر اثر می‌گذارند؛ یعنی دولتی که از اول تفسیرش را ثبت کرده، در روز اختلاف دستِ پرتری دارد. پس تفسیر، نه بحثی آکادمیک و حاشیه‌ای، که ابزاری عملی در دست تصمیم‌گیر است.</w:t>
      </w:r>
    </w:p>
    <w:p>
      <w:pPr>
        <w:pStyle w:val="TH-Band"/>
        <w:widowControl/>
        <w:bidi w:val="1"/>
        <w:spacing w:before="280" w:after="160" w:line="336" w:lineRule="auto"/>
        <w:jc w:val="right"/>
        <w:keepNext w:val="1"/>
      </w:pPr>
      <w:bookmarkStart w:id="51" w:name="_Toc000051"/>
      <w:r>
        <w:rPr>
          <w:rFonts w:ascii="B Traffic" w:hAnsi="B Traffic" w:cs="B Traffic" w:eastAsia="B Traffic"/>
          <w:b/>
          <w:i w:val="0"/>
          <w:sz w:val="28"/>
          <w:szCs w:val="28"/>
          <w:rtl/>
        </w:rPr>
        <w:t>بند دوم: نقش سوابق انعقاد و رفتار بعدی</w:t>
      </w:r>
      <w:bookmarkEnd w:id="51"/>
    </w:p>
    <w:p>
      <w:pPr>
        <w:pStyle w:val="TH-Body"/>
        <w:widowControl/>
        <w:bidi w:val="1"/>
        <w:spacing w:before="0" w:after="200" w:line="336" w:lineRule="auto"/>
        <w:jc w:val="both"/>
      </w:pPr>
      <w:r>
        <w:rPr>
          <w:rFonts w:ascii="B Lotus" w:hAnsi="B Lotus" w:cs="B Lotus" w:eastAsia="B Lotus"/>
          <w:b w:val="0"/>
          <w:i w:val="0"/>
          <w:sz w:val="28"/>
          <w:szCs w:val="28"/>
        </w:rPr>
        <w:t>ماده ۳۲ وین، «وسائل تکمیلی» تفسیر را هم پیش‌بینی کرده: سوابق انعقاد (مذاکرات، پیش‌نویس‌ها، صورت‌جلسات) و رفتار بعدی اطراف در اجرای معاهده.</w:t>
      </w:r>
      <w:r>
        <w:rPr>
          <w:rFonts w:ascii="B Lotus" w:hAnsi="B Lotus" w:cs="B Lotus" w:eastAsia="B Lotus"/>
          <w:b w:val="0"/>
          <w:i w:val="0"/>
          <w:sz w:val="28"/>
          <w:szCs w:val="28"/>
          <w:vertAlign w:val="superscript"/>
        </w:rPr>
        <w:footnoteReference w:id="31"/>
      </w:r>
      <w:r>
        <w:rPr>
          <w:rFonts w:ascii="B Lotus" w:hAnsi="B Lotus" w:cs="B Lotus" w:eastAsia="B Lotus"/>
          <w:b w:val="0"/>
          <w:i w:val="0"/>
          <w:sz w:val="28"/>
          <w:szCs w:val="28"/>
        </w:rPr>
        <w:t xml:space="preserve"> اهمیتش برای ما این است که مذاکره‌کنندگان ایرانی باید بدانند هر سندی که در فرایند مذاکره تولید می‌کنند ـ از یادداشت تفاهم تا صورت‌جلسه ـ ممکن است روزی در فرایند تفسیر به کار برود؛ له یا علیه ما. پس «مستندسازیِ هوشمندانه» از مرحله انعقاد، بخشی از همان «حقوق پیشگیرانه» است که در فصل پنجم گفتم. و نیز رفتار بعدی دولت در اجرا ـ این‌که به کدام بندها چگونه عمل کرده ـ تفسیر عملیِ دولت از معاهده به حساب می‌آید و بعداً نمی‌شود خلافش را ادعا کرد. این نکته، درس مهمی برای دستگاه دیپلماسی ماست: رفتار امروزت، سند فردایت است.</w:t>
      </w:r>
    </w:p>
    <w:p>
      <w:pPr>
        <w:pStyle w:val="TH-Goftar"/>
        <w:widowControl/>
        <w:bidi w:val="1"/>
        <w:spacing w:before="280" w:after="160" w:line="336" w:lineRule="auto"/>
        <w:jc w:val="right"/>
        <w:keepNext w:val="1"/>
        <w:shd w:val="clear" w:fill="EDEDED"/>
      </w:pPr>
      <w:bookmarkStart w:id="52" w:name="_Toc000052"/>
      <w:r>
        <w:rPr>
          <w:rFonts w:ascii="B Titr" w:hAnsi="B Titr" w:cs="B Titr" w:eastAsia="B Titr"/>
          <w:b/>
          <w:i w:val="0"/>
          <w:sz w:val="32"/>
          <w:szCs w:val="32"/>
          <w:rtl/>
        </w:rPr>
        <w:t>گفتار چهارم: اعتبار معاهدات؛ اهلیت، رضایت و عیوب اراده</w:t>
      </w:r>
      <w:bookmarkEnd w:id="52"/>
    </w:p>
    <w:p>
      <w:pPr>
        <w:pStyle w:val="TH-Band"/>
        <w:widowControl/>
        <w:bidi w:val="1"/>
        <w:spacing w:before="280" w:after="160" w:line="336" w:lineRule="auto"/>
        <w:jc w:val="right"/>
        <w:keepNext w:val="1"/>
      </w:pPr>
      <w:bookmarkStart w:id="53" w:name="_Toc000053"/>
      <w:r>
        <w:rPr>
          <w:rFonts w:ascii="B Traffic" w:hAnsi="B Traffic" w:cs="B Traffic" w:eastAsia="B Traffic"/>
          <w:b/>
          <w:i w:val="0"/>
          <w:sz w:val="28"/>
          <w:szCs w:val="28"/>
          <w:rtl/>
        </w:rPr>
        <w:t>بند اول: شرایط اعتبار؛ چرا بحث اعتبار به مسئله ما مربوط است؟</w:t>
      </w:r>
      <w:bookmarkEnd w:id="53"/>
    </w:p>
    <w:p>
      <w:pPr>
        <w:pStyle w:val="TH-Body"/>
        <w:widowControl/>
        <w:bidi w:val="1"/>
        <w:spacing w:before="0" w:after="200" w:line="336" w:lineRule="auto"/>
        <w:jc w:val="both"/>
      </w:pPr>
      <w:r>
        <w:rPr>
          <w:rFonts w:ascii="B Lotus" w:hAnsi="B Lotus" w:cs="B Lotus" w:eastAsia="B Lotus"/>
          <w:b w:val="0"/>
          <w:i w:val="0"/>
          <w:sz w:val="28"/>
          <w:szCs w:val="28"/>
        </w:rPr>
        <w:t>شاید خواننده بپرسد: بحث «اعتبار» معاهده (این‌که معاهده از اول درست بسته شده یا نه) چه ربطی به بحث «عدول» (که فرضش معاهده معتبر است) دارد؟ جوابش این است که گاهی آن‌چه «عدول» به نظر می‌رسد، در واقع «اعلام بی‌اعتباری» است؛ یعنی حاکم نمی‌گوید «از تعهدِ معتبر عدول می‌کنم»، بلکه می‌گوید «این التزام از اول معتبر نبوده» ـ و این دو، هم مبنایشان فرق دارد هم آثارشان. پس حاکم عاقل، قبل از عدول، باید یک‌بار هم از این زاویه به معاهده نگاه کند: آیا این معاهده اصلاً معتبر است؟ و اگر نیست، چرا راهِ اعلامِ بی‌اعتباری را ـ که کم‌هزینه‌تر است ـ نرود؟ این، جلوه دیگری از ضابطه دوم (تقدم راه کم‌هزینه‌تر)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کنوانسیون وین، اعتبار معاهده را در مواد ۴۶ تا ۵۳ بررسی کرده و سه شرط اصلی گذاشته: اهلیت اطراف، سلامت رضایت، و مشروعیت موضوع. هرکدام را جداگانه می‌گویم.</w:t>
      </w:r>
    </w:p>
    <w:p>
      <w:pPr>
        <w:pStyle w:val="TH-Band"/>
        <w:widowControl/>
        <w:bidi w:val="1"/>
        <w:spacing w:before="280" w:after="160" w:line="336" w:lineRule="auto"/>
        <w:jc w:val="right"/>
        <w:keepNext w:val="1"/>
      </w:pPr>
      <w:bookmarkStart w:id="54" w:name="_Toc000054"/>
      <w:r>
        <w:rPr>
          <w:rFonts w:ascii="B Traffic" w:hAnsi="B Traffic" w:cs="B Traffic" w:eastAsia="B Traffic"/>
          <w:b/>
          <w:i w:val="0"/>
          <w:sz w:val="28"/>
          <w:szCs w:val="28"/>
          <w:rtl/>
        </w:rPr>
        <w:t>بند دوم: اهلیت و صلاحیت انعقاد</w:t>
      </w:r>
      <w:bookmarkEnd w:id="54"/>
    </w:p>
    <w:p>
      <w:pPr>
        <w:pStyle w:val="TH-Body"/>
        <w:widowControl/>
        <w:bidi w:val="1"/>
        <w:spacing w:before="0" w:after="200" w:line="336" w:lineRule="auto"/>
        <w:jc w:val="both"/>
      </w:pPr>
      <w:r>
        <w:rPr>
          <w:rFonts w:ascii="B Lotus" w:hAnsi="B Lotus" w:cs="B Lotus" w:eastAsia="B Lotus"/>
          <w:b w:val="0"/>
          <w:i w:val="0"/>
          <w:sz w:val="28"/>
          <w:szCs w:val="28"/>
        </w:rPr>
        <w:t>هر دولتی «اهلیت» انعقاد معاهده را دارد (ماده ۶)؛ ولی «صلاحیت» اشخاصی که به نمایندگی از دولت مذاکره و امضا می‌کنند، تابع حقوق داخلی هر دولت است (ماده ۷ و ۴۶).</w:t>
      </w:r>
      <w:r>
        <w:rPr>
          <w:rFonts w:ascii="B Lotus" w:hAnsi="B Lotus" w:cs="B Lotus" w:eastAsia="B Lotus"/>
          <w:b w:val="0"/>
          <w:i w:val="0"/>
          <w:sz w:val="28"/>
          <w:szCs w:val="28"/>
          <w:vertAlign w:val="superscript"/>
        </w:rPr>
        <w:footnoteReference w:id="32"/>
      </w:r>
      <w:r>
        <w:rPr>
          <w:rFonts w:ascii="B Lotus" w:hAnsi="B Lotus" w:cs="B Lotus" w:eastAsia="B Lotus"/>
          <w:b w:val="0"/>
          <w:i w:val="0"/>
          <w:sz w:val="28"/>
          <w:szCs w:val="28"/>
        </w:rPr>
        <w:t xml:space="preserve"> در نظام ما ـ چنان‌که گذشت ـ تصویب با مجلس است (اصل ۷۷) و امضا با رئیس‌جمهور (اصل ۱۲۵)؛ پس معاهده‌ای که بدون تصویب مجلس امضا شده باشد، از نظر حقوق داخلی «ناقص» است. ولی ـ و این همان نکته ماده ۴۶ است ـ نقصِ داخلی، فقط وقتی در سطح بین‌المللی قابل استناد است که «آشکار» باشد و به «قاعده بنیادین» مربوط شود؛ و تفسیر دیوان از این ماده بسیار مضیق است. پس عملاً: دولتی که معاهده‌ای را امضا و اجرا کرده، بعداً به‌سختی می‌تواند به بهانه نقص تشریفات داخلی از آن شانه خالی کند. درسش برای ما: تشریفات داخلی را «قبل» از التزام رعایت کنید، نه «بعد» از آن؛ چون بعداً دیگر به کار نمی‌آید. و این، وظیفه مجلس و شورای نگهبان و معاونت حقوقی ریاست‌جمهوری است که در مرحله تصویب، دقت کنند ـ چون امضای بعدی، راه بازگشت را می‌بندد.</w:t>
      </w:r>
    </w:p>
    <w:p>
      <w:pPr>
        <w:pStyle w:val="TH-Band"/>
        <w:widowControl/>
        <w:bidi w:val="1"/>
        <w:spacing w:before="280" w:after="160" w:line="336" w:lineRule="auto"/>
        <w:jc w:val="right"/>
        <w:keepNext w:val="1"/>
      </w:pPr>
      <w:bookmarkStart w:id="55" w:name="_Toc000055"/>
      <w:r>
        <w:rPr>
          <w:rFonts w:ascii="B Traffic" w:hAnsi="B Traffic" w:cs="B Traffic" w:eastAsia="B Traffic"/>
          <w:b/>
          <w:i w:val="0"/>
          <w:sz w:val="28"/>
          <w:szCs w:val="28"/>
          <w:rtl/>
        </w:rPr>
        <w:t>بند سوم: عیوب اراده؛ اشتباه، فریب و اجبار</w:t>
      </w:r>
      <w:bookmarkEnd w:id="55"/>
    </w:p>
    <w:p>
      <w:pPr>
        <w:pStyle w:val="TH-Body"/>
        <w:widowControl/>
        <w:bidi w:val="1"/>
        <w:spacing w:before="0" w:after="200" w:line="336" w:lineRule="auto"/>
        <w:jc w:val="both"/>
      </w:pPr>
      <w:r>
        <w:rPr>
          <w:rFonts w:ascii="B Lotus" w:hAnsi="B Lotus" w:cs="B Lotus" w:eastAsia="B Lotus"/>
          <w:b w:val="0"/>
          <w:i w:val="0"/>
          <w:sz w:val="28"/>
          <w:szCs w:val="28"/>
        </w:rPr>
        <w:t>مهم‌ترین بخشِ بحث اعتبار، «عیوب اراده» است: مواردی که رضایت دولت به التزام، مخدوش بوده و معاهده از اول معیوب است. وین شش مورد را برشمرده: اشتباه (ماده ۴۸)، فریب (ماده ۴۹)، رشوه و تطمیع نماینده (ماده ۵۰)، اجبار بر نماینده (ماده ۵۱)، اجبار بر دولت با تهدید یا استعمال زور (ماده ۵۲)، و تعارض با قاعده آمره (ماده ۵۳).</w:t>
      </w:r>
      <w:r>
        <w:rPr>
          <w:rFonts w:ascii="B Lotus" w:hAnsi="B Lotus" w:cs="B Lotus" w:eastAsia="B Lotus"/>
          <w:b w:val="0"/>
          <w:i w:val="0"/>
          <w:sz w:val="28"/>
          <w:szCs w:val="28"/>
          <w:vertAlign w:val="superscript"/>
        </w:rPr>
        <w:footnoteReference w:id="33"/>
      </w:r>
    </w:p>
    <w:p>
      <w:pPr>
        <w:pStyle w:val="TH-Body"/>
        <w:widowControl/>
        <w:bidi w:val="1"/>
        <w:spacing w:before="0" w:after="200" w:line="336" w:lineRule="auto"/>
        <w:ind w:firstLine="283"/>
        <w:jc w:val="both"/>
      </w:pPr>
      <w:r>
        <w:rPr>
          <w:rFonts w:ascii="B Lotus" w:hAnsi="B Lotus" w:cs="B Lotus" w:eastAsia="B Lotus"/>
          <w:b w:val="0"/>
          <w:i w:val="0"/>
          <w:sz w:val="28"/>
          <w:szCs w:val="28"/>
        </w:rPr>
        <w:t>از میان این‌ها، دو مورد برای تاریخ ما و مسئله ما مهم‌تر است. یکم، «اجبار بر دولت» (ماده ۵۲): معاهده‌ای که با تهدید یا استعمال زور بر دولت تحمیل شده باشد، «باطل» است ـ نه فقط قابل فسخ، بلکه از اول باطل. این قاعده ـ که ریشه در ممنوعیت توسل به زور (بند ۴ ماده ۲ منشور) دارد ـ برای معاهداتی که قدرت‌های بزرگ در دوران ضعف به کشورهای ضعیف تحمیل کرده‌اند (مثل معاهدات ننگینِ دوران قاجار: گلستان و ترکمانچای) کاربرد تاریخی دارد؛ هرچند از نظر حقوقی، عطف‌بماسبق شدن وین محل بحث است و من در آن وارد نمی‌شوم. ولی اصلِ قاعده، پشتوانه حقوقیِ این فهمِ فطری است که «پیمانِ تحمیلی، پیمان نیست». دوم، «تعارض با قاعده آمره» (ماده ۵۳): معاهده‌ای که با قواعد آمره (مثل منع تجاوز و نسل‌کشی) در تعارض باشد، باطل است؛ و این، همان سقفی است که در ضابطه هفتم گفتم و در هر دو نظام پذیرفته شده.</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عملی برای تصمیم‌گیر: قبل از عدول، یک‌بار هم معاهده را از زاویه «اعتبار» بررسی کنید؛ چه‌بسا معاهده‌ای که گمان می‌رود معتبر است، به یکی از این عیوب مبتلا باشد ـ و در آن صورت، راهِ اعلامِ بی‌اعتباری (مواد ۶۵ تا ۶۸) باز است که هم کم‌هزینه‌تر است هم موجه‌تر. البته ـ انصافاً ـ اثبات این عیوب در مراجع بین‌المللی دشوار است و نباید ساده‌انگارانه به آن دل بست؛ ولی به‌عنوان یکی از گزینه‌های روی میز، باید بررسی شود.</w:t>
      </w:r>
    </w:p>
    <w:p>
      <w:pPr>
        <w:pStyle w:val="TH-Band"/>
        <w:widowControl/>
        <w:bidi w:val="1"/>
        <w:spacing w:before="280" w:after="160" w:line="336" w:lineRule="auto"/>
        <w:jc w:val="right"/>
        <w:keepNext w:val="1"/>
      </w:pPr>
      <w:bookmarkStart w:id="56" w:name="_Toc000056"/>
      <w:r>
        <w:rPr>
          <w:rFonts w:ascii="B Traffic" w:hAnsi="B Traffic" w:cs="B Traffic" w:eastAsia="B Traffic"/>
          <w:b/>
          <w:i w:val="0"/>
          <w:sz w:val="28"/>
          <w:szCs w:val="28"/>
          <w:rtl/>
        </w:rPr>
        <w:t>بند چهارم: ثبت معاهدات و اثر آن</w:t>
      </w:r>
      <w:bookmarkEnd w:id="56"/>
    </w:p>
    <w:p>
      <w:pPr>
        <w:pStyle w:val="TH-Body"/>
        <w:widowControl/>
        <w:bidi w:val="1"/>
        <w:spacing w:before="0" w:after="200" w:line="336" w:lineRule="auto"/>
        <w:jc w:val="both"/>
      </w:pPr>
      <w:r>
        <w:rPr>
          <w:rFonts w:ascii="B Lotus" w:hAnsi="B Lotus" w:cs="B Lotus" w:eastAsia="B Lotus"/>
          <w:b w:val="0"/>
          <w:i w:val="0"/>
          <w:sz w:val="28"/>
          <w:szCs w:val="28"/>
        </w:rPr>
        <w:t>طبق ماده ۱۰۲ منشور سازمان ملل، هر معاهده‌ای که پس از لازم‌الاجرا شدن منشور منعقد می‌شود، باید در دبیرخانه سازمان ملل «ثبت» شود؛ و اگر ثبت نشود، هیچ طرفی نمی‌تواند در برابر رکنی از سازمان ملل به آن استناد کند.</w:t>
      </w:r>
      <w:r>
        <w:rPr>
          <w:rFonts w:ascii="B Lotus" w:hAnsi="B Lotus" w:cs="B Lotus" w:eastAsia="B Lotus"/>
          <w:b w:val="0"/>
          <w:i w:val="0"/>
          <w:sz w:val="28"/>
          <w:szCs w:val="28"/>
          <w:vertAlign w:val="superscript"/>
        </w:rPr>
        <w:footnoteReference w:id="34"/>
      </w:r>
      <w:r>
        <w:rPr>
          <w:rFonts w:ascii="B Lotus" w:hAnsi="B Lotus" w:cs="B Lotus" w:eastAsia="B Lotus"/>
          <w:b w:val="0"/>
          <w:i w:val="0"/>
          <w:sz w:val="28"/>
          <w:szCs w:val="28"/>
        </w:rPr>
        <w:t xml:space="preserve"> هدف این قاعده، پایان دادن به «دیپلماسی پنهانی» و تضمین شفافیت روابط بین‌الملل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نسبتش با مسئله من در دو نکته است. نکته اول: ثبت، «شرط اعتبار» نیست، بلکه «شرط استنادپذیری» در برابر ارکان سازمان ملل است؛ پس معاهده ثبت‌نشده هم معتبر است و هم لازم‌الاجرا، ولی در دیوان و شورای امنیت قابل استناد نیست. نکته دوم ـ و مهم‌تر ـ: منطقِ ثبت (شفافیت) با منطقِ انباذ علی سواء (اعلام آشکار) هم‌خوان است و هر دو یک پیام دارند: روابط بین‌الملل باید شفاف باشد؛ هم در بستن پیمان، هم در عدول از آن. دولتی که پنهانی پیمان می‌بندد یا پنهانی عدول می‌کند، در هر دو نظام (حقوق بین‌الملل و فقه) مذموم است. شفافیت، زبان مشترکِ تمدن‌هاست.</w:t>
      </w:r>
    </w:p>
    <w:p>
      <w:pPr>
        <w:pStyle w:val="TH-Goftar"/>
        <w:widowControl/>
        <w:bidi w:val="1"/>
        <w:spacing w:before="280" w:after="160" w:line="336" w:lineRule="auto"/>
        <w:jc w:val="right"/>
        <w:keepNext w:val="1"/>
        <w:shd w:val="clear" w:fill="EDEDED"/>
      </w:pPr>
      <w:bookmarkStart w:id="57" w:name="_Toc000057"/>
      <w:r>
        <w:rPr>
          <w:rFonts w:ascii="B Titr" w:hAnsi="B Titr" w:cs="B Titr" w:eastAsia="B Titr"/>
          <w:b/>
          <w:i w:val="0"/>
          <w:sz w:val="32"/>
          <w:szCs w:val="32"/>
          <w:rtl/>
        </w:rPr>
        <w:t>گفتار پنجم: اصول قانون اساسی مرتبط</w:t>
      </w:r>
      <w:bookmarkEnd w:id="57"/>
    </w:p>
    <w:p>
      <w:pPr>
        <w:pStyle w:val="TH-Band"/>
        <w:widowControl/>
        <w:bidi w:val="1"/>
        <w:spacing w:before="280" w:after="160" w:line="336" w:lineRule="auto"/>
        <w:jc w:val="right"/>
        <w:keepNext w:val="1"/>
      </w:pPr>
      <w:bookmarkStart w:id="58" w:name="_Toc000058"/>
      <w:r>
        <w:rPr>
          <w:rFonts w:ascii="B Traffic" w:hAnsi="B Traffic" w:cs="B Traffic" w:eastAsia="B Traffic"/>
          <w:b/>
          <w:i w:val="0"/>
          <w:sz w:val="28"/>
          <w:szCs w:val="28"/>
          <w:rtl/>
        </w:rPr>
        <w:t>بند اول: اصل ۵؛ تثبیت مرجعیت</w:t>
      </w:r>
      <w:bookmarkEnd w:id="58"/>
    </w:p>
    <w:p>
      <w:pPr>
        <w:pStyle w:val="TH-Body"/>
        <w:widowControl/>
        <w:bidi w:val="1"/>
        <w:spacing w:before="0" w:after="200" w:line="336" w:lineRule="auto"/>
        <w:jc w:val="both"/>
      </w:pPr>
      <w:r>
        <w:rPr>
          <w:rFonts w:ascii="B Lotus" w:hAnsi="B Lotus" w:cs="B Lotus" w:eastAsia="B Lotus"/>
          <w:b w:val="0"/>
          <w:i w:val="0"/>
          <w:sz w:val="28"/>
          <w:szCs w:val="28"/>
        </w:rPr>
        <w:t>اصل ۵ قانون اساسی، مبنای نهادی کل رساله من است:</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در زمان غیبت حضرت ولی‌عصر (عجل‌الله‌تعالی‌فرجه) در جمهوری اسلامی ایران ولایت امر و امامت امت بر عهده فقیه عادل و باتقوی، آگاه به زمان، شجاع، مدیر و مدبر است که طبق اصل یک‌صد و هفتم عهده‌دار آن می‌گردد.</w:t>
      </w:r>
      <w:r>
        <w:rPr>
          <w:rFonts w:ascii="B Badr" w:hAnsi="B Badr" w:cs="B Badr" w:eastAsia="B Badr"/>
          <w:b w:val="0"/>
          <w:i w:val="0"/>
          <w:sz w:val="26"/>
          <w:szCs w:val="26"/>
          <w:vertAlign w:val="superscript"/>
        </w:rPr>
        <w:footnoteReference w:id="35"/>
      </w:r>
    </w:p>
    <w:p>
      <w:pPr>
        <w:pStyle w:val="TH-Body"/>
        <w:widowControl/>
        <w:bidi w:val="1"/>
        <w:spacing w:before="0" w:after="200" w:line="336" w:lineRule="auto"/>
        <w:jc w:val="both"/>
      </w:pPr>
      <w:r>
        <w:rPr>
          <w:rFonts w:ascii="B Lotus" w:hAnsi="B Lotus" w:cs="B Lotus" w:eastAsia="B Lotus"/>
          <w:b w:val="0"/>
          <w:i w:val="0"/>
          <w:sz w:val="28"/>
          <w:szCs w:val="28"/>
        </w:rPr>
        <w:t>دلالتش بر مسئله من «مبنایی» است: مستقیم در اثبات مرجعیت ولی فقیه، و غیرمستقیم در مسئله خاص معاهدات. این اصل نشان می‌دهد که «ولی فقیه» موضوع این رساله، نهادی شناخته‌شده و رسمی در نظام حقوقی ایران است، نه مقامی بیرون از قانون. این نکته را گفتم چون بعضی تحلیل‌ها ـ خواسته یا ناخواسته ـ طوری حرف می‌زنند که گویی ولی فقیه بیرون از قانون اساسی ایستاده؛ در حالی که اصل ۵ دقیقاً برعکسش را می‌گوید: ولی فقیه «درون» قانون اساسی است و مشروعیت نهادی‌اش از همین‌جاست. ولی این اصل درباره «گستره اختیارات» ساکت است و تفصیلش را به اصول دیگر واگذار می‌کند؛ پس اثبات‌کننده «اصلِ مرجعیت» است، نه تعیین‌کننده «حدود» آن. حدود را باید در اصول ۵۷ و ۱۱۰ جست.</w:t>
      </w:r>
    </w:p>
    <w:p>
      <w:pPr>
        <w:pStyle w:val="TH-Band"/>
        <w:widowControl/>
        <w:bidi w:val="1"/>
        <w:spacing w:before="280" w:after="160" w:line="336" w:lineRule="auto"/>
        <w:jc w:val="right"/>
        <w:keepNext w:val="1"/>
      </w:pPr>
      <w:bookmarkStart w:id="59" w:name="_Toc000059"/>
      <w:r>
        <w:rPr>
          <w:rFonts w:ascii="B Traffic" w:hAnsi="B Traffic" w:cs="B Traffic" w:eastAsia="B Traffic"/>
          <w:b/>
          <w:i w:val="0"/>
          <w:sz w:val="28"/>
          <w:szCs w:val="28"/>
          <w:rtl/>
        </w:rPr>
        <w:t>بند دوم: اصل ۵۷؛ ولایت مطلقه و قید آن</w:t>
      </w:r>
      <w:bookmarkEnd w:id="59"/>
    </w:p>
    <w:p>
      <w:pPr>
        <w:pStyle w:val="TH-Body"/>
        <w:widowControl/>
        <w:bidi w:val="1"/>
        <w:spacing w:before="0" w:after="200" w:line="336" w:lineRule="auto"/>
        <w:jc w:val="both"/>
      </w:pPr>
      <w:r>
        <w:rPr>
          <w:rFonts w:ascii="B Lotus" w:hAnsi="B Lotus" w:cs="B Lotus" w:eastAsia="B Lotus"/>
          <w:b w:val="0"/>
          <w:i w:val="0"/>
          <w:sz w:val="28"/>
          <w:szCs w:val="28"/>
        </w:rPr>
        <w:t>اصل ۵۷، پرمناقشه‌ترین اصل برای مسئله من است:</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قوای حاکم در جمهوری اسلامی ایران عبارتند از: قوه مقننه، قوه مجریه و قوه قضائیه که زیر نظر ولایت مطلقه امر و امامت امت بر طبق اصول آینده این قانون اعمال می‌گردند…</w:t>
      </w:r>
      <w:r>
        <w:rPr>
          <w:rFonts w:ascii="B Badr" w:hAnsi="B Badr" w:cs="B Badr" w:eastAsia="B Badr"/>
          <w:b w:val="0"/>
          <w:i w:val="0"/>
          <w:sz w:val="26"/>
          <w:szCs w:val="26"/>
          <w:vertAlign w:val="superscript"/>
        </w:rPr>
        <w:footnoteReference w:id="36"/>
      </w:r>
    </w:p>
    <w:p>
      <w:pPr>
        <w:pStyle w:val="TH-Body"/>
        <w:widowControl/>
        <w:bidi w:val="1"/>
        <w:spacing w:before="0" w:after="200" w:line="336" w:lineRule="auto"/>
        <w:jc w:val="both"/>
      </w:pPr>
      <w:r>
        <w:rPr>
          <w:rFonts w:ascii="B Lotus" w:hAnsi="B Lotus" w:cs="B Lotus" w:eastAsia="B Lotus"/>
          <w:b w:val="0"/>
          <w:i w:val="0"/>
          <w:sz w:val="28"/>
          <w:szCs w:val="28"/>
        </w:rPr>
        <w:t>دو عبارت در این اصل سرنوشت‌سازند: «ولایت مطلقه امر» و «بر طبق اصول آینده این قانون». طرفداران توسعه اختیار به عبارت اول استناد می‌کنند و می‌گویند «مطلقه» یعنی نامحدود و فراتر از نصوص؛ و طرفداران حصر به عبارت دوم استناد می‌کنند و می‌گویند این قید، اطلاق را محدود به اصول آینده (از جمله اصل ۱۱۰) می‌کند. هر دو استناد، وجهی دارد و هر دو یک‌سونگر است؛ و داوری منصفانه‌اش را به فصل پنجم می‌سپارم. این‌جا فقط ثبت می‌کنم که اصل ۵۷، «اصلِ مرجعیت نهایی» ولی فقیه بر همه قوا ـ از جمله مقننه (تصویب‌کننده معاهده) و مجریه (اجرا‌کننده آن) ـ را تثبیت می‌کند؛ ولی «شیوه اعمال» این مرجعیت در حوزه خاص معاهدات را نمی‌گوید. پس اثبات‌کننده اصل است، نه تعیین‌کننده صورت.</w:t>
      </w:r>
    </w:p>
    <w:p>
      <w:pPr>
        <w:pStyle w:val="TH-Band"/>
        <w:widowControl/>
        <w:bidi w:val="1"/>
        <w:spacing w:before="280" w:after="160" w:line="336" w:lineRule="auto"/>
        <w:jc w:val="right"/>
        <w:keepNext w:val="1"/>
      </w:pPr>
      <w:bookmarkStart w:id="60" w:name="_Toc000060"/>
      <w:r>
        <w:rPr>
          <w:rFonts w:ascii="B Traffic" w:hAnsi="B Traffic" w:cs="B Traffic" w:eastAsia="B Traffic"/>
          <w:b/>
          <w:i w:val="0"/>
          <w:sz w:val="28"/>
          <w:szCs w:val="28"/>
          <w:rtl/>
        </w:rPr>
        <w:t>بند سوم: اصول ۷۷ و ۱۲۵؛ ورود به التزام</w:t>
      </w:r>
      <w:bookmarkEnd w:id="60"/>
    </w:p>
    <w:p>
      <w:pPr>
        <w:pStyle w:val="TH-Body"/>
        <w:widowControl/>
        <w:bidi w:val="1"/>
        <w:spacing w:before="0" w:after="200" w:line="336" w:lineRule="auto"/>
        <w:jc w:val="both"/>
      </w:pPr>
      <w:r>
        <w:rPr>
          <w:rFonts w:ascii="B Lotus" w:hAnsi="B Lotus" w:cs="B Lotus" w:eastAsia="B Lotus"/>
          <w:b w:val="0"/>
          <w:i w:val="0"/>
          <w:sz w:val="28"/>
          <w:szCs w:val="28"/>
        </w:rPr>
        <w:t>اصل ۷۷ درباره «ورود به التزام» سخن می‌گوید:</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عهدنامه‌ها، مقاوله‌نامه‌ها، قراردادها و موافقت‌نامه‌های بین‌المللی باید به تصویب مجلس شورای اسلامی برسد.</w:t>
      </w:r>
      <w:r>
        <w:rPr>
          <w:rFonts w:ascii="B Badr" w:hAnsi="B Badr" w:cs="B Badr" w:eastAsia="B Badr"/>
          <w:b w:val="0"/>
          <w:i w:val="0"/>
          <w:sz w:val="26"/>
          <w:szCs w:val="26"/>
          <w:vertAlign w:val="superscript"/>
        </w:rPr>
        <w:footnoteReference w:id="37"/>
      </w:r>
    </w:p>
    <w:p>
      <w:pPr>
        <w:pStyle w:val="TH-Body"/>
        <w:widowControl/>
        <w:bidi w:val="1"/>
        <w:spacing w:before="0" w:after="200" w:line="336" w:lineRule="auto"/>
        <w:jc w:val="both"/>
      </w:pPr>
      <w:r>
        <w:rPr>
          <w:rFonts w:ascii="B Lotus" w:hAnsi="B Lotus" w:cs="B Lotus" w:eastAsia="B Lotus"/>
          <w:b w:val="0"/>
          <w:i w:val="0"/>
          <w:sz w:val="28"/>
          <w:szCs w:val="28"/>
        </w:rPr>
        <w:t>و اصل ۱۲۵ درباره «اعلام التزام»:</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امضا عهدنامه‌ها، مقاوله‌نامه‌ها، موافقت‌نامه‌ها و قراردادهای دولت ایران با سایر دولت‌ها و همچنین امضا پیمانهای مربوط به اتحادیه‌های بین‌المللی پس از تصویب مجلس شورای اسلامی با رئیس‌جمهور یا نماینده قانونی اوست.</w:t>
      </w:r>
      <w:r>
        <w:rPr>
          <w:rFonts w:ascii="B Badr" w:hAnsi="B Badr" w:cs="B Badr" w:eastAsia="B Badr"/>
          <w:b w:val="0"/>
          <w:i w:val="0"/>
          <w:sz w:val="26"/>
          <w:szCs w:val="26"/>
          <w:vertAlign w:val="superscript"/>
        </w:rPr>
        <w:footnoteReference w:id="38"/>
      </w:r>
    </w:p>
    <w:p>
      <w:pPr>
        <w:pStyle w:val="TH-Body"/>
        <w:widowControl/>
        <w:bidi w:val="1"/>
        <w:spacing w:before="0" w:after="200" w:line="336" w:lineRule="auto"/>
        <w:jc w:val="both"/>
      </w:pPr>
      <w:r>
        <w:rPr>
          <w:rFonts w:ascii="B Lotus" w:hAnsi="B Lotus" w:cs="B Lotus" w:eastAsia="B Lotus"/>
          <w:b w:val="0"/>
          <w:i w:val="0"/>
          <w:sz w:val="28"/>
          <w:szCs w:val="28"/>
        </w:rPr>
        <w:t>نکته تعیین‌کننده این است که هر دو اصل، ناظر به مرحله «ورود»‌اند، نه «خروج». قانون اساسی درباره این‌که «خروج از التزام» ـ تعلیق، خاتمه، خروج از معاهده ـ با کیست، «ساکت» است. و همین سکوت است که فضای استنباط این رساله را می‌سازد: آیا از وحدت مجرا (آن‌که می‌بندد، می‌گشاید) باید گفت خروج هم با مجلس است؟ یا از تفکیک مجرا (خروج تصمیم حاکمیتی ـ امنیتی است) باید گفت با ولی فقیه است؟ هر دو استنباط را در فصل پنجم با انصاف می‌سنجم و داوری می‌کنم. این‌جا فقط سکوت را ثبت می‌کنم؛ سکوتی که هم فرصت است هم خطر ـ فرصت برای استنباط، و خطر برای مناقشه‌های بی‌پایان نهادی.</w:t>
      </w:r>
    </w:p>
    <w:p>
      <w:pPr>
        <w:pStyle w:val="TH-Band"/>
        <w:widowControl/>
        <w:bidi w:val="1"/>
        <w:spacing w:before="280" w:after="160" w:line="336" w:lineRule="auto"/>
        <w:jc w:val="right"/>
        <w:keepNext w:val="1"/>
      </w:pPr>
      <w:bookmarkStart w:id="61" w:name="_Toc000061"/>
      <w:r>
        <w:rPr>
          <w:rFonts w:ascii="B Traffic" w:hAnsi="B Traffic" w:cs="B Traffic" w:eastAsia="B Traffic"/>
          <w:b/>
          <w:i w:val="0"/>
          <w:sz w:val="28"/>
          <w:szCs w:val="28"/>
          <w:rtl/>
        </w:rPr>
        <w:t>بند چهارم: اصول ۱۱۰ و ۱۱۲؛ اختیارات و مصلحت</w:t>
      </w:r>
      <w:bookmarkEnd w:id="61"/>
    </w:p>
    <w:p>
      <w:pPr>
        <w:pStyle w:val="TH-Body"/>
        <w:widowControl/>
        <w:bidi w:val="1"/>
        <w:spacing w:before="0" w:after="200" w:line="336" w:lineRule="auto"/>
        <w:jc w:val="both"/>
      </w:pPr>
      <w:r>
        <w:rPr>
          <w:rFonts w:ascii="B Lotus" w:hAnsi="B Lotus" w:cs="B Lotus" w:eastAsia="B Lotus"/>
          <w:b w:val="0"/>
          <w:i w:val="0"/>
          <w:sz w:val="28"/>
          <w:szCs w:val="28"/>
        </w:rPr>
        <w:t>اصل ۱۱۰، وظایف و اختیارات رهبری را در یازده بند برمی‌شمرد: تعیین سیاست‌های کلی نظام؛ نظارت بر حسن اجرای آن‌ها؛ فرمان همه‌پرسی؛ فرماندهی کل نیروهای مسلح؛ اعلان جنگ و صلح و بسیج نیروها؛ نصب و عزل و قبول استعفای مقامات عالی؛ حل اختلاف و تنظیم روابط قوای سه‌گانه؛ حل معضلات نظام که از طرق عادی قابل حل نیست از طریق مجمع تشخیص مصلحت نظام؛ امضای حکم ریاست‌جمهوری؛ عزل رئیس‌جمهور؛ و عفو یا تخفیف مجازات محکومین.</w:t>
      </w:r>
      <w:r>
        <w:rPr>
          <w:rFonts w:ascii="B Lotus" w:hAnsi="B Lotus" w:cs="B Lotus" w:eastAsia="B Lotus"/>
          <w:b w:val="0"/>
          <w:i w:val="0"/>
          <w:sz w:val="28"/>
          <w:szCs w:val="28"/>
          <w:vertAlign w:val="superscript"/>
        </w:rPr>
        <w:footnoteReference w:id="39"/>
      </w:r>
    </w:p>
    <w:p>
      <w:pPr>
        <w:pStyle w:val="TH-Body"/>
        <w:widowControl/>
        <w:bidi w:val="1"/>
        <w:spacing w:before="0" w:after="200" w:line="336" w:lineRule="auto"/>
        <w:ind w:firstLine="283"/>
        <w:jc w:val="both"/>
      </w:pPr>
      <w:r>
        <w:rPr>
          <w:rFonts w:ascii="B Lotus" w:hAnsi="B Lotus" w:cs="B Lotus" w:eastAsia="B Lotus"/>
          <w:b w:val="0"/>
          <w:i w:val="0"/>
          <w:sz w:val="28"/>
          <w:szCs w:val="28"/>
        </w:rPr>
        <w:t>و این‌جا باید با صراحت ـ و حتی با تلخی ـ واقعیتی را ثبت کنم: در هیچ‌کدام از این یازده بند، اختیاری درباره معاهدات بین‌المللی «به‌صراحت» نیامده. هر ادعای خلافی، خلاف واقعیت متنی است. من این را نه از سر مخالفت با توسعه اختیار می‌گویم ـ که خودم از طرفدارانش هستم ـ بلکه از سر امانت علمی؛ چون بنای استدلال بر مقدمه خلاف واقع، هرچقدر هم نتیجه‌اش مطلوب باشد، کار علمی نیست. پرسش صحیح ـ بعد از این اصلاح ـ این است که آیا این اختیار را می‌شود از «بندهای عام» (به‌ویژه بندهای ۱، ۵، ۷ و ۸) استنباط کرد یا نه؛ و جوابش را در فصل پنجم می‌دهم: بله، از نوع اختیار ضمنی و ولایی.</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۱۱۲ هم با رسمیت دادن به «مجمع تشخیص مصلحت نظام» به‌عنوان نهاد تخصصی مصلحت‌سنجی، نشان می‌دهد که نظام قانون اساسی، «مصلحت» را به‌عنوان مبنای تصمیم‌گیری فوق‌العاده پذیرفته و برای تشخیص کارشناسی‌اش نهادی در تراز عالی پیش‌بینی کرده.</w:t>
      </w:r>
      <w:r>
        <w:rPr>
          <w:rFonts w:ascii="B Lotus" w:hAnsi="B Lotus" w:cs="B Lotus" w:eastAsia="B Lotus"/>
          <w:b w:val="0"/>
          <w:i w:val="0"/>
          <w:sz w:val="28"/>
          <w:szCs w:val="28"/>
          <w:vertAlign w:val="superscript"/>
        </w:rPr>
        <w:footnoteReference w:id="40"/>
      </w:r>
      <w:r>
        <w:rPr>
          <w:rFonts w:ascii="B Lotus" w:hAnsi="B Lotus" w:cs="B Lotus" w:eastAsia="B Lotus"/>
          <w:b w:val="0"/>
          <w:i w:val="0"/>
          <w:sz w:val="28"/>
          <w:szCs w:val="28"/>
        </w:rPr>
        <w:t xml:space="preserve"> نسبتش با تشخیص شخص ولی فقیه ـ چنان‌که در فصل چهارم می‌آید ـ نسبت «کارشناسی تخصصی» به «تصمیم نهایی» است: مجمع مصلحت را کارشناسی می‌کند، ولی فقیه تصمیم نهایی را می‌گیرد. این تقسیم کار، به نظرم یکی از حکمت‌های قانون اساسی ماست.</w:t>
      </w:r>
    </w:p>
    <w:p>
      <w:pPr>
        <w:pStyle w:val="TH-Band"/>
        <w:widowControl/>
        <w:bidi w:val="1"/>
        <w:spacing w:before="280" w:after="160" w:line="336" w:lineRule="auto"/>
        <w:jc w:val="right"/>
        <w:keepNext w:val="1"/>
      </w:pPr>
      <w:bookmarkStart w:id="62" w:name="_Toc000062"/>
      <w:r>
        <w:rPr>
          <w:rFonts w:ascii="B Traffic" w:hAnsi="B Traffic" w:cs="B Traffic" w:eastAsia="B Traffic"/>
          <w:b/>
          <w:i w:val="0"/>
          <w:sz w:val="28"/>
          <w:szCs w:val="28"/>
          <w:rtl/>
        </w:rPr>
        <w:t>بند پنجم: اصول ۱۵۲ تا ۱۵۴ و ۱۷۶؛ جهت‌گیری سیاست خارجی</w:t>
      </w:r>
      <w:bookmarkEnd w:id="62"/>
    </w:p>
    <w:p>
      <w:pPr>
        <w:pStyle w:val="TH-Body"/>
        <w:widowControl/>
        <w:bidi w:val="1"/>
        <w:spacing w:before="0" w:after="200" w:line="336" w:lineRule="auto"/>
        <w:jc w:val="both"/>
      </w:pPr>
      <w:r>
        <w:rPr>
          <w:rFonts w:ascii="B Lotus" w:hAnsi="B Lotus" w:cs="B Lotus" w:eastAsia="B Lotus"/>
          <w:b w:val="0"/>
          <w:i w:val="0"/>
          <w:sz w:val="28"/>
          <w:szCs w:val="28"/>
        </w:rPr>
        <w:t>سه اصل ۱۵۲، ۱۵۳ و ۱۵۴، «قطب‌نمای ارزشی» سیاست خارجی جمهوری اسلامی‌اند؛ یعنی هر تصمیمی در این عرصه ـ از جمله تصمیمِ مورد بحث من ـ باید با آن‌ها سازگار باشد:</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۱۵۲، مبانی سیاست خارجی را برمی‌شمرد: نفی سلطه‌جویی و سلطه‌پذیری، حفظ استقلال همه‌جانبه و تمامیت ارضی، دفاع از حقوق همه مسلمانان، عدم تعهد در برابر قدرت‌های سلطه‌گر، و روابط صلح‌آمیز متقابل با دول غیرمحارب.</w:t>
      </w:r>
      <w:r>
        <w:rPr>
          <w:rFonts w:ascii="B Lotus" w:hAnsi="B Lotus" w:cs="B Lotus" w:eastAsia="B Lotus"/>
          <w:b w:val="0"/>
          <w:i w:val="0"/>
          <w:sz w:val="28"/>
          <w:szCs w:val="28"/>
          <w:vertAlign w:val="superscript"/>
        </w:rPr>
        <w:footnoteReference w:id="41"/>
      </w:r>
      <w:r>
        <w:rPr>
          <w:rFonts w:ascii="B Lotus" w:hAnsi="B Lotus" w:cs="B Lotus" w:eastAsia="B Lotus"/>
          <w:b w:val="0"/>
          <w:i w:val="0"/>
          <w:sz w:val="28"/>
          <w:szCs w:val="28"/>
        </w:rPr>
        <w:t xml:space="preserve"> نسبتش با مسئله من در دو قید است: «عدم تعهد در برابر قدرت‌های سلطه‌گر» ـ یعنی معاهده‌ای که ایران را در برابر سلطه‌گران متعهد کند، از اول با این اصل ناسازگار است؛ و «روابط صلح‌آمیز متقابل» ـ یعنی معاهده با دول غیرمحارب، اصل است و مطلوب. پس این اصل، هم مجوزِ عدول از معاهده سلطه‌آور است، هم مؤیدِ وفا به معاهده عادلانه؛ و همین دوگانگی، نشان می‌دهد که قانون اساسی ما نه «انزواگرا»ست نه «تسلیم‌پذیر»، بلکه «عزت‌مدار»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۱۵۳، صریح‌تر و قاطع‌تر است: «هرگونه قرارداد که موجب سلطه بیگانه بر منابع طبیعی و اقتصادی، فرهنگ، ارتش و دیگر شئون کشور گردد، ممنوع است».</w:t>
      </w:r>
      <w:r>
        <w:rPr>
          <w:rFonts w:ascii="B Lotus" w:hAnsi="B Lotus" w:cs="B Lotus" w:eastAsia="B Lotus"/>
          <w:b w:val="0"/>
          <w:i w:val="0"/>
          <w:sz w:val="28"/>
          <w:szCs w:val="28"/>
          <w:vertAlign w:val="superscript"/>
        </w:rPr>
        <w:footnoteReference w:id="42"/>
      </w:r>
      <w:r>
        <w:rPr>
          <w:rFonts w:ascii="B Lotus" w:hAnsi="B Lotus" w:cs="B Lotus" w:eastAsia="B Lotus"/>
          <w:b w:val="0"/>
          <w:i w:val="0"/>
          <w:sz w:val="28"/>
          <w:szCs w:val="28"/>
        </w:rPr>
        <w:t xml:space="preserve"> این اصل، ترجمه حقوقیِ «قاعده نفی سبیل» است؛ و حکمش «ممنوعیت» است، نه فقط کراهت. نتیجه‌اش برای مسئله من قاطع است: اگر ادامه اجرای معاهده‌ای به سلطه بیگانه بینجامد ـ یا چنین سلطه‌ای را تثبیت کند ـ عدول از آن نه‌تنها جایز، که به مقتضای این اصل «واجب» است. و این وجوب، وجوبِ «قانون اساسی» است؛ یعنی بالاترین مرتبه هنجاری در نظام حقوقی داخلی. پس در فرضِ سلطه‌آور بودن، هر سه سطحِ تحلیلِ من هم‌جهت می‌شوند: شرعاً واجب (نفی سبیل)، قانوناً واجب (اصل ۱۵۳)، و بین‌المللاً ـ اگر در قالبِ نهادهای موجه بریزد ـ قابل دفاع.</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۱۵۴، آرمانِ جهانیِ انقلاب را بیان می‌کند: سعادت انسان در کل جامعه بشری، و حمایت از مبارزات حق‌طلبانه مستضعفان در برابر مستکبران ـ البته بدون دخالت در امور داخلی ملت‌ها.</w:t>
      </w:r>
      <w:r>
        <w:rPr>
          <w:rFonts w:ascii="B Lotus" w:hAnsi="B Lotus" w:cs="B Lotus" w:eastAsia="B Lotus"/>
          <w:b w:val="0"/>
          <w:i w:val="0"/>
          <w:sz w:val="28"/>
          <w:szCs w:val="28"/>
          <w:vertAlign w:val="superscript"/>
        </w:rPr>
        <w:footnoteReference w:id="43"/>
      </w:r>
      <w:r>
        <w:rPr>
          <w:rFonts w:ascii="B Lotus" w:hAnsi="B Lotus" w:cs="B Lotus" w:eastAsia="B Lotus"/>
          <w:b w:val="0"/>
          <w:i w:val="0"/>
          <w:sz w:val="28"/>
          <w:szCs w:val="28"/>
        </w:rPr>
        <w:t xml:space="preserve"> نسبتش با مسئله من غیرمستقیم است ولی مهم: معاهده‌ای که ایران را از حمایتِ مشروعِ مظلومان باز بدارد، با روحِ این اصل ناسازگار است؛ و همین ناسازگاری می‌تواند ـ در کنار سایر ادله ـ جزئی از مصلحتِ مجوزِ عدول باشد. البته ـ انصافاً ـ این اصل به‌تنهایی مجوزِ عدول نیست، چون جنبه آرمانی دارد، نه حکمیِ صریح؛ ولی در «ترازوی مصلحت» وزن دارد و نباید نادیده گرفته شود.</w:t>
      </w:r>
    </w:p>
    <w:p>
      <w:pPr>
        <w:pStyle w:val="TH-Body"/>
        <w:widowControl/>
        <w:bidi w:val="1"/>
        <w:spacing w:before="0" w:after="200" w:line="336" w:lineRule="auto"/>
        <w:ind w:firstLine="283"/>
        <w:jc w:val="both"/>
      </w:pPr>
      <w:r>
        <w:rPr>
          <w:rFonts w:ascii="B Lotus" w:hAnsi="B Lotus" w:cs="B Lotus" w:eastAsia="B Lotus"/>
          <w:b w:val="0"/>
          <w:i w:val="0"/>
          <w:sz w:val="28"/>
          <w:szCs w:val="28"/>
        </w:rPr>
        <w:t>و اصل ۱۷۶، «شورای عالی امنیت ملی» را پیش‌بینی می‌کند: شورایی به ریاست رئیس‌جمهور و با حضور سران قوا و مقامات عالیِ نظامی و امنیتی و برنامه‌ای که وظیفه‌اش سیاست‌گذاریِ دفاعی ـ امنیتی و هماهنگیِ فعالیت‌ها در چارچوبِ سیاست‌های کلیِ نظام است؛ و مصوباتش پس از تأیید رهبری لازم‌الاجراست.</w:t>
      </w:r>
      <w:r>
        <w:rPr>
          <w:rFonts w:ascii="B Lotus" w:hAnsi="B Lotus" w:cs="B Lotus" w:eastAsia="B Lotus"/>
          <w:b w:val="0"/>
          <w:i w:val="0"/>
          <w:sz w:val="28"/>
          <w:szCs w:val="28"/>
          <w:vertAlign w:val="superscript"/>
        </w:rPr>
        <w:footnoteReference w:id="44"/>
      </w:r>
      <w:r>
        <w:rPr>
          <w:rFonts w:ascii="B Lotus" w:hAnsi="B Lotus" w:cs="B Lotus" w:eastAsia="B Lotus"/>
          <w:b w:val="0"/>
          <w:i w:val="0"/>
          <w:sz w:val="28"/>
          <w:szCs w:val="28"/>
        </w:rPr>
        <w:t xml:space="preserve"> این شورا، در مقامِ عمل، «مجرای نهادیِ» تصمیمِ مورد بحث من است: تصمیمِ عدول، معمولاً در این شورا کارشناسی و صورت‌بندی می‌شود و سپس برای تأیید نهایی به رهبری عرضه می‌گردد. پس تحلیلِ حقوقیِ کاملِ تصمیم، بدون فهمِ جایگاهِ این شورا ناقص است؛ و توصیه من به تصمیم‌گیران این است که این مجرا را جدی بگیرند ـ چون تصمیمی که از مجرای نهادی بگذرد، هم مشروع‌تر است هم محکم‌تر و هم کم‌هزینه‌تر.</w:t>
      </w:r>
    </w:p>
    <w:p>
      <w:pPr>
        <w:pStyle w:val="TH-Goftar"/>
        <w:widowControl/>
        <w:bidi w:val="1"/>
        <w:spacing w:before="280" w:after="160" w:line="336" w:lineRule="auto"/>
        <w:jc w:val="right"/>
        <w:keepNext w:val="1"/>
        <w:shd w:val="clear" w:fill="EDEDED"/>
      </w:pPr>
      <w:bookmarkStart w:id="63" w:name="_Toc000063"/>
      <w:r>
        <w:rPr>
          <w:rFonts w:ascii="B Titr" w:hAnsi="B Titr" w:cs="B Titr" w:eastAsia="B Titr"/>
          <w:b/>
          <w:i w:val="0"/>
          <w:sz w:val="32"/>
          <w:szCs w:val="32"/>
          <w:rtl/>
        </w:rPr>
        <w:t>حاصل فصل دوم</w:t>
      </w:r>
      <w:bookmarkEnd w:id="63"/>
    </w:p>
    <w:p>
      <w:pPr>
        <w:pStyle w:val="TH-Body"/>
        <w:widowControl/>
        <w:bidi w:val="1"/>
        <w:spacing w:before="0" w:after="200" w:line="336" w:lineRule="auto"/>
        <w:jc w:val="both"/>
      </w:pPr>
      <w:r>
        <w:rPr>
          <w:rFonts w:ascii="B Lotus" w:hAnsi="B Lotus" w:cs="B Lotus" w:eastAsia="B Lotus"/>
          <w:b w:val="0"/>
          <w:i w:val="0"/>
          <w:sz w:val="28"/>
          <w:szCs w:val="28"/>
        </w:rPr>
        <w:t>حاصل این فصل، شناخت زمین بازی در دو دنیاست: در دنیای حقوق بین‌الملل، اصلْ وفاست (ماده ۲۶) و توجیهات داخلی پذیرفته نیست (ماده ۲۷) و خروج فقط از مجرای سازوکارهای پیش‌بینی‌شده ممکن است (مواد ۵۴ تا ۶۴)؛ و در دنیای قانون اساسی ما، مرجعیت ولی فقیه مسلّم است (اصول ۵ و ۵۷) ولی درباره خروج از التزام، هم قانون اساسی ساکت است (سکوت اصول ۷۷ و ۱۲۵) و هم اختیار صریحی در اصل ۱۱۰ نیامده. این دو تصویر ـ که یکی از بیرون و یکی از درون کشیده شد ـ حالا باید با تحلیل فقهی پیوند بخورد: این‌که شرع درباره وفا و عدول چه می‌گوید. و این، کار دو فصل بعدی است که قلب تپنده رساله‌اند.</w:t>
      </w:r>
    </w:p>
    <w:p>
      <w:r>
        <w:br w:type="page"/>
      </w:r>
    </w:p>
    <w:p/>
    <w:p/>
    <w:p/>
    <w:p>
      <w:pPr>
        <w:widowControl/>
        <w:bidi w:val="1"/>
        <w:spacing w:before="0" w:after="240" w:line="336" w:lineRule="auto"/>
        <w:ind w:right="2268" w:left="2268"/>
        <w:jc w:val="right"/>
        <w:pBdr>
          <w:bottom w:val="single" w:sz="12" w:space="6" w:color="1F3864"/>
        </w:pBdr>
      </w:pPr>
    </w:p>
    <w:p>
      <w:pPr>
        <w:pStyle w:val="TH-Bakhsh"/>
        <w:widowControl/>
        <w:bidi w:val="1"/>
        <w:spacing w:before="0" w:after="240" w:line="336" w:lineRule="auto"/>
        <w:jc w:val="right"/>
      </w:pPr>
      <w:bookmarkStart w:id="64" w:name="_Toc000064"/>
      <w:r>
        <w:rPr>
          <w:rFonts w:ascii="B Titr" w:hAnsi="B Titr" w:cs="B Titr" w:eastAsia="B Titr"/>
          <w:b/>
          <w:i w:val="0"/>
          <w:sz w:val="64"/>
          <w:szCs w:val="64"/>
          <w:rtl/>
        </w:rPr>
        <w:t>بخش دوم: تحلیل فقهی مسئله</w:t>
      </w:r>
      <w:bookmarkEnd w:id="64"/>
    </w:p>
    <w:p>
      <w:pPr>
        <w:widowControl/>
        <w:bidi w:val="1"/>
        <w:spacing w:before="0" w:after="200" w:line="336" w:lineRule="auto"/>
        <w:ind w:right="2268" w:left="2268"/>
        <w:jc w:val="right"/>
        <w:pBdr>
          <w:bottom w:val="single" w:sz="12" w:space="6" w:color="1F3864"/>
        </w:pBdr>
      </w:pPr>
    </w:p>
    <w:p>
      <w:r>
        <w:br w:type="page"/>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65" w:name="_Toc000065"/>
      <w:r>
        <w:rPr>
          <w:rFonts w:ascii="B Titr" w:hAnsi="B Titr" w:cs="B Titr" w:eastAsia="B Titr"/>
          <w:b/>
          <w:i w:val="0"/>
          <w:sz w:val="44"/>
          <w:szCs w:val="44"/>
          <w:rtl/>
        </w:rPr>
        <w:t>فصل سوم: ادله وجوب وفای به عهد</w:t>
      </w:r>
      <w:bookmarkEnd w:id="65"/>
    </w:p>
    <w:p>
      <w:pPr>
        <w:pStyle w:val="TH-Body"/>
        <w:widowControl/>
        <w:bidi w:val="1"/>
        <w:spacing w:before="0" w:after="200" w:line="336" w:lineRule="auto"/>
        <w:jc w:val="both"/>
      </w:pPr>
      <w:r>
        <w:rPr>
          <w:rFonts w:ascii="B Lotus" w:hAnsi="B Lotus" w:cs="B Lotus" w:eastAsia="B Lotus"/>
          <w:b w:val="0"/>
          <w:i w:val="0"/>
          <w:sz w:val="28"/>
          <w:szCs w:val="28"/>
        </w:rPr>
        <w:t>می‌گویند بنّای ماهر اول پی را می‌کند و بعد دیوار را بالا می‌برد؛ و اگر پی سست باشد، هرچه دیوار بلندتر، فرو ریختن هولناک‌تر. در استدلال فقهی هم همین‌طور است: قبل از این‌که از «جواز عدول» حرف بزنم، باید «وجوب وفا» را با همه قوتش اثبات کنم؛ چون جواز عدول، خروج از این قاعده است و خروج از قاعده‌ای که اثبات نشده، بی‌معناست. بعضی نویسندگان ـ با عجله‌ای که برای رسیدن به نتیجه مطلوبشان دارند ـ این مرحله را سرسری می‌گیرند و ادله طرف مقابل را ضعیف جلوه می‌دهند تا کار خودشان آسان شود. من این راه را نمی‌روم؛ نه از سر وسواس، بلکه از سر حکمت: هرچه قاعده وفا قوی‌تر اثبات شود، جواز عدولِ مستثنا از آن ـ اگر ثابت شود ـ ارزشمندتر و قابل‌دفاع‌تر است. پس در این فصل، وکیل‌مدافع وفا هستم؛ وکیلی که با تمام توان از موکلش دفاع می‌کند، هرچند می‌داند در فصل بعد باید استثنایش را هم بپذیرد.</w:t>
      </w:r>
    </w:p>
    <w:p>
      <w:pPr>
        <w:pStyle w:val="TH-Goftar"/>
        <w:widowControl/>
        <w:bidi w:val="1"/>
        <w:spacing w:before="280" w:after="160" w:line="336" w:lineRule="auto"/>
        <w:jc w:val="right"/>
        <w:keepNext w:val="1"/>
        <w:shd w:val="clear" w:fill="EDEDED"/>
      </w:pPr>
      <w:bookmarkStart w:id="66" w:name="_Toc000066"/>
      <w:r>
        <w:rPr>
          <w:rFonts w:ascii="B Titr" w:hAnsi="B Titr" w:cs="B Titr" w:eastAsia="B Titr"/>
          <w:b/>
          <w:i w:val="0"/>
          <w:sz w:val="32"/>
          <w:szCs w:val="32"/>
          <w:rtl/>
        </w:rPr>
        <w:t>گفتار اول: آیات عام وجوب وفا</w:t>
      </w:r>
      <w:bookmarkEnd w:id="66"/>
    </w:p>
    <w:p>
      <w:pPr>
        <w:pStyle w:val="TH-Band"/>
        <w:widowControl/>
        <w:bidi w:val="1"/>
        <w:spacing w:before="280" w:after="160" w:line="336" w:lineRule="auto"/>
        <w:jc w:val="right"/>
        <w:keepNext w:val="1"/>
      </w:pPr>
      <w:bookmarkStart w:id="67" w:name="_Toc000067"/>
      <w:r>
        <w:rPr>
          <w:rFonts w:ascii="B Traffic" w:hAnsi="B Traffic" w:cs="B Traffic" w:eastAsia="B Traffic"/>
          <w:b/>
          <w:i w:val="0"/>
          <w:sz w:val="28"/>
          <w:szCs w:val="28"/>
          <w:rtl/>
        </w:rPr>
        <w:t>بند اول: آیه اوفوا بالعقود؛ امّ ادله</w:t>
      </w:r>
      <w:bookmarkEnd w:id="67"/>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يَا أَيُّهَا الَّذِينَ آمَنُوا أَوْفُوا بِالْعُقُودِ</w:t>
      </w:r>
      <w:r>
        <w:rPr>
          <w:rFonts w:ascii="B Badr" w:hAnsi="B Badr" w:cs="B Badr" w:eastAsia="B Badr"/>
          <w:b w:val="0"/>
          <w:i w:val="0"/>
          <w:sz w:val="26"/>
          <w:szCs w:val="26"/>
          <w:vertAlign w:val="superscript"/>
        </w:rPr>
        <w:footnoteReference w:id="45"/>
      </w:r>
    </w:p>
    <w:p>
      <w:pPr>
        <w:pStyle w:val="TH-Body"/>
        <w:widowControl/>
        <w:bidi w:val="1"/>
        <w:spacing w:before="0" w:after="200" w:line="336" w:lineRule="auto"/>
        <w:jc w:val="both"/>
      </w:pPr>
      <w:r>
        <w:rPr>
          <w:rFonts w:ascii="B Lotus" w:hAnsi="B Lotus" w:cs="B Lotus" w:eastAsia="B Lotus"/>
          <w:b w:val="0"/>
          <w:i w:val="0"/>
          <w:sz w:val="28"/>
          <w:szCs w:val="28"/>
        </w:rPr>
        <w:t>این آیه، امّ ادله باب است؛ آیه‌ای که فقهای ما در هر بحثی از عقود و تعهدات، اول به آن استناد کرده‌اند. «اوفوا» امر است و ظاهر امر ـ چنان‌که در اصول ثابت شده ـ وجوب است؛ و «العقود» جمع محلّی به الف و لام است و افاده عموم می‌کند. پس مفاد آیه: وفای به «همه» عقود، بر «همه» مؤمنان واجب است. و معاهده بین‌المللی دولت اسلامی ـ که عقدی است میان دولت اسلامی و دولت‌های دیگر ـ داخل در این عموم است؛ چون «عقد» در لغت و عرف، هر گره و پیمان استوار است و اختصاص به عقود معاوضی خصوصی ندارد.</w:t>
      </w:r>
      <w:r>
        <w:rPr>
          <w:rFonts w:ascii="B Lotus" w:hAnsi="B Lotus" w:cs="B Lotus" w:eastAsia="B Lotus"/>
          <w:b w:val="0"/>
          <w:i w:val="0"/>
          <w:sz w:val="28"/>
          <w:szCs w:val="28"/>
          <w:vertAlign w:val="superscript"/>
        </w:rPr>
        <w:footnoteReference w:id="46"/>
      </w:r>
    </w:p>
    <w:p>
      <w:pPr>
        <w:pStyle w:val="TH-Body"/>
        <w:widowControl/>
        <w:bidi w:val="1"/>
        <w:spacing w:before="0" w:after="200" w:line="336" w:lineRule="auto"/>
        <w:ind w:firstLine="283"/>
        <w:jc w:val="both"/>
      </w:pPr>
      <w:r>
        <w:rPr>
          <w:rFonts w:ascii="B Lotus" w:hAnsi="B Lotus" w:cs="B Lotus" w:eastAsia="B Lotus"/>
          <w:b w:val="0"/>
          <w:i w:val="0"/>
          <w:sz w:val="28"/>
          <w:szCs w:val="28"/>
        </w:rPr>
        <w:t>ممکن است کسی اشکال کند که مخاطب آیه «افراد مؤمن»‌اند، نه «دولت»؛ و دولت شخصیت حقوقیِ مدرنی است که در عصر نزول متصور نبوده. جوابش ـ چنان‌که فقهای معاصر گفته‌اند ـ این است که احکام خطاب به «مکلفان» است و دولت اسلامی، مجموعه مکلفانی است که در قالب نهادی عمل می‌کنند؛ و حاکم اسلامی که به نمایندگی از امت پیمان می‌بندد، مخاطب این خطاب است. به‌علاوه، سیره پیامبر و امیرالمؤمنین ـ چنان‌که در گفتار چهارم می‌آید ـ نشان می‌دهد که عهدنامه‌های حکومتی را مشمول همین وجوب وفا می‌دانستند. پس اشکال، وارد نیست؛ ولی طرحش لازم بود، چون نشان می‌دهد که استدلال به آیه نیازمند این واسطه‌هاست و مستقیم و بی‌واسطه نیست. و همین دقت‌هاست که فرق کار علمی با شعار است.</w:t>
      </w:r>
    </w:p>
    <w:p>
      <w:pPr>
        <w:pStyle w:val="TH-Band"/>
        <w:widowControl/>
        <w:bidi w:val="1"/>
        <w:spacing w:before="280" w:after="160" w:line="336" w:lineRule="auto"/>
        <w:jc w:val="right"/>
        <w:keepNext w:val="1"/>
      </w:pPr>
      <w:bookmarkStart w:id="68" w:name="_Toc000068"/>
      <w:r>
        <w:rPr>
          <w:rFonts w:ascii="B Traffic" w:hAnsi="B Traffic" w:cs="B Traffic" w:eastAsia="B Traffic"/>
          <w:b/>
          <w:i w:val="0"/>
          <w:sz w:val="28"/>
          <w:szCs w:val="28"/>
          <w:rtl/>
        </w:rPr>
        <w:t>بند دوم: آیات نحل و اسراء و رعد و مؤمنون</w:t>
      </w:r>
      <w:bookmarkEnd w:id="68"/>
    </w:p>
    <w:p>
      <w:pPr>
        <w:pStyle w:val="TH-Body"/>
        <w:widowControl/>
        <w:bidi w:val="1"/>
        <w:spacing w:before="0" w:after="200" w:line="336" w:lineRule="auto"/>
        <w:jc w:val="both"/>
      </w:pPr>
      <w:r>
        <w:rPr>
          <w:rFonts w:ascii="B Lotus" w:hAnsi="B Lotus" w:cs="B Lotus" w:eastAsia="B Lotus"/>
          <w:b w:val="0"/>
          <w:i w:val="0"/>
          <w:sz w:val="28"/>
          <w:szCs w:val="28"/>
        </w:rPr>
        <w:t>آیه دوم، آیات ۹۱ و ۹۲ نحل است:</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وَأَوْفُوا بِعَهْدِ اللَّهِ إِذَا عَاهَدْتُمْ وَلَا تَنْقُضُوا الْأَيْمَانَ بَعْدَ تَوْکِیدِهَا… وَلَا تَکُونُوا کَالَّتِی نَقَضَتْ غَزْلَهَا مِنْ بَعْدِ قُوَّةٍ أَنْکَاثًا</w:t>
      </w:r>
      <w:r>
        <w:rPr>
          <w:rFonts w:ascii="B Badr" w:hAnsi="B Badr" w:cs="B Badr" w:eastAsia="B Badr"/>
          <w:b w:val="0"/>
          <w:i w:val="0"/>
          <w:sz w:val="26"/>
          <w:szCs w:val="26"/>
          <w:vertAlign w:val="superscript"/>
        </w:rPr>
        <w:footnoteReference w:id="47"/>
      </w:r>
    </w:p>
    <w:p>
      <w:pPr>
        <w:pStyle w:val="TH-Body"/>
        <w:widowControl/>
        <w:bidi w:val="1"/>
        <w:spacing w:before="0" w:after="200" w:line="336" w:lineRule="auto"/>
        <w:jc w:val="both"/>
      </w:pPr>
      <w:r>
        <w:rPr>
          <w:rFonts w:ascii="B Lotus" w:hAnsi="B Lotus" w:cs="B Lotus" w:eastAsia="B Lotus"/>
          <w:b w:val="0"/>
          <w:i w:val="0"/>
          <w:sz w:val="28"/>
          <w:szCs w:val="28"/>
        </w:rPr>
        <w:t>این آیه دو لایه دارد: لایه اول، امر به وفا و نهی از نقض؛ و لایه دوم، تمثیلِ تحقیرآمیزِ ناقضِ عهد به زنی که رشته‌اش را پس از تابیدن، باز می‌کند ـ تمثیلی که هم حماقت نقض را می‌رساند هم قبحش را. مفسران گفته‌اند که «عهد الله» در این آیه اعم است و شامل عهد با مردم هم می‌شود، چون عهد با مردم ـ وقتی با نام خدا و التزام دینی بسته شود ـ عهد با خداست.</w:t>
      </w:r>
      <w:r>
        <w:rPr>
          <w:rFonts w:ascii="B Lotus" w:hAnsi="B Lotus" w:cs="B Lotus" w:eastAsia="B Lotus"/>
          <w:b w:val="0"/>
          <w:i w:val="0"/>
          <w:sz w:val="28"/>
          <w:szCs w:val="28"/>
          <w:vertAlign w:val="superscript"/>
        </w:rPr>
        <w:footnoteReference w:id="48"/>
      </w:r>
      <w:r>
        <w:rPr>
          <w:rFonts w:ascii="B Lotus" w:hAnsi="B Lotus" w:cs="B Lotus" w:eastAsia="B Lotus"/>
          <w:b w:val="0"/>
          <w:i w:val="0"/>
          <w:sz w:val="28"/>
          <w:szCs w:val="28"/>
        </w:rPr>
        <w:t xml:space="preserve"> و معاهده دولت اسلامی ـ که حاکم مسلمان به نمایندگی از امت می‌بندد ـ از روشن‌ترین مصادیق همین عهد است.</w:t>
      </w:r>
    </w:p>
    <w:p>
      <w:pPr>
        <w:pStyle w:val="TH-Body"/>
        <w:widowControl/>
        <w:bidi w:val="1"/>
        <w:spacing w:before="0" w:after="200" w:line="336" w:lineRule="auto"/>
        <w:ind w:firstLine="283"/>
        <w:jc w:val="both"/>
      </w:pPr>
      <w:r>
        <w:rPr>
          <w:rFonts w:ascii="B Lotus" w:hAnsi="B Lotus" w:cs="B Lotus" w:eastAsia="B Lotus"/>
          <w:b w:val="0"/>
          <w:i w:val="0"/>
          <w:sz w:val="28"/>
          <w:szCs w:val="28"/>
        </w:rPr>
        <w:t>آیه سوم، آیه ۳۴ اسراء است:</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وَأَوْفُوا بِالْعَهْدِ إِنَّ الْعَهْدَ کَانَ مَسْئُولًا</w:t>
      </w:r>
      <w:r>
        <w:rPr>
          <w:rFonts w:ascii="B Badr" w:hAnsi="B Badr" w:cs="B Badr" w:eastAsia="B Badr"/>
          <w:b w:val="0"/>
          <w:i w:val="0"/>
          <w:sz w:val="26"/>
          <w:szCs w:val="26"/>
          <w:vertAlign w:val="superscript"/>
        </w:rPr>
        <w:footnoteReference w:id="49"/>
      </w:r>
    </w:p>
    <w:p>
      <w:pPr>
        <w:pStyle w:val="TH-Body"/>
        <w:widowControl/>
        <w:bidi w:val="1"/>
        <w:spacing w:before="0" w:after="200" w:line="336" w:lineRule="auto"/>
        <w:jc w:val="both"/>
      </w:pPr>
      <w:r>
        <w:rPr>
          <w:rFonts w:ascii="B Lotus" w:hAnsi="B Lotus" w:cs="B Lotus" w:eastAsia="B Lotus"/>
          <w:b w:val="0"/>
          <w:i w:val="0"/>
          <w:sz w:val="28"/>
          <w:szCs w:val="28"/>
        </w:rPr>
        <w:t>ذیل آیه ـ «همانا عهد مورد سؤال است» ـ دلالت بر اهمیت فوق‌العاده وفا دارد؛ این‌که عهدشکنی از آن گناهانی است که در قیامت «بازخواست» می‌شود، نه این‌که نادیده گرفته شود. و این لحنِ تهدیدآمیز، با لحن آیات قبل (امر و تمثیل) متفاوت است و نشان می‌دهد که قرآن از زوایای مختلف ـ امر، تمثیل، تهدید ـ بر یک حقیقت تأکید می‌کند: عهد، شوخی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آیه چهارم، آیات ۲۰ تا ۲۵ رعد است که وفای به عهد را از اوصاف «اولوا الالباب» می‌شمرد:</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الَّذِینَ یُوفُونَ بِعَهْدِ اللَّهِ وَلَا یَنْقُضُونَ الْمِیثَاقَ</w:t>
      </w:r>
      <w:r>
        <w:rPr>
          <w:rFonts w:ascii="B Badr" w:hAnsi="B Badr" w:cs="B Badr" w:eastAsia="B Badr"/>
          <w:b w:val="0"/>
          <w:i w:val="0"/>
          <w:sz w:val="26"/>
          <w:szCs w:val="26"/>
          <w:vertAlign w:val="superscript"/>
        </w:rPr>
        <w:footnoteReference w:id="50"/>
      </w:r>
    </w:p>
    <w:p>
      <w:pPr>
        <w:pStyle w:val="TH-Body"/>
        <w:widowControl/>
        <w:bidi w:val="1"/>
        <w:spacing w:before="0" w:after="200" w:line="336" w:lineRule="auto"/>
        <w:jc w:val="both"/>
      </w:pPr>
      <w:r>
        <w:rPr>
          <w:rFonts w:ascii="B Lotus" w:hAnsi="B Lotus" w:cs="B Lotus" w:eastAsia="B Lotus"/>
          <w:b w:val="0"/>
          <w:i w:val="0"/>
          <w:sz w:val="28"/>
          <w:szCs w:val="28"/>
        </w:rPr>
        <w:t>و در برابر، ناقضان میثاق را لعنت می‌کند و برایشان سوءِ دار (بدفرجامی) وعده می‌دهد. این آیه، وفا را از سطح «تکلیف» به سطح «فضیلت» و «نشانه خردمندی» بالا می‌برد؛ و نقض را از سطح «گناه» به سطح «نشانه بی‌خردی و استحقاق لعنت» پایین می‌آورد. پیامش برای حاکم اسلامی روشن است: عهدشکنی نه‌تنها حرام، که ننگ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آیه پنجم، آیه ۸ مؤمنون (و نظیرش آیه ۳۲ معارج) است که امانت‌داری و عهدنگهداری را از اوصاف مؤمنان رستگار می‌شمرد:</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وَالَّذِینَ هُمْ لِأَمَانَاتِهِمْ وَعَهْدِهِمْ رَاعُونَ</w:t>
      </w:r>
      <w:r>
        <w:rPr>
          <w:rFonts w:ascii="B Badr" w:hAnsi="B Badr" w:cs="B Badr" w:eastAsia="B Badr"/>
          <w:b w:val="0"/>
          <w:i w:val="0"/>
          <w:sz w:val="26"/>
          <w:szCs w:val="26"/>
          <w:vertAlign w:val="superscript"/>
        </w:rPr>
        <w:footnoteReference w:id="51"/>
      </w:r>
    </w:p>
    <w:p>
      <w:pPr>
        <w:pStyle w:val="TH-Body"/>
        <w:widowControl/>
        <w:bidi w:val="1"/>
        <w:spacing w:before="0" w:after="200" w:line="336" w:lineRule="auto"/>
        <w:jc w:val="both"/>
      </w:pPr>
      <w:r>
        <w:rPr>
          <w:rFonts w:ascii="B Lotus" w:hAnsi="B Lotus" w:cs="B Lotus" w:eastAsia="B Lotus"/>
          <w:b w:val="0"/>
          <w:i w:val="0"/>
          <w:sz w:val="28"/>
          <w:szCs w:val="28"/>
        </w:rPr>
        <w:t>این پنج آیه، مجموعاً منظومه‌ای می‌سازند که از پنج زاویه بر یک حقیقت می‌تابد: امر (مائده)، تمثیل (نحل)، تهدید (اسراء)، مدح و ذم (رعد)، و وصف مؤمن (مؤمنون). هرکدام به‌تنهایی برای اثبات وجوب کافی است؛ و اجتماعشان، اطمینانی می‌سازد که جای هیچ تردیدی باقی نمی‌گذارد. قاعده اولی، وجوب وفاست؛ و این، مسلّم است.</w:t>
      </w:r>
    </w:p>
    <w:p>
      <w:pPr>
        <w:pStyle w:val="TH-Band"/>
        <w:widowControl/>
        <w:bidi w:val="1"/>
        <w:spacing w:before="280" w:after="160" w:line="336" w:lineRule="auto"/>
        <w:jc w:val="right"/>
        <w:keepNext w:val="1"/>
      </w:pPr>
      <w:bookmarkStart w:id="69" w:name="_Toc000069"/>
      <w:r>
        <w:rPr>
          <w:rFonts w:ascii="B Traffic" w:hAnsi="B Traffic" w:cs="B Traffic" w:eastAsia="B Traffic"/>
          <w:b/>
          <w:i w:val="0"/>
          <w:sz w:val="28"/>
          <w:szCs w:val="28"/>
          <w:rtl/>
        </w:rPr>
        <w:t>بند سوم: دفع یک توهم؛ عموم یا اطلاق؟</w:t>
      </w:r>
      <w:bookmarkEnd w:id="69"/>
    </w:p>
    <w:p>
      <w:pPr>
        <w:pStyle w:val="TH-Body"/>
        <w:widowControl/>
        <w:bidi w:val="1"/>
        <w:spacing w:before="0" w:after="200" w:line="336" w:lineRule="auto"/>
        <w:jc w:val="both"/>
      </w:pPr>
      <w:r>
        <w:rPr>
          <w:rFonts w:ascii="B Lotus" w:hAnsi="B Lotus" w:cs="B Lotus" w:eastAsia="B Lotus"/>
          <w:b w:val="0"/>
          <w:i w:val="0"/>
          <w:sz w:val="28"/>
          <w:szCs w:val="28"/>
        </w:rPr>
        <w:t>این‌جا باید به پرسشی فنی ـ ولی سرنوشت‌ساز ـ جواب بدهم که در فصل چهارم مبنای بحث می‌شود: آیا دلالت این آیات بر وجوب وفا، از باب «عموم» است یا «اطلاق»؟ فرقش این است که عموم (مثل جمع محلّی) با تخصیص برداشته می‌شود، ولی اطلاق (مثل امرِ مطلق) با انصراف و قرینه هم قابل تحدید است. به نظر من ـ و چنان‌که در فصل چهارم تفصیل می‌دهم ـ دلالت آیات، ترکیبی است: «العقود» و «العهد» عموم دارند، ولی «اوفوا» اطلاق دارد؛ و همین ترکیب، راه را برای تحلیل تزاحمی باز می‌گذارد. چون در تزاحم، ما نه عموم را تخصیص می‌زنیم نه اطلاق را مقید می‌کنیم به معنای مصطلح؛ بلکه می‌گوییم در مقام امتثال، اهم مقدم است و مهم ـ با بقای حکمش در مقام جعل ـ فعلاً اجرا نمی‌شود. این تحلیل فنی را این‌جا فقط اشاره می‌کنم و تفصیلش را به فصل چهارم می‌سپارم؛ ولی خواننده باید بداند که دعوای اصلیِ فصل بعد، همین‌جاست.</w:t>
      </w:r>
    </w:p>
    <w:p>
      <w:pPr>
        <w:pStyle w:val="TH-Goftar"/>
        <w:widowControl/>
        <w:bidi w:val="1"/>
        <w:spacing w:before="280" w:after="160" w:line="336" w:lineRule="auto"/>
        <w:jc w:val="right"/>
        <w:keepNext w:val="1"/>
        <w:shd w:val="clear" w:fill="EDEDED"/>
      </w:pPr>
      <w:bookmarkStart w:id="70" w:name="_Toc000070"/>
      <w:r>
        <w:rPr>
          <w:rFonts w:ascii="B Titr" w:hAnsi="B Titr" w:cs="B Titr" w:eastAsia="B Titr"/>
          <w:b/>
          <w:i w:val="0"/>
          <w:sz w:val="32"/>
          <w:szCs w:val="32"/>
          <w:rtl/>
        </w:rPr>
        <w:t>گفتار دوم: آیات خاص جهاد و عهدنامه‌ها</w:t>
      </w:r>
      <w:bookmarkEnd w:id="70"/>
    </w:p>
    <w:p>
      <w:pPr>
        <w:pStyle w:val="TH-Band"/>
        <w:widowControl/>
        <w:bidi w:val="1"/>
        <w:spacing w:before="280" w:after="160" w:line="336" w:lineRule="auto"/>
        <w:jc w:val="right"/>
        <w:keepNext w:val="1"/>
      </w:pPr>
      <w:bookmarkStart w:id="71" w:name="_Toc000071"/>
      <w:r>
        <w:rPr>
          <w:rFonts w:ascii="B Traffic" w:hAnsi="B Traffic" w:cs="B Traffic" w:eastAsia="B Traffic"/>
          <w:b/>
          <w:i w:val="0"/>
          <w:sz w:val="28"/>
          <w:szCs w:val="28"/>
          <w:rtl/>
        </w:rPr>
        <w:t>بند اول: آیات توبه؛ وفا در برابر استقامت</w:t>
      </w:r>
      <w:bookmarkEnd w:id="71"/>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إِلَّا الَّذِینَ عَاهَدْتُمْ مِنَ الْمُشْرِکِینَ ثُمَّ لَمْ یَنْقُصُوکُمْ شَیْئًا وَلَمْ یُظَاهِرُوا عَلَیْکُمْ أَحَدًا فَأَتِمُّوا إِلَیْهِمْ عَهْدَهُمْ إِلَی مُدَّتِهِمْ إِنَّ اللَّهَ یُحِبُّ الْمُتَّقِینَ</w:t>
      </w:r>
      <w:r>
        <w:rPr>
          <w:rFonts w:ascii="B Badr" w:hAnsi="B Badr" w:cs="B Badr" w:eastAsia="B Badr"/>
          <w:b w:val="0"/>
          <w:i w:val="0"/>
          <w:sz w:val="26"/>
          <w:szCs w:val="26"/>
          <w:vertAlign w:val="superscript"/>
        </w:rPr>
        <w:footnoteReference w:id="52"/>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فَمَا اسْتَقَامُوا لَکُمْ فَاسْتَقِیمُوا لَهُمْ إِنَّ اللَّهَ یُحِبُّ الْمُتَّقِینَ</w:t>
      </w:r>
      <w:r>
        <w:rPr>
          <w:rFonts w:ascii="B Badr" w:hAnsi="B Badr" w:cs="B Badr" w:eastAsia="B Badr"/>
          <w:b w:val="0"/>
          <w:i w:val="0"/>
          <w:sz w:val="26"/>
          <w:szCs w:val="26"/>
          <w:vertAlign w:val="superscript"/>
        </w:rPr>
        <w:footnoteReference w:id="53"/>
      </w:r>
    </w:p>
    <w:p>
      <w:pPr>
        <w:pStyle w:val="TH-Body"/>
        <w:widowControl/>
        <w:bidi w:val="1"/>
        <w:spacing w:before="0" w:after="200" w:line="336" w:lineRule="auto"/>
        <w:jc w:val="both"/>
      </w:pPr>
      <w:r>
        <w:rPr>
          <w:rFonts w:ascii="B Lotus" w:hAnsi="B Lotus" w:cs="B Lotus" w:eastAsia="B Lotus"/>
          <w:b w:val="0"/>
          <w:i w:val="0"/>
          <w:sz w:val="28"/>
          <w:szCs w:val="28"/>
        </w:rPr>
        <w:t>این دو آیه، در بستر جهاد و روابط با مشرکان نازل شده‌اند؛ ولی منطقشان عام است و فراتر از بستر نزول می‌رود. آیه ۴ می‌گوید: حتی با مشرکان ـ که دشمن‌ترین دشمنان‌اند ـ اگر عهد بستید و آن‌ها بر عهدشان ماندند، شما هم تا پایان مدت به عهدتان وفا کنید. و آیه ۷ منطق «تقابل» را بیان می‌کند: تا وقتی آن‌ها بر عهد استوارند، شما هم استوار باشید. مفهوم مخالفش هم روشن است: اگر آن‌ها نقض کردند، شما دیگر ملزم به وفا نیستید ـ که این، مبنای قرآنیِ «عدول واکنشی» (صورت چهارم طیف من)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نکته‌ای که باید توجه کرد: این آیات نشان می‌دهند که وجوب وفا در فقه ما، حتی در برابر «دشمن» هم جاری است؛ چه رسد به دولت‌های غیرمحارب و دوست. پس کسی که بخواهد از این قاعده بیرون برود، باید دلیلی بیاورد که از این اطلاق قوی‌تر باشد. و من در فصل چهارم دقیقاً همین کار را می‌کنم: نه با انکار اطلاق، بلکه با اثبات تزاحم.</w:t>
      </w:r>
    </w:p>
    <w:p>
      <w:pPr>
        <w:pStyle w:val="TH-Band"/>
        <w:widowControl/>
        <w:bidi w:val="1"/>
        <w:spacing w:before="280" w:after="160" w:line="336" w:lineRule="auto"/>
        <w:jc w:val="right"/>
        <w:keepNext w:val="1"/>
      </w:pPr>
      <w:bookmarkStart w:id="72" w:name="_Toc000072"/>
      <w:r>
        <w:rPr>
          <w:rFonts w:ascii="B Traffic" w:hAnsi="B Traffic" w:cs="B Traffic" w:eastAsia="B Traffic"/>
          <w:b/>
          <w:i w:val="0"/>
          <w:sz w:val="28"/>
          <w:szCs w:val="28"/>
          <w:rtl/>
        </w:rPr>
        <w:t>بند دوم: آیات انفال؛ انباذ و یاری مظلوم</w:t>
      </w:r>
      <w:bookmarkEnd w:id="72"/>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وَإِمَّا تَخَافَنَّ مِنْ قَوْمٍ خِیَانَةً فَانْبِذْ إِلَیْهِمْ عَلَی سَوَاءٍ إِنَّ اللَّهَ لَا یُحِبُّ الْخَائِنِینَ</w:t>
      </w:r>
      <w:r>
        <w:rPr>
          <w:rFonts w:ascii="B Badr" w:hAnsi="B Badr" w:cs="B Badr" w:eastAsia="B Badr"/>
          <w:b w:val="0"/>
          <w:i w:val="0"/>
          <w:sz w:val="26"/>
          <w:szCs w:val="26"/>
          <w:vertAlign w:val="superscript"/>
        </w:rPr>
        <w:footnoteReference w:id="54"/>
      </w:r>
    </w:p>
    <w:p>
      <w:pPr>
        <w:pStyle w:val="TH-Body"/>
        <w:widowControl/>
        <w:bidi w:val="1"/>
        <w:spacing w:before="0" w:after="200" w:line="336" w:lineRule="auto"/>
        <w:jc w:val="both"/>
      </w:pPr>
      <w:r>
        <w:rPr>
          <w:rFonts w:ascii="B Lotus" w:hAnsi="B Lotus" w:cs="B Lotus" w:eastAsia="B Lotus"/>
          <w:b w:val="0"/>
          <w:i w:val="0"/>
          <w:sz w:val="28"/>
          <w:szCs w:val="28"/>
        </w:rPr>
        <w:t>این آیه، مهم‌ترین آیه برای «صورتِ» عدول است؛ چون تکلیف حاکم را در فرض خوف خیانت مشخص می‌کند: نه این‌که پنهانی نقض کند، نه این‌که صبر کند تا خیانت واقع شود؛ بلکه «انباذ علی سواء» ـ یعنی اعلام آشکار فسخ عهد، طوری که هر دو طرف در وضعیت برابر قرار بگیرند (هر دو بدانند که عهدی در کار نیست). این آیه، مبنای قرآنیِ ضابطه ششم من (اعلام آشکار) است؛ و نشان می‌دهد که حتی در فرض مجوزِ عدول، «شیوه» عدول هم ضابطه دارد: شفاف، آشکار، و منصفانه. عدولِ پنهانی و غافلگیرانه، از نظر این آیه «خیانت» است و خدا خائنان را دوست ندارد ـ حتی اگر طرف مقابل، دشمن باشد. این، اوج اخلاقِ حکومتیِ اسلام است و باید به آن افتخار کرد.</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وَإِنِ اسْتَنْصَرُوکُمْ فِی الدِّینِ فَعَلَیْکُمُ النَّصْرُ إِلَّا عَلَی قَوْمٍ بَیْنَکُمْ وَبَیْنَهُمْ مِیثَاقٌ</w:t>
      </w:r>
      <w:r>
        <w:rPr>
          <w:rFonts w:ascii="B Badr" w:hAnsi="B Badr" w:cs="B Badr" w:eastAsia="B Badr"/>
          <w:b w:val="0"/>
          <w:i w:val="0"/>
          <w:sz w:val="26"/>
          <w:szCs w:val="26"/>
          <w:vertAlign w:val="superscript"/>
        </w:rPr>
        <w:footnoteReference w:id="55"/>
      </w:r>
    </w:p>
    <w:p>
      <w:pPr>
        <w:pStyle w:val="TH-Body"/>
        <w:widowControl/>
        <w:bidi w:val="1"/>
        <w:spacing w:before="0" w:after="200" w:line="336" w:lineRule="auto"/>
        <w:jc w:val="both"/>
      </w:pPr>
      <w:r>
        <w:rPr>
          <w:rFonts w:ascii="B Lotus" w:hAnsi="B Lotus" w:cs="B Lotus" w:eastAsia="B Lotus"/>
          <w:b w:val="0"/>
          <w:i w:val="0"/>
          <w:sz w:val="28"/>
          <w:szCs w:val="28"/>
        </w:rPr>
        <w:t>و این آیه، نکته ظریف دیگری دارد: حتی «یاری دینی» ـ که واجب است ـ در برابر «میثاق» متوقف می‌شود. یعنی اگر با قومی پیمان بسته‌اید، نمی‌توانید به بهانه یاری مسلمانانِ تحت ستمِ آن قوم، پیمانتان را بشکنید. این آیه، قوت وجوب وفا را نشان می‌دهد: حتی در برابر واجبی مثل نصرت دینی، وفا مقدم است. پس مجوز عدول ـ اگر باشد ـ باید از جنس «اهم» باشد؛ و همین، مبنای ضابطه اول من (احراز تزاحم واقعی با اهم) است.</w:t>
      </w:r>
    </w:p>
    <w:p>
      <w:pPr>
        <w:pStyle w:val="TH-Goftar"/>
        <w:widowControl/>
        <w:bidi w:val="1"/>
        <w:spacing w:before="280" w:after="160" w:line="336" w:lineRule="auto"/>
        <w:jc w:val="right"/>
        <w:keepNext w:val="1"/>
        <w:shd w:val="clear" w:fill="EDEDED"/>
      </w:pPr>
      <w:bookmarkStart w:id="73" w:name="_Toc000073"/>
      <w:r>
        <w:rPr>
          <w:rFonts w:ascii="B Titr" w:hAnsi="B Titr" w:cs="B Titr" w:eastAsia="B Titr"/>
          <w:b/>
          <w:i w:val="0"/>
          <w:sz w:val="32"/>
          <w:szCs w:val="32"/>
          <w:rtl/>
        </w:rPr>
        <w:t>گفتار سوم: روایات وفای به عهد</w:t>
      </w:r>
      <w:bookmarkEnd w:id="73"/>
    </w:p>
    <w:p>
      <w:pPr>
        <w:pStyle w:val="TH-Band"/>
        <w:widowControl/>
        <w:bidi w:val="1"/>
        <w:spacing w:before="280" w:after="160" w:line="336" w:lineRule="auto"/>
        <w:jc w:val="right"/>
        <w:keepNext w:val="1"/>
      </w:pPr>
      <w:bookmarkStart w:id="74" w:name="_Toc000074"/>
      <w:r>
        <w:rPr>
          <w:rFonts w:ascii="B Traffic" w:hAnsi="B Traffic" w:cs="B Traffic" w:eastAsia="B Traffic"/>
          <w:b/>
          <w:i w:val="0"/>
          <w:sz w:val="28"/>
          <w:szCs w:val="28"/>
          <w:rtl/>
        </w:rPr>
        <w:t>بند اول: حدیث شروط؛ المؤمنون عند شروطهم</w:t>
      </w:r>
      <w:bookmarkEnd w:id="74"/>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الْمُؤْمِنُونَ عِنْدَ شُرُوطِهِمْ</w:t>
      </w:r>
      <w:r>
        <w:rPr>
          <w:rFonts w:ascii="B Badr" w:hAnsi="B Badr" w:cs="B Badr" w:eastAsia="B Badr"/>
          <w:b w:val="0"/>
          <w:i w:val="0"/>
          <w:sz w:val="26"/>
          <w:szCs w:val="26"/>
          <w:vertAlign w:val="superscript"/>
        </w:rPr>
        <w:footnoteReference w:id="56"/>
      </w:r>
    </w:p>
    <w:p>
      <w:pPr>
        <w:pStyle w:val="TH-Body"/>
        <w:widowControl/>
        <w:bidi w:val="1"/>
        <w:spacing w:before="0" w:after="200" w:line="336" w:lineRule="auto"/>
        <w:jc w:val="both"/>
      </w:pPr>
      <w:r>
        <w:rPr>
          <w:rFonts w:ascii="B Lotus" w:hAnsi="B Lotus" w:cs="B Lotus" w:eastAsia="B Lotus"/>
          <w:b w:val="0"/>
          <w:i w:val="0"/>
          <w:sz w:val="28"/>
          <w:szCs w:val="28"/>
        </w:rPr>
        <w:t>این حدیث شریف، مشهورترین روایت باب است؛ روایتی که فقهای ما در همه ابواب عقود به آن استناد کرده‌اند. مفادش: مؤمنان پایبندِ شرط‌هایشان هستند؛ و این جمله خبری در مقام انشاست، یعنی «باید پایبند باشند». شمولش نسبت به معاهدات بین‌المللی از این جهت است که معاهده، مجموعه‌ای از شروط متقابل است و دولت اسلامی ـ به نمایندگی از امت مؤمن ـ مخاطب این خطاب است.</w:t>
      </w:r>
    </w:p>
    <w:p>
      <w:pPr>
        <w:pStyle w:val="TH-Body"/>
        <w:widowControl/>
        <w:bidi w:val="1"/>
        <w:spacing w:before="0" w:after="200" w:line="336" w:lineRule="auto"/>
        <w:ind w:firstLine="283"/>
        <w:jc w:val="both"/>
      </w:pPr>
      <w:r>
        <w:rPr>
          <w:rFonts w:ascii="B Lotus" w:hAnsi="B Lotus" w:cs="B Lotus" w:eastAsia="B Lotus"/>
          <w:b w:val="0"/>
          <w:i w:val="0"/>
          <w:sz w:val="28"/>
          <w:szCs w:val="28"/>
        </w:rPr>
        <w:t>بحث سندی‌اش را کوتاه می‌کنم: این حدیث با طرق متعدد و در جوامع مختلف نقل شده و مشهورِ بلکه مستفیض است؛ و ضعف‌های سندیِ بعضی طرق، با تعدد و شهرت جبران می‌شود.</w:t>
      </w:r>
      <w:r>
        <w:rPr>
          <w:rFonts w:ascii="B Lotus" w:hAnsi="B Lotus" w:cs="B Lotus" w:eastAsia="B Lotus"/>
          <w:b w:val="0"/>
          <w:i w:val="0"/>
          <w:sz w:val="28"/>
          <w:szCs w:val="28"/>
          <w:vertAlign w:val="superscript"/>
        </w:rPr>
        <w:footnoteReference w:id="57"/>
      </w:r>
      <w:r>
        <w:rPr>
          <w:rFonts w:ascii="B Lotus" w:hAnsi="B Lotus" w:cs="B Lotus" w:eastAsia="B Lotus"/>
          <w:b w:val="0"/>
          <w:i w:val="0"/>
          <w:sz w:val="28"/>
          <w:szCs w:val="28"/>
        </w:rPr>
        <w:t xml:space="preserve"> بحث دلالی‌اش مهم‌تر است: آیا «شروط» شامل شروط حکومتی و بین‌المللی هم می‌شود، یا فقط شروط خصوصی؟ به نظر من ـ با توجه به اطلاق لفظ و عدم قرینه مقیده ـ شامل می‌شود؛ ولی این شمول، مثل شمول آیات، در فرض «شرایط عادی» است و شامل فرض تزاحم مصلحتی نمی‌شود ـ چنان‌که در فصل چهارم اثبات می‌کنم.</w:t>
      </w:r>
    </w:p>
    <w:p>
      <w:pPr>
        <w:pStyle w:val="TH-Band"/>
        <w:widowControl/>
        <w:bidi w:val="1"/>
        <w:spacing w:before="280" w:after="160" w:line="336" w:lineRule="auto"/>
        <w:jc w:val="right"/>
        <w:keepNext w:val="1"/>
      </w:pPr>
      <w:bookmarkStart w:id="75" w:name="_Toc000075"/>
      <w:r>
        <w:rPr>
          <w:rFonts w:ascii="B Traffic" w:hAnsi="B Traffic" w:cs="B Traffic" w:eastAsia="B Traffic"/>
          <w:b/>
          <w:i w:val="0"/>
          <w:sz w:val="28"/>
          <w:szCs w:val="28"/>
          <w:rtl/>
        </w:rPr>
        <w:t>بند دوم: عهدنامه مالک اشتر؛ منشور حکومتی</w:t>
      </w:r>
      <w:bookmarkEnd w:id="75"/>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وَإِنْ عَقَدْتَ بَیْنَکَ وَبَیْنَ عَدُوِّکَ عُقْدَةً أَوْ أَلْبَسْتَهُ مِنْکَ ذِمَّةً فَحُطْ عَهْدَکَ بِالْوَفَاءِ وَارْعَ ذِمَّتَکَ بِالْأَمَانَةِ وَاجْعَلْ نَفْسَکَ جُنَّةً دُونَ مَا أَعْطَیْتَ</w:t>
      </w:r>
      <w:r>
        <w:rPr>
          <w:rFonts w:ascii="B Badr" w:hAnsi="B Badr" w:cs="B Badr" w:eastAsia="B Badr"/>
          <w:b w:val="0"/>
          <w:i w:val="0"/>
          <w:sz w:val="26"/>
          <w:szCs w:val="26"/>
          <w:vertAlign w:val="superscript"/>
        </w:rPr>
        <w:footnoteReference w:id="58"/>
      </w:r>
    </w:p>
    <w:p>
      <w:pPr>
        <w:pStyle w:val="TH-Body"/>
        <w:widowControl/>
        <w:bidi w:val="1"/>
        <w:spacing w:before="0" w:after="200" w:line="336" w:lineRule="auto"/>
        <w:jc w:val="both"/>
      </w:pPr>
      <w:r>
        <w:rPr>
          <w:rFonts w:ascii="B Lotus" w:hAnsi="B Lotus" w:cs="B Lotus" w:eastAsia="B Lotus"/>
          <w:b w:val="0"/>
          <w:i w:val="0"/>
          <w:sz w:val="28"/>
          <w:szCs w:val="28"/>
        </w:rPr>
        <w:t>این فراز از عهدنامه مالک، به نظرم مهم‌ترین نص روایی برای مسئله من است؛ و دلیلش این است که مخاطبش نه فرد عادی، که «حاکم» است. امیرالمؤمنین به استاندارش می‌فرماید: اگر با دشمنت پیمانی بستی، عهدت را با وفا «بپوشان» (یعنی همه‌جانبه و کامل وفا کن)، ذمه‌ات را با امانت «رعایت کن»، و «خودت را سپر» آن‌چه داده‌ای قرار بده (یعنی حتی به قیمت ضرر شخصی، بر عهدت بمان). این لحن ـ به‌ویژه تعبیر «سپر شدن» ـ نشان می‌دهد که وفای حاکم به عهد، حتی در برابر دشمن، از مهم‌ترین وظایف حکومتی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ولی ـ و این «ولی» را با دقت می‌گویم ـ همین عهدنامه، در فرازهای دیگر، مصلحت‌سنجی و تدبیر حکومتی را هم وظیفه حاکم می‌داند؛ و امیرالمؤمنین خودش در عمل ـ چنان‌که در گفتار بعد می‌آید ـ در مقام تزاحم، تصمیم‌هایی گرفت که صورتِ عدول داشت. پس عهدنامه مالک را باید «مجموعی» خواند، نه گزینشی: هم وفا، هم تدبیر؛ و جمعشان، همان تزاحم است. این خوانش مجموعی، روش من در سراسر این رساله است.</w:t>
      </w:r>
    </w:p>
    <w:p>
      <w:pPr>
        <w:pStyle w:val="TH-Band"/>
        <w:widowControl/>
        <w:bidi w:val="1"/>
        <w:spacing w:before="280" w:after="160" w:line="336" w:lineRule="auto"/>
        <w:jc w:val="right"/>
        <w:keepNext w:val="1"/>
      </w:pPr>
      <w:bookmarkStart w:id="76" w:name="_Toc000076"/>
      <w:r>
        <w:rPr>
          <w:rFonts w:ascii="B Traffic" w:hAnsi="B Traffic" w:cs="B Traffic" w:eastAsia="B Traffic"/>
          <w:b/>
          <w:i w:val="0"/>
          <w:sz w:val="28"/>
          <w:szCs w:val="28"/>
          <w:rtl/>
        </w:rPr>
        <w:t>بند سوم: سایر روایات؛ لعنت بر ناقض</w:t>
      </w:r>
      <w:bookmarkEnd w:id="76"/>
    </w:p>
    <w:p>
      <w:pPr>
        <w:pStyle w:val="TH-Body"/>
        <w:widowControl/>
        <w:bidi w:val="1"/>
        <w:spacing w:before="0" w:after="200" w:line="336" w:lineRule="auto"/>
        <w:jc w:val="both"/>
      </w:pPr>
      <w:r>
        <w:rPr>
          <w:rFonts w:ascii="B Lotus" w:hAnsi="B Lotus" w:cs="B Lotus" w:eastAsia="B Lotus"/>
          <w:b w:val="0"/>
          <w:i w:val="0"/>
          <w:sz w:val="28"/>
          <w:szCs w:val="28"/>
        </w:rPr>
        <w:t>روایات دیگری هم در نکوهش عهدشکنی هست که برای تکمیل منظومه، به‌اجمال می‌آورم: روایت «لَا دِینَ لِمَنْ لَا عَهْدَ لَهُ» (کسی که عهد ندارد، دین ندارد)؛</w:t>
      </w:r>
      <w:r>
        <w:rPr>
          <w:rFonts w:ascii="B Lotus" w:hAnsi="B Lotus" w:cs="B Lotus" w:eastAsia="B Lotus"/>
          <w:b w:val="0"/>
          <w:i w:val="0"/>
          <w:sz w:val="28"/>
          <w:szCs w:val="28"/>
          <w:vertAlign w:val="superscript"/>
        </w:rPr>
        <w:footnoteReference w:id="59"/>
      </w:r>
      <w:r>
        <w:rPr>
          <w:rFonts w:ascii="B Lotus" w:hAnsi="B Lotus" w:cs="B Lotus" w:eastAsia="B Lotus"/>
          <w:b w:val="0"/>
          <w:i w:val="0"/>
          <w:sz w:val="28"/>
          <w:szCs w:val="28"/>
        </w:rPr>
        <w:t xml:space="preserve"> روایات لعنت بر ناقض عهد؛ و روایات مدح وفا به‌عنوان نشانه ایمان.</w:t>
      </w:r>
      <w:r>
        <w:rPr>
          <w:rFonts w:ascii="B Lotus" w:hAnsi="B Lotus" w:cs="B Lotus" w:eastAsia="B Lotus"/>
          <w:b w:val="0"/>
          <w:i w:val="0"/>
          <w:sz w:val="28"/>
          <w:szCs w:val="28"/>
          <w:vertAlign w:val="superscript"/>
        </w:rPr>
        <w:footnoteReference w:id="60"/>
      </w:r>
      <w:r>
        <w:rPr>
          <w:rFonts w:ascii="B Lotus" w:hAnsi="B Lotus" w:cs="B Lotus" w:eastAsia="B Lotus"/>
          <w:b w:val="0"/>
          <w:i w:val="0"/>
          <w:sz w:val="28"/>
          <w:szCs w:val="28"/>
        </w:rPr>
        <w:t xml:space="preserve"> این روایات، هرچند بعضاً در باب عقود خصوصی وارد شده‌اند، ولی لحن عامشان (به‌ویژه نفی دین از ناقض عهد) نشان می‌دهد که قبح عهدشکنی، فراتر از بستر خصوصی است و شامل عهدهای حکومتی هم می‌شود. البته ـ چنان‌که بارها گفته‌ام ـ این عموم، منصرف به شرایط عادی است و شامل تزاحم مصلحتی نمی‌شود؛ ولی اثبات این انصراف، کار فصل چهارم است، نه این فصل. در این فصل، من وکیل وفا هستم و باید قوتش را نشان بدهم ـ و قوتش، انصافاً، چشمگیر است.</w:t>
      </w:r>
    </w:p>
    <w:p>
      <w:pPr>
        <w:pStyle w:val="TH-Goftar"/>
        <w:widowControl/>
        <w:bidi w:val="1"/>
        <w:spacing w:before="280" w:after="160" w:line="336" w:lineRule="auto"/>
        <w:jc w:val="right"/>
        <w:keepNext w:val="1"/>
        <w:shd w:val="clear" w:fill="EDEDED"/>
      </w:pPr>
      <w:bookmarkStart w:id="77" w:name="_Toc000077"/>
      <w:r>
        <w:rPr>
          <w:rFonts w:ascii="B Titr" w:hAnsi="B Titr" w:cs="B Titr" w:eastAsia="B Titr"/>
          <w:b/>
          <w:i w:val="0"/>
          <w:sz w:val="32"/>
          <w:szCs w:val="32"/>
          <w:rtl/>
        </w:rPr>
        <w:t>گفتار چهارم: سیره معصومان در عهدنامه‌ها</w:t>
      </w:r>
      <w:bookmarkEnd w:id="77"/>
    </w:p>
    <w:p>
      <w:pPr>
        <w:pStyle w:val="TH-Band"/>
        <w:widowControl/>
        <w:bidi w:val="1"/>
        <w:spacing w:before="280" w:after="160" w:line="336" w:lineRule="auto"/>
        <w:jc w:val="right"/>
        <w:keepNext w:val="1"/>
      </w:pPr>
      <w:bookmarkStart w:id="78" w:name="_Toc000078"/>
      <w:r>
        <w:rPr>
          <w:rFonts w:ascii="B Traffic" w:hAnsi="B Traffic" w:cs="B Traffic" w:eastAsia="B Traffic"/>
          <w:b/>
          <w:i w:val="0"/>
          <w:sz w:val="28"/>
          <w:szCs w:val="28"/>
          <w:rtl/>
        </w:rPr>
        <w:t>بند اول: صلح حدیبیه؛ الگوی صبر حکومتی</w:t>
      </w:r>
      <w:bookmarkEnd w:id="78"/>
    </w:p>
    <w:p>
      <w:pPr>
        <w:pStyle w:val="TH-Body"/>
        <w:widowControl/>
        <w:bidi w:val="1"/>
        <w:spacing w:before="0" w:after="200" w:line="336" w:lineRule="auto"/>
        <w:jc w:val="both"/>
      </w:pPr>
      <w:r>
        <w:rPr>
          <w:rFonts w:ascii="B Lotus" w:hAnsi="B Lotus" w:cs="B Lotus" w:eastAsia="B Lotus"/>
          <w:b w:val="0"/>
          <w:i w:val="0"/>
          <w:sz w:val="28"/>
          <w:szCs w:val="28"/>
        </w:rPr>
        <w:t>صلح حدیبیه (سال ششم هجری) مشهورترین عهدنامه حکومتی پیامبر است؛ پیمانی که شرایط ظاهری‌اش به ضرر مسلمانان بود (از جمله شرط بازگرداندن پناهندگان مسلمان به قریش) ولی پیامبر آن را پذیرفت و ـ مهم‌تر ـ به آن وفا کرد. وقتی ابوجندل ـ مسلمانی که از مکه گریخته بود ـ به اردوی مسلمانان پناه آورد، پیامبر با همه سختی و با همه اعتراض مسلمانان، او را به قریش بازگرداند؛ چون عهد بسته بود و عهد، عهد است.</w:t>
      </w:r>
      <w:r>
        <w:rPr>
          <w:rFonts w:ascii="B Lotus" w:hAnsi="B Lotus" w:cs="B Lotus" w:eastAsia="B Lotus"/>
          <w:b w:val="0"/>
          <w:i w:val="0"/>
          <w:sz w:val="28"/>
          <w:szCs w:val="28"/>
          <w:vertAlign w:val="superscript"/>
        </w:rPr>
        <w:footnoteReference w:id="61"/>
      </w:r>
    </w:p>
    <w:p>
      <w:pPr>
        <w:pStyle w:val="TH-Body"/>
        <w:widowControl/>
        <w:bidi w:val="1"/>
        <w:spacing w:before="0" w:after="200" w:line="336" w:lineRule="auto"/>
        <w:ind w:firstLine="283"/>
        <w:jc w:val="both"/>
      </w:pPr>
      <w:r>
        <w:rPr>
          <w:rFonts w:ascii="B Lotus" w:hAnsi="B Lotus" w:cs="B Lotus" w:eastAsia="B Lotus"/>
          <w:b w:val="0"/>
          <w:i w:val="0"/>
          <w:sz w:val="28"/>
          <w:szCs w:val="28"/>
        </w:rPr>
        <w:t>درس حدیبیه برای مسئله من دوگانه است: از یک سو، نشان می‌دهد که وفای به عهد حتی در شرایط سخت و حتی در برابر دشمن، وظیفه حاکم اسلامی است ـ و این، مؤید قاعده فصل من است. ولی از سوی دیگر ـ و این را کمتر گفته‌اند ـ حدیبیه خودش حاصل «مصلحت‌سنجی حکومتی» بود: پیامبر صلح را بر جنگ ترجیح داد، چون مصلحت اسلام در آن بود؛ و همین مصلحت‌سنجی است که در فصل چهارم مبنای جواز عدول می‌شود. پس حدیبیه را هم باید مجموعی خواند: هم الگوی وفا، هم الگوی تدبیر. و جالب این‌که همین صلحِ ظاهراً زیان‌بار، دو سال بعد به فتح مکه انجامید ـ که نشان می‌دهد مصلحت‌سنجی پیامبر، درست بوده و صبر حکومتی، ثمر داده.</w:t>
      </w:r>
    </w:p>
    <w:p>
      <w:pPr>
        <w:pStyle w:val="TH-Band"/>
        <w:widowControl/>
        <w:bidi w:val="1"/>
        <w:spacing w:before="280" w:after="160" w:line="336" w:lineRule="auto"/>
        <w:jc w:val="right"/>
        <w:keepNext w:val="1"/>
      </w:pPr>
      <w:bookmarkStart w:id="79" w:name="_Toc000079"/>
      <w:r>
        <w:rPr>
          <w:rFonts w:ascii="B Traffic" w:hAnsi="B Traffic" w:cs="B Traffic" w:eastAsia="B Traffic"/>
          <w:b/>
          <w:i w:val="0"/>
          <w:sz w:val="28"/>
          <w:szCs w:val="28"/>
          <w:rtl/>
        </w:rPr>
        <w:t>بند دوم: فتح مکه و برائت؛ عدولِ موجهِ قرآنی</w:t>
      </w:r>
      <w:bookmarkEnd w:id="79"/>
    </w:p>
    <w:p>
      <w:pPr>
        <w:pStyle w:val="TH-Body"/>
        <w:widowControl/>
        <w:bidi w:val="1"/>
        <w:spacing w:before="0" w:after="200" w:line="336" w:lineRule="auto"/>
        <w:jc w:val="both"/>
      </w:pPr>
      <w:r>
        <w:rPr>
          <w:rFonts w:ascii="B Lotus" w:hAnsi="B Lotus" w:cs="B Lotus" w:eastAsia="B Lotus"/>
          <w:b w:val="0"/>
          <w:i w:val="0"/>
          <w:sz w:val="28"/>
          <w:szCs w:val="28"/>
        </w:rPr>
        <w:t>ولی سکه حدیبیه روی دیگری هم دارد: ماجرای «برائت». وقتی قریش و هم‌پیمانانشان عهد حدیبیه را شکستند (با حمله به خزاعه، هم‌پیمان مسلمانان)، پیامبر دیگر خود را ملزم به عهد ندانست؛ و سوره برائت نازل شد و پایان عهد با مشرکانِ ناقض را اعلام کرد.</w:t>
      </w:r>
      <w:r>
        <w:rPr>
          <w:rFonts w:ascii="B Lotus" w:hAnsi="B Lotus" w:cs="B Lotus" w:eastAsia="B Lotus"/>
          <w:b w:val="0"/>
          <w:i w:val="0"/>
          <w:sz w:val="28"/>
          <w:szCs w:val="28"/>
          <w:vertAlign w:val="superscript"/>
        </w:rPr>
        <w:footnoteReference w:id="62"/>
      </w:r>
    </w:p>
    <w:p>
      <w:pPr>
        <w:pStyle w:val="TH-Body"/>
        <w:widowControl/>
        <w:bidi w:val="1"/>
        <w:spacing w:before="0" w:after="200" w:line="336" w:lineRule="auto"/>
        <w:ind w:firstLine="283"/>
        <w:jc w:val="both"/>
      </w:pPr>
      <w:r>
        <w:rPr>
          <w:rFonts w:ascii="B Lotus" w:hAnsi="B Lotus" w:cs="B Lotus" w:eastAsia="B Lotus"/>
          <w:b w:val="0"/>
          <w:i w:val="0"/>
          <w:sz w:val="28"/>
          <w:szCs w:val="28"/>
        </w:rPr>
        <w:t>این ماجرا، الگوی قرآنیِ «عدول واکنشی» است: وقتی طرف مقابل نقض کرد، وفا دیگر واجب نیست ـ بلکه ادامه آن، حماقت است. و نکته مهم‌تر این‌که: اعلام پایان عهد، «آشکار» بود (با قرائت سوره برائت در موسم حج توسط امیرالمؤمنین)؛ یعنی همان «انباذ علی سواء» که در آیه ۵۸ انفال گذشت. پس برائت، هم مجوز عدول واکنشی را نشان می‌دهد، هم صورتِ اعلامش را. و این دو درس، مستقیم در ضوابط فصل چهارم (صورت چهارم طیف و ضابطه ششم) به کار می‌رود.</w:t>
      </w:r>
    </w:p>
    <w:p>
      <w:pPr>
        <w:pStyle w:val="TH-Band"/>
        <w:widowControl/>
        <w:bidi w:val="1"/>
        <w:spacing w:before="280" w:after="160" w:line="336" w:lineRule="auto"/>
        <w:jc w:val="right"/>
        <w:keepNext w:val="1"/>
      </w:pPr>
      <w:bookmarkStart w:id="80" w:name="_Toc000080"/>
      <w:r>
        <w:rPr>
          <w:rFonts w:ascii="B Traffic" w:hAnsi="B Traffic" w:cs="B Traffic" w:eastAsia="B Traffic"/>
          <w:b/>
          <w:i w:val="0"/>
          <w:sz w:val="28"/>
          <w:szCs w:val="28"/>
          <w:rtl/>
        </w:rPr>
        <w:t>بند سوم: سیره امیرالمؤمنین؛ از صفین تا حکمیت</w:t>
      </w:r>
      <w:bookmarkEnd w:id="80"/>
    </w:p>
    <w:p>
      <w:pPr>
        <w:pStyle w:val="TH-Body"/>
        <w:widowControl/>
        <w:bidi w:val="1"/>
        <w:spacing w:before="0" w:after="200" w:line="336" w:lineRule="auto"/>
        <w:jc w:val="both"/>
      </w:pPr>
      <w:r>
        <w:rPr>
          <w:rFonts w:ascii="B Lotus" w:hAnsi="B Lotus" w:cs="B Lotus" w:eastAsia="B Lotus"/>
          <w:b w:val="0"/>
          <w:i w:val="0"/>
          <w:sz w:val="28"/>
          <w:szCs w:val="28"/>
        </w:rPr>
        <w:t>سیره امیرالمؤمنین در عهدنامه‌ها هم درس‌های مهمی دارد. در صفین، وقتی معاویه آب را بر سپاه امام بست و سپس سپاه امام آب را پس گرفت، امام اجازه نداد آب را بر دشمن ببندند؛ چون ـ به تعبیر خودش ـ این کارِ کریمان نیست.</w:t>
      </w:r>
      <w:r>
        <w:rPr>
          <w:rFonts w:ascii="B Lotus" w:hAnsi="B Lotus" w:cs="B Lotus" w:eastAsia="B Lotus"/>
          <w:b w:val="0"/>
          <w:i w:val="0"/>
          <w:sz w:val="28"/>
          <w:szCs w:val="28"/>
          <w:vertAlign w:val="superscript"/>
        </w:rPr>
        <w:footnoteReference w:id="63"/>
      </w:r>
      <w:r>
        <w:rPr>
          <w:rFonts w:ascii="B Lotus" w:hAnsi="B Lotus" w:cs="B Lotus" w:eastAsia="B Lotus"/>
          <w:b w:val="0"/>
          <w:i w:val="0"/>
          <w:sz w:val="28"/>
          <w:szCs w:val="28"/>
        </w:rPr>
        <w:t xml:space="preserve"> و در ماجرای حکمیت، هرچند امام از اول با آن مخالف بود ولی وقتی اکثریت سپاه تحمیلش کردند، به آن تن داد و به عهد حکمیت وفا کرد ـ حتی وقتی نتیجه‌اش به ضررش تمام شد.</w:t>
      </w:r>
    </w:p>
    <w:p>
      <w:pPr>
        <w:pStyle w:val="TH-Body"/>
        <w:widowControl/>
        <w:bidi w:val="1"/>
        <w:spacing w:before="0" w:after="200" w:line="336" w:lineRule="auto"/>
        <w:ind w:firstLine="283"/>
        <w:jc w:val="both"/>
      </w:pPr>
      <w:r>
        <w:rPr>
          <w:rFonts w:ascii="B Lotus" w:hAnsi="B Lotus" w:cs="B Lotus" w:eastAsia="B Lotus"/>
          <w:b w:val="0"/>
          <w:i w:val="0"/>
          <w:sz w:val="28"/>
          <w:szCs w:val="28"/>
        </w:rPr>
        <w:t>درس سیره علوی برای من این است: حاکم اسلامی حتی در برابر دشمنِ داخلیِ باغی، به عهدش وفا می‌کند؛ و این، سقفِ اخلاق حکومتی است. ولی هم‌زمان، امام در مقام تزاحم ـ مثل پذیرش حکمیتِ تحمیلی برای حفظ وحدت سپاه ـ مصلحت‌سنجی هم می‌کرد. پس باز هم همان خوانش مجموعی: هم وفا، هم تدبیر؛ و جمعشان در تزاحم.</w:t>
      </w:r>
    </w:p>
    <w:p>
      <w:pPr>
        <w:pStyle w:val="TH-Band"/>
        <w:widowControl/>
        <w:bidi w:val="1"/>
        <w:spacing w:before="280" w:after="160" w:line="336" w:lineRule="auto"/>
        <w:jc w:val="right"/>
        <w:keepNext w:val="1"/>
      </w:pPr>
      <w:bookmarkStart w:id="81" w:name="_Toc000081"/>
      <w:r>
        <w:rPr>
          <w:rFonts w:ascii="B Traffic" w:hAnsi="B Traffic" w:cs="B Traffic" w:eastAsia="B Traffic"/>
          <w:b/>
          <w:i w:val="0"/>
          <w:sz w:val="28"/>
          <w:szCs w:val="28"/>
          <w:rtl/>
        </w:rPr>
        <w:t>بند چهارم: جمع‌بندی سیره؛ سه الگو</w:t>
      </w:r>
      <w:bookmarkEnd w:id="81"/>
    </w:p>
    <w:p>
      <w:pPr>
        <w:pStyle w:val="TH-Body"/>
        <w:widowControl/>
        <w:bidi w:val="1"/>
        <w:spacing w:before="0" w:after="200" w:line="336" w:lineRule="auto"/>
        <w:jc w:val="both"/>
      </w:pPr>
      <w:r>
        <w:rPr>
          <w:rFonts w:ascii="B Lotus" w:hAnsi="B Lotus" w:cs="B Lotus" w:eastAsia="B Lotus"/>
          <w:b w:val="0"/>
          <w:i w:val="0"/>
          <w:sz w:val="28"/>
          <w:szCs w:val="28"/>
        </w:rPr>
        <w:t>از مجموع سیره پیامبر و امیرالمؤمنین، سه الگوی رفتاری درمی‌آید که هر سه در فصل چهارم به کار می‌رود: الگوی اول، «وفای صبورانه» (حدیبیه) ـ وفا حتی در شرایط سخت، وقتی مصلحت در وفاست. الگوی دوم، «عدول واکنشیِ اعلام‌شده» (برائت) ـ عدول وقتی طرف نقض کرد، با اعلام آشکار. و الگوی سوم، «مصلحت‌سنجیِ مقدّم» (پذیرش اصل صلح حدیبیه و پذیرش تحمیلیِ حکمیت) ـ این‌که حاکم قبل از هر تصمیمی، مصلحت را می‌سنجد و تصمیمش تابع مصلحت است، نه تابع احساسات و فشارها. این سه الگو، در واقع همان طیف پنج‌صورت من است به زبان سیره؛ و نشان می‌دهد که چارچوب نظری‌ام، ریشه در عمل معصومان دارد، نه فقط در ذهن من.</w:t>
      </w:r>
    </w:p>
    <w:p>
      <w:pPr>
        <w:pStyle w:val="TH-Goftar"/>
        <w:widowControl/>
        <w:bidi w:val="1"/>
        <w:spacing w:before="280" w:after="160" w:line="336" w:lineRule="auto"/>
        <w:jc w:val="right"/>
        <w:keepNext w:val="1"/>
        <w:shd w:val="clear" w:fill="EDEDED"/>
      </w:pPr>
      <w:bookmarkStart w:id="82" w:name="_Toc000082"/>
      <w:r>
        <w:rPr>
          <w:rFonts w:ascii="B Titr" w:hAnsi="B Titr" w:cs="B Titr" w:eastAsia="B Titr"/>
          <w:b/>
          <w:i w:val="0"/>
          <w:sz w:val="32"/>
          <w:szCs w:val="32"/>
          <w:rtl/>
        </w:rPr>
        <w:t>گفتار پنجم: دلیل عقل و بنای عقلا</w:t>
      </w:r>
      <w:bookmarkEnd w:id="82"/>
    </w:p>
    <w:p>
      <w:pPr>
        <w:pStyle w:val="TH-Band"/>
        <w:widowControl/>
        <w:bidi w:val="1"/>
        <w:spacing w:before="280" w:after="160" w:line="336" w:lineRule="auto"/>
        <w:jc w:val="right"/>
        <w:keepNext w:val="1"/>
      </w:pPr>
      <w:bookmarkStart w:id="83" w:name="_Toc000083"/>
      <w:r>
        <w:rPr>
          <w:rFonts w:ascii="B Traffic" w:hAnsi="B Traffic" w:cs="B Traffic" w:eastAsia="B Traffic"/>
          <w:b/>
          <w:i w:val="0"/>
          <w:sz w:val="28"/>
          <w:szCs w:val="28"/>
          <w:rtl/>
        </w:rPr>
        <w:t>بند اول: حکم عقل به قبح نقض عهد</w:t>
      </w:r>
      <w:bookmarkEnd w:id="83"/>
    </w:p>
    <w:p>
      <w:pPr>
        <w:pStyle w:val="TH-Body"/>
        <w:widowControl/>
        <w:bidi w:val="1"/>
        <w:spacing w:before="0" w:after="200" w:line="336" w:lineRule="auto"/>
        <w:jc w:val="both"/>
      </w:pPr>
      <w:r>
        <w:rPr>
          <w:rFonts w:ascii="B Lotus" w:hAnsi="B Lotus" w:cs="B Lotus" w:eastAsia="B Lotus"/>
          <w:b w:val="0"/>
          <w:i w:val="0"/>
          <w:sz w:val="28"/>
          <w:szCs w:val="28"/>
        </w:rPr>
        <w:t>عقل عملی ـ مستقل از شرع ـ نقض عهد را قبیح می‌داند؛ چون اگر عهدشکنی جایز باشد، اعتماد ـ که بنیاد همکاری اجتماعی است ـ فرو می‌ریزد و زندگی جمعی ناممکن می‌شود. این استدلال، صورت‌بندی عقلیِ همان چیزی است که قرآن با تمثیل «ناقضه غزلها» بیان کرد: عهدشکنی، حماقت عملی است، چون رشته‌ای را که خودت تابیده‌ای باز می‌کنی. و چون عقل، قبحش را درک می‌کند، به حکم ملازمه عقلی (کل ما حکم به العقل حکم به الشرع)، شرع هم آن را حرام می‌داند.</w:t>
      </w:r>
      <w:r>
        <w:rPr>
          <w:rFonts w:ascii="B Lotus" w:hAnsi="B Lotus" w:cs="B Lotus" w:eastAsia="B Lotus"/>
          <w:b w:val="0"/>
          <w:i w:val="0"/>
          <w:sz w:val="28"/>
          <w:szCs w:val="28"/>
          <w:vertAlign w:val="superscript"/>
        </w:rPr>
        <w:footnoteReference w:id="64"/>
      </w:r>
    </w:p>
    <w:p>
      <w:pPr>
        <w:pStyle w:val="TH-Band"/>
        <w:widowControl/>
        <w:bidi w:val="1"/>
        <w:spacing w:before="280" w:after="160" w:line="336" w:lineRule="auto"/>
        <w:jc w:val="right"/>
        <w:keepNext w:val="1"/>
      </w:pPr>
      <w:bookmarkStart w:id="84" w:name="_Toc000084"/>
      <w:r>
        <w:rPr>
          <w:rFonts w:ascii="B Traffic" w:hAnsi="B Traffic" w:cs="B Traffic" w:eastAsia="B Traffic"/>
          <w:b/>
          <w:i w:val="0"/>
          <w:sz w:val="28"/>
          <w:szCs w:val="28"/>
          <w:rtl/>
        </w:rPr>
        <w:t>بند دوم: بنای عقلا؛ از بازار تا سازمان ملل</w:t>
      </w:r>
      <w:bookmarkEnd w:id="84"/>
    </w:p>
    <w:p>
      <w:pPr>
        <w:pStyle w:val="TH-Body"/>
        <w:widowControl/>
        <w:bidi w:val="1"/>
        <w:spacing w:before="0" w:after="200" w:line="336" w:lineRule="auto"/>
        <w:jc w:val="both"/>
      </w:pPr>
      <w:r>
        <w:rPr>
          <w:rFonts w:ascii="B Lotus" w:hAnsi="B Lotus" w:cs="B Lotus" w:eastAsia="B Lotus"/>
          <w:b w:val="0"/>
          <w:i w:val="0"/>
          <w:sz w:val="28"/>
          <w:szCs w:val="28"/>
        </w:rPr>
        <w:t>و فراتر از حکم عقل نظری، «بنای عقلا» ـ یعنی روش عملیِ خردمندان در همه زمان‌ها و مکان‌ها ـ بر وفای به عهد استوار است: از بازار و تجارت تا دیپلماسی و معاهدات. هیچ جامعه‌ای ـ مسلمان یا غیرمسلمان، قدیم یا جدید ـ بدون اصل وفای به عهد دوام نیاورده؛ و سازمان ملل و کنوانسیون وین، صورت‌بندیِ مدرنِ همین بنای کهن‌اند. و چون شارع این بنا را ردع نکرده ـ بلکه با آیات و روایات تأییدش هم کرده ـ حجت است.</w:t>
      </w:r>
      <w:r>
        <w:rPr>
          <w:rFonts w:ascii="B Lotus" w:hAnsi="B Lotus" w:cs="B Lotus" w:eastAsia="B Lotus"/>
          <w:b w:val="0"/>
          <w:i w:val="0"/>
          <w:sz w:val="28"/>
          <w:szCs w:val="28"/>
          <w:vertAlign w:val="superscript"/>
        </w:rPr>
        <w:footnoteReference w:id="65"/>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این دلیل در این است که «فراشرعی» است؛ یعنی حتی اگر کسی در دلالت آیات و روایات خدشه کند، نمی‌تواند بنای عقلا را انکار کند ـ چون خودش هم در زندگی روزمره‌اش بر همین بنا عمل می‌کند. و همین فراشرعی بودن است که گفت‌وگوی فقه و حقوق بین‌الملل را ممکن می‌کند: چون هر دو نظام، بر یک بنای مشترکِ بشری استوارند.</w:t>
      </w:r>
    </w:p>
    <w:p>
      <w:pPr>
        <w:pStyle w:val="TH-Goftar"/>
        <w:widowControl/>
        <w:bidi w:val="1"/>
        <w:spacing w:before="280" w:after="160" w:line="336" w:lineRule="auto"/>
        <w:jc w:val="right"/>
        <w:keepNext w:val="1"/>
        <w:shd w:val="clear" w:fill="EDEDED"/>
      </w:pPr>
      <w:bookmarkStart w:id="85" w:name="_Toc000085"/>
      <w:r>
        <w:rPr>
          <w:rFonts w:ascii="B Titr" w:hAnsi="B Titr" w:cs="B Titr" w:eastAsia="B Titr"/>
          <w:b/>
          <w:i w:val="0"/>
          <w:sz w:val="32"/>
          <w:szCs w:val="32"/>
          <w:rtl/>
        </w:rPr>
        <w:t>گفتار ششم: قواعد فقهی مؤید وجوب وفا</w:t>
      </w:r>
      <w:bookmarkEnd w:id="85"/>
    </w:p>
    <w:p>
      <w:pPr>
        <w:pStyle w:val="TH-Band"/>
        <w:widowControl/>
        <w:bidi w:val="1"/>
        <w:spacing w:before="280" w:after="160" w:line="336" w:lineRule="auto"/>
        <w:jc w:val="right"/>
        <w:keepNext w:val="1"/>
      </w:pPr>
      <w:bookmarkStart w:id="86" w:name="_Toc000086"/>
      <w:r>
        <w:rPr>
          <w:rFonts w:ascii="B Traffic" w:hAnsi="B Traffic" w:cs="B Traffic" w:eastAsia="B Traffic"/>
          <w:b/>
          <w:i w:val="0"/>
          <w:sz w:val="28"/>
          <w:szCs w:val="28"/>
          <w:rtl/>
        </w:rPr>
        <w:t>بند اول: اصالة اللزوم در عقود</w:t>
      </w:r>
      <w:bookmarkEnd w:id="86"/>
    </w:p>
    <w:p>
      <w:pPr>
        <w:pStyle w:val="TH-Body"/>
        <w:widowControl/>
        <w:bidi w:val="1"/>
        <w:spacing w:before="0" w:after="200" w:line="336" w:lineRule="auto"/>
        <w:jc w:val="both"/>
      </w:pPr>
      <w:r>
        <w:rPr>
          <w:rFonts w:ascii="B Lotus" w:hAnsi="B Lotus" w:cs="B Lotus" w:eastAsia="B Lotus"/>
          <w:b w:val="0"/>
          <w:i w:val="0"/>
          <w:sz w:val="28"/>
          <w:szCs w:val="28"/>
        </w:rPr>
        <w:t>گذشته از ادله خاص، قاعده عامی در فقه هست که پشتوانه وجوب وفاست: «اصالة اللزوم»؛ یعنی اصل در هر عقدی ـ مگر این‌که خلافش ثابت شود ـ لزوم است. سید بجنوردی در القواعد الفقهیه این قاعده را با تفصیل اثبات کرده: عقد، گره است و گره، ذاتاً محکم است؛ پس هرکس مدعی جوازِ گشودن است، باید دلیل بیاورد.</w:t>
      </w:r>
      <w:r>
        <w:rPr>
          <w:rFonts w:ascii="B Lotus" w:hAnsi="B Lotus" w:cs="B Lotus" w:eastAsia="B Lotus"/>
          <w:b w:val="0"/>
          <w:i w:val="0"/>
          <w:sz w:val="28"/>
          <w:szCs w:val="28"/>
          <w:vertAlign w:val="superscript"/>
        </w:rPr>
        <w:footnoteReference w:id="66"/>
      </w:r>
      <w:r>
        <w:rPr>
          <w:rFonts w:ascii="B Lotus" w:hAnsi="B Lotus" w:cs="B Lotus" w:eastAsia="B Lotus"/>
          <w:b w:val="0"/>
          <w:i w:val="0"/>
          <w:sz w:val="28"/>
          <w:szCs w:val="28"/>
        </w:rPr>
        <w:t xml:space="preserve"> تطبیقش بر معاهده روشن است: معاهده، عقدی است میان دولت‌ها و اصل در آن لزوم است؛ پس عدول از آن نیازمند دلیل است ـ و همین، همان «بار اثبات» است که در مقدمه این فصل گفتم بر دوش مدعی جواز عدول است. به زبان ساده: دادگاهِ فقهی، مدعی عدول را محکومِ به وفا می‌داند، مگر این‌که مجوزش را ثابت کند.</w:t>
      </w:r>
    </w:p>
    <w:p>
      <w:pPr>
        <w:pStyle w:val="TH-Band"/>
        <w:widowControl/>
        <w:bidi w:val="1"/>
        <w:spacing w:before="280" w:after="160" w:line="336" w:lineRule="auto"/>
        <w:jc w:val="right"/>
        <w:keepNext w:val="1"/>
      </w:pPr>
      <w:bookmarkStart w:id="87" w:name="_Toc000087"/>
      <w:r>
        <w:rPr>
          <w:rFonts w:ascii="B Traffic" w:hAnsi="B Traffic" w:cs="B Traffic" w:eastAsia="B Traffic"/>
          <w:b/>
          <w:i w:val="0"/>
          <w:sz w:val="28"/>
          <w:szCs w:val="28"/>
          <w:rtl/>
        </w:rPr>
        <w:t>بند دوم: حرمت غدر و خیانت؛ مرز اخلاقی</w:t>
      </w:r>
      <w:bookmarkEnd w:id="87"/>
    </w:p>
    <w:p>
      <w:pPr>
        <w:pStyle w:val="TH-Body"/>
        <w:widowControl/>
        <w:bidi w:val="1"/>
        <w:spacing w:before="0" w:after="200" w:line="336" w:lineRule="auto"/>
        <w:jc w:val="both"/>
      </w:pPr>
      <w:r>
        <w:rPr>
          <w:rFonts w:ascii="B Lotus" w:hAnsi="B Lotus" w:cs="B Lotus" w:eastAsia="B Lotus"/>
          <w:b w:val="0"/>
          <w:i w:val="0"/>
          <w:sz w:val="28"/>
          <w:szCs w:val="28"/>
        </w:rPr>
        <w:t>قرآن و روایات، «غدر» (پیمان‌شکنیِ ناجوانمردانه) و «خیانت» (نقض امانت) را از زشت‌ترین صفات شمرده‌اند. خدا می‌فرماید «إِنَّ اللَّهَ لَا یُحِبُّ الْخَائِنِینَ»</w:t>
      </w:r>
      <w:r>
        <w:rPr>
          <w:rFonts w:ascii="B Lotus" w:hAnsi="B Lotus" w:cs="B Lotus" w:eastAsia="B Lotus"/>
          <w:b w:val="0"/>
          <w:i w:val="0"/>
          <w:sz w:val="28"/>
          <w:szCs w:val="28"/>
          <w:vertAlign w:val="superscript"/>
        </w:rPr>
        <w:footnoteReference w:id="67"/>
      </w:r>
      <w:r>
        <w:rPr>
          <w:rFonts w:ascii="B Lotus" w:hAnsi="B Lotus" w:cs="B Lotus" w:eastAsia="B Lotus"/>
          <w:b w:val="0"/>
          <w:i w:val="0"/>
          <w:sz w:val="28"/>
          <w:szCs w:val="28"/>
        </w:rPr>
        <w:t xml:space="preserve"> و پیامبر فرمود که غادر (پیمان‌شکن) در قیامت پرچمِ رسوایی دارد که با آن شناخته می‌شود.</w:t>
      </w:r>
      <w:r>
        <w:rPr>
          <w:rFonts w:ascii="B Lotus" w:hAnsi="B Lotus" w:cs="B Lotus" w:eastAsia="B Lotus"/>
          <w:b w:val="0"/>
          <w:i w:val="0"/>
          <w:sz w:val="28"/>
          <w:szCs w:val="28"/>
          <w:vertAlign w:val="superscript"/>
        </w:rPr>
        <w:footnoteReference w:id="68"/>
      </w:r>
      <w:r>
        <w:rPr>
          <w:rFonts w:ascii="B Lotus" w:hAnsi="B Lotus" w:cs="B Lotus" w:eastAsia="B Lotus"/>
          <w:b w:val="0"/>
          <w:i w:val="0"/>
          <w:sz w:val="28"/>
          <w:szCs w:val="28"/>
        </w:rPr>
        <w:t xml:space="preserve"> این ادله، مرز اخلاقیِ بحث را مشخص می‌کنند: عدولِ مورد بحث من ـ که با ضوابط هشت‌گانه مهار شده ـ «غدر» نیست، چون آشکار و مستدل و مبتنی بر تزاحم است؛ ولی هر عدولی که فاقد این ضوابط باشد ـ به‌ویژه عدولِ پنهانی ـ داخل در عنوان غدر و خیانت است و مشمول همین نکوهش‌هاست. پس این ادله، هم مؤید قاعده‌اند (وفا واجب است) و هم مؤید ضوابط‌اند (عدولِ بی‌ضابطه، غدر است).</w:t>
      </w:r>
    </w:p>
    <w:p>
      <w:pPr>
        <w:pStyle w:val="TH-Band"/>
        <w:widowControl/>
        <w:bidi w:val="1"/>
        <w:spacing w:before="280" w:after="160" w:line="336" w:lineRule="auto"/>
        <w:jc w:val="right"/>
        <w:keepNext w:val="1"/>
      </w:pPr>
      <w:bookmarkStart w:id="88" w:name="_Toc000088"/>
      <w:r>
        <w:rPr>
          <w:rFonts w:ascii="B Traffic" w:hAnsi="B Traffic" w:cs="B Traffic" w:eastAsia="B Traffic"/>
          <w:b/>
          <w:i w:val="0"/>
          <w:sz w:val="28"/>
          <w:szCs w:val="28"/>
          <w:rtl/>
        </w:rPr>
        <w:t>بند سوم: قاعده نفی سبیل؛ مرز دیگر وفا</w:t>
      </w:r>
      <w:bookmarkEnd w:id="88"/>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وَلَنْ یَجْعَلَ اللَّهُ لِلْکَافِرِینَ عَلَی الْمُؤْمِنِینَ سَبِیلًا</w:t>
      </w:r>
      <w:r>
        <w:rPr>
          <w:rFonts w:ascii="B Badr" w:hAnsi="B Badr" w:cs="B Badr" w:eastAsia="B Badr"/>
          <w:b w:val="0"/>
          <w:i w:val="0"/>
          <w:sz w:val="26"/>
          <w:szCs w:val="26"/>
          <w:vertAlign w:val="superscript"/>
        </w:rPr>
        <w:footnoteReference w:id="69"/>
      </w:r>
    </w:p>
    <w:p>
      <w:pPr>
        <w:pStyle w:val="TH-Body"/>
        <w:widowControl/>
        <w:bidi w:val="1"/>
        <w:spacing w:before="0" w:after="200" w:line="336" w:lineRule="auto"/>
        <w:jc w:val="both"/>
      </w:pPr>
      <w:r>
        <w:rPr>
          <w:rFonts w:ascii="B Lotus" w:hAnsi="B Lotus" w:cs="B Lotus" w:eastAsia="B Lotus"/>
          <w:b w:val="0"/>
          <w:i w:val="0"/>
          <w:sz w:val="28"/>
          <w:szCs w:val="28"/>
        </w:rPr>
        <w:t>قاعده نفی سبیل می‌گوید: خدا هیچ راه سلطه‌ای برای کافران بر مؤمنان قرار نداده؛ و هر عقد و پیمانی که چنین سلطه‌ای را نتیجه بدهد، از نظر شرع نامشروع است. این قاعده، «مرز دیگر» وفاست: از یک سو، وفا به عهد واجب است؛ ولی از سوی دیگر، اگر ادامه وفا به سلطه بیگانه بر کشور اسلامی بینجامد، مشمول نفی سبیل می‌شود و وجوبش برداشته می‌شود ـ بلکه عدول از آن واجب می‌گردد. نسبتش با اصل ۱۵۳ قانون اساسی (ممنوعیت قرارداد سلطه‌آور) هم مستقیم است و نشان می‌دهد که قانون‌گذار اساسی ما، همین قاعده فقهی را به زبان حقوقی ترجمه کرده. این قاعده، یکی از قوی‌ترین مبانیِ «استثنا»ست؛ ولی چون جنبه سلبی دارد (نفی سلطه) نه ایجابی (اثبات جواز)، آن را در این فصل ـ در کنار ادله قاعده ـ آوردم تا خواننده ببیند که مرزهای قاعده، از درونِ خودِ شریعت تعیین می‌شود، نه از بیرون.</w:t>
      </w:r>
    </w:p>
    <w:p>
      <w:pPr>
        <w:pStyle w:val="TH-Goftar"/>
        <w:widowControl/>
        <w:bidi w:val="1"/>
        <w:spacing w:before="280" w:after="160" w:line="336" w:lineRule="auto"/>
        <w:jc w:val="right"/>
        <w:keepNext w:val="1"/>
        <w:shd w:val="clear" w:fill="EDEDED"/>
      </w:pPr>
      <w:bookmarkStart w:id="89" w:name="_Toc000089"/>
      <w:r>
        <w:rPr>
          <w:rFonts w:ascii="B Titr" w:hAnsi="B Titr" w:cs="B Titr" w:eastAsia="B Titr"/>
          <w:b/>
          <w:i w:val="0"/>
          <w:sz w:val="32"/>
          <w:szCs w:val="32"/>
          <w:rtl/>
        </w:rPr>
        <w:t>گفتار هفتم: ادله تکمیلی؛ امانت، سوگند و آرای فقها</w:t>
      </w:r>
      <w:bookmarkEnd w:id="89"/>
    </w:p>
    <w:p>
      <w:pPr>
        <w:pStyle w:val="TH-Band"/>
        <w:widowControl/>
        <w:bidi w:val="1"/>
        <w:spacing w:before="280" w:after="160" w:line="336" w:lineRule="auto"/>
        <w:jc w:val="right"/>
        <w:keepNext w:val="1"/>
      </w:pPr>
      <w:bookmarkStart w:id="90" w:name="_Toc000090"/>
      <w:r>
        <w:rPr>
          <w:rFonts w:ascii="B Traffic" w:hAnsi="B Traffic" w:cs="B Traffic" w:eastAsia="B Traffic"/>
          <w:b/>
          <w:i w:val="0"/>
          <w:sz w:val="28"/>
          <w:szCs w:val="28"/>
          <w:rtl/>
        </w:rPr>
        <w:t>بند اول: ادای امانت؛ نساء/۵۸</w:t>
      </w:r>
      <w:bookmarkEnd w:id="90"/>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إِنَّ اللَّهَ یَأْمُرُکُمْ أَنْ تُؤَدُّوا الْأَمَانَاتِ إِلَی أَهْلِهَا</w:t>
      </w:r>
      <w:r>
        <w:rPr>
          <w:rFonts w:ascii="B Badr" w:hAnsi="B Badr" w:cs="B Badr" w:eastAsia="B Badr"/>
          <w:b w:val="0"/>
          <w:i w:val="0"/>
          <w:sz w:val="26"/>
          <w:szCs w:val="26"/>
          <w:vertAlign w:val="superscript"/>
        </w:rPr>
        <w:footnoteReference w:id="70"/>
      </w:r>
    </w:p>
    <w:p>
      <w:pPr>
        <w:pStyle w:val="TH-Body"/>
        <w:widowControl/>
        <w:bidi w:val="1"/>
        <w:spacing w:before="0" w:after="200" w:line="336" w:lineRule="auto"/>
        <w:jc w:val="both"/>
      </w:pPr>
      <w:r>
        <w:rPr>
          <w:rFonts w:ascii="B Lotus" w:hAnsi="B Lotus" w:cs="B Lotus" w:eastAsia="B Lotus"/>
          <w:b w:val="0"/>
          <w:i w:val="0"/>
          <w:sz w:val="28"/>
          <w:szCs w:val="28"/>
        </w:rPr>
        <w:t>این آیه ـ چنان‌که مفسران گفته‌اند ـ خطابش عام است و مخاطبش همه مکلفان‌اند؛ و «امانت» در آن، اعم از امانت مالی و امانت معنوی است: هر چیزی که به انسان سپرده شده و باید به صاحبش برگردانده شود.</w:t>
      </w:r>
      <w:r>
        <w:rPr>
          <w:rFonts w:ascii="B Lotus" w:hAnsi="B Lotus" w:cs="B Lotus" w:eastAsia="B Lotus"/>
          <w:b w:val="0"/>
          <w:i w:val="0"/>
          <w:sz w:val="28"/>
          <w:szCs w:val="28"/>
          <w:vertAlign w:val="superscript"/>
        </w:rPr>
        <w:footnoteReference w:id="71"/>
      </w:r>
      <w:r>
        <w:rPr>
          <w:rFonts w:ascii="B Lotus" w:hAnsi="B Lotus" w:cs="B Lotus" w:eastAsia="B Lotus"/>
          <w:b w:val="0"/>
          <w:i w:val="0"/>
          <w:sz w:val="28"/>
          <w:szCs w:val="28"/>
        </w:rPr>
        <w:t xml:space="preserve"> نسبتش با مسئله من این است: پیمانی که حاکم اسلامی با دولت دیگر می‌بندد، «امانتی» است بر گردن او و امت؛ امانتی که طرف مقابل به اعتبار اسلام و مسلمانان به آن‌ها سپرده و انتظار دارد ادا شود. پس نقض بی‌مجوز معاهده، مصداق «خیانت در امانت» است و مشمول نهی این آیه.</w:t>
      </w:r>
    </w:p>
    <w:p>
      <w:pPr>
        <w:pStyle w:val="TH-Body"/>
        <w:widowControl/>
        <w:bidi w:val="1"/>
        <w:spacing w:before="0" w:after="200" w:line="336" w:lineRule="auto"/>
        <w:ind w:firstLine="283"/>
        <w:jc w:val="both"/>
      </w:pPr>
      <w:r>
        <w:rPr>
          <w:rFonts w:ascii="B Lotus" w:hAnsi="B Lotus" w:cs="B Lotus" w:eastAsia="B Lotus"/>
          <w:b w:val="0"/>
          <w:i w:val="0"/>
          <w:sz w:val="28"/>
          <w:szCs w:val="28"/>
        </w:rPr>
        <w:t>نکته ظریفی که این آیه به بحث اضافه می‌کند، جنبه «اعتباری» وفاست: بحث فقط تکلیف شرعی نیست، بحث «آبروی اسلام» هم هست. وقتی دولت اسلامی عهد می‌شکند، طرف مقابل نمی‌گوید «این دولت بدعهدی کرد»، می‌گوید «مسلمانان بدعهدند»؛ و این، لطمه به حیثیت اسلام و مسلمین است. پس وجوب وفا، هم تکلیف است هم مصلحتِ حیثیتی؛ و همین، دلیل دیگری است بر این‌که عدول باید استثنایی و ضابطه‌مند و مستدل باشد ـ طوری که حیثیت اسلام لطمه نبیند، بلکه عظمت تدبیر اسلامی آشکار شود.</w:t>
      </w:r>
    </w:p>
    <w:p>
      <w:pPr>
        <w:pStyle w:val="TH-Band"/>
        <w:widowControl/>
        <w:bidi w:val="1"/>
        <w:spacing w:before="280" w:after="160" w:line="336" w:lineRule="auto"/>
        <w:jc w:val="right"/>
        <w:keepNext w:val="1"/>
      </w:pPr>
      <w:bookmarkStart w:id="91" w:name="_Toc000091"/>
      <w:r>
        <w:rPr>
          <w:rFonts w:ascii="B Traffic" w:hAnsi="B Traffic" w:cs="B Traffic" w:eastAsia="B Traffic"/>
          <w:b/>
          <w:i w:val="0"/>
          <w:sz w:val="28"/>
          <w:szCs w:val="28"/>
          <w:rtl/>
        </w:rPr>
        <w:t>بند دوم: حفظ سوگند؛ مائده/۸۹</w:t>
      </w:r>
      <w:bookmarkEnd w:id="91"/>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وَاحْفَظُوا أَیْمَانَکُمْ</w:t>
      </w:r>
      <w:r>
        <w:rPr>
          <w:rFonts w:ascii="B Badr" w:hAnsi="B Badr" w:cs="B Badr" w:eastAsia="B Badr"/>
          <w:b w:val="0"/>
          <w:i w:val="0"/>
          <w:sz w:val="26"/>
          <w:szCs w:val="26"/>
          <w:vertAlign w:val="superscript"/>
        </w:rPr>
        <w:footnoteReference w:id="72"/>
      </w:r>
    </w:p>
    <w:p>
      <w:pPr>
        <w:pStyle w:val="TH-Body"/>
        <w:widowControl/>
        <w:bidi w:val="1"/>
        <w:spacing w:before="0" w:after="200" w:line="336" w:lineRule="auto"/>
        <w:jc w:val="both"/>
      </w:pPr>
      <w:r>
        <w:rPr>
          <w:rFonts w:ascii="B Lotus" w:hAnsi="B Lotus" w:cs="B Lotus" w:eastAsia="B Lotus"/>
          <w:b w:val="0"/>
          <w:i w:val="0"/>
          <w:sz w:val="28"/>
          <w:szCs w:val="28"/>
        </w:rPr>
        <w:t>این فراز، پایان آیه‌ای است که احکام کفاره سوگند را بیان می‌کند؛ ولی لحنش عام است و فراتر از سوگندِ لفظی می‌رود: «سوگندهایتان را حفظ کنید»؛ یعنی به آن‌چه با التزام گفته‌اید پایبند باشید. فقها از این آیه، اصل کلی «لزوم التزام به تعهدات» را فهمیده‌اند؛ و معاهده بین‌المللی ـ که التزامی رسمی و آشکار است ـ از روشن‌ترین مصادیق آن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ارتباط این آیه با بحث کفاره هم نکته‌ای دارد: شارع برای شکستن سوگند، «کفاره» قرار داده؛ یعنی حتی وقتی شکستن سوگند جایز می‌شود (مثل وقتی که بر امر مرجوحی سوگند خورده)، هزینه دارد و مجانی نیست. این منطق ـ «جوازِ پرهزینه» ـ دقیقاً همان منطقی است که من در کل رساله دنبال می‌کنم: عدول ممکن است جایز باشد، ولی هزینه دارد (مسئولیت بین‌المللی، لطمه حیثیتی، واکنش طرف مقابل) و حاکم باید این هزینه را در محاسبه‌اش لحاظ کند. کفاره سوگند، الگوی فقهیِ «هزینه جواز» است.</w:t>
      </w:r>
    </w:p>
    <w:p>
      <w:pPr>
        <w:pStyle w:val="TH-Band"/>
        <w:widowControl/>
        <w:bidi w:val="1"/>
        <w:spacing w:before="280" w:after="160" w:line="336" w:lineRule="auto"/>
        <w:jc w:val="right"/>
        <w:keepNext w:val="1"/>
      </w:pPr>
      <w:bookmarkStart w:id="92" w:name="_Toc000092"/>
      <w:r>
        <w:rPr>
          <w:rFonts w:ascii="B Traffic" w:hAnsi="B Traffic" w:cs="B Traffic" w:eastAsia="B Traffic"/>
          <w:b/>
          <w:i w:val="0"/>
          <w:sz w:val="28"/>
          <w:szCs w:val="28"/>
          <w:rtl/>
        </w:rPr>
        <w:t>بند سوم: نشانه منافق؛ وعده‌خلافی</w:t>
      </w:r>
      <w:bookmarkEnd w:id="92"/>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آیَةُ الْمُنَافِقِ ثَلَاثٌ: إِذَا حَدَّثَ کَذَبَ وَإِذَا وَعَدَ أَخْلَفَ وَإِذَا اؤْتُمِنَ خَانَ</w:t>
      </w:r>
      <w:r>
        <w:rPr>
          <w:rFonts w:ascii="B Badr" w:hAnsi="B Badr" w:cs="B Badr" w:eastAsia="B Badr"/>
          <w:b w:val="0"/>
          <w:i w:val="0"/>
          <w:sz w:val="26"/>
          <w:szCs w:val="26"/>
          <w:vertAlign w:val="superscript"/>
        </w:rPr>
        <w:footnoteReference w:id="73"/>
      </w:r>
    </w:p>
    <w:p>
      <w:pPr>
        <w:pStyle w:val="TH-Body"/>
        <w:widowControl/>
        <w:bidi w:val="1"/>
        <w:spacing w:before="0" w:after="200" w:line="336" w:lineRule="auto"/>
        <w:jc w:val="both"/>
      </w:pPr>
      <w:r>
        <w:rPr>
          <w:rFonts w:ascii="B Lotus" w:hAnsi="B Lotus" w:cs="B Lotus" w:eastAsia="B Lotus"/>
          <w:b w:val="0"/>
          <w:i w:val="0"/>
          <w:sz w:val="28"/>
          <w:szCs w:val="28"/>
        </w:rPr>
        <w:t>این حدیث شریف، وعده‌خلافی را ـ در کنار دروغ و خیانت ـ از «نشانه‌های نفاق» می‌شمرد. لحنش شدید است و پیامش روشن: کسی که وعده می‌دهد و خلف می‌کند، به منافقان شبیه شده؛ و این، بدترین نکوهشی است که می‌شود از مسلمان کرد. شمولش نسبت به عهدهای حکومتی از این جهت است که «وعد» در حدیث مطلق است و شامل وعده حاکم به دولت دیگر هم می‌شود؛ و اساساً وعده حاکم، مهم‌تر از وعده فرد عادی است، چون حیثیت امت به آن گره خورده.</w:t>
      </w:r>
    </w:p>
    <w:p>
      <w:pPr>
        <w:pStyle w:val="TH-Body"/>
        <w:widowControl/>
        <w:bidi w:val="1"/>
        <w:spacing w:before="0" w:after="200" w:line="336" w:lineRule="auto"/>
        <w:ind w:firstLine="283"/>
        <w:jc w:val="both"/>
      </w:pPr>
      <w:r>
        <w:rPr>
          <w:rFonts w:ascii="B Lotus" w:hAnsi="B Lotus" w:cs="B Lotus" w:eastAsia="B Lotus"/>
          <w:b w:val="0"/>
          <w:i w:val="0"/>
          <w:sz w:val="28"/>
          <w:szCs w:val="28"/>
        </w:rPr>
        <w:t>البته ـ چنان‌که روش من در این رساله است ـ باید انصاف داد: این حدیث، ناظر به «خلف وعده ناروا»ست، نه عدولِ موجهِ ضابطه‌مند؛ یعنی کسی که بی‌دلیل و از سر بی‌مبالاتی وعده می‌شکند، منافق‌صفت است ـ ولی حاکمی که در مقام تزاحم و با حکم حکومتی و با اعلام آشکار عدول می‌کند، مشمول این نکوهش نیست. تمایزشان در «مجوز» و «شیوه» است؛ و همین تمایز است که کل فصل چهارم برای تبیینش نوشته شده.</w:t>
      </w:r>
    </w:p>
    <w:p>
      <w:pPr>
        <w:pStyle w:val="TH-Band"/>
        <w:widowControl/>
        <w:bidi w:val="1"/>
        <w:spacing w:before="280" w:after="160" w:line="336" w:lineRule="auto"/>
        <w:jc w:val="right"/>
        <w:keepNext w:val="1"/>
      </w:pPr>
      <w:bookmarkStart w:id="93" w:name="_Toc000093"/>
      <w:r>
        <w:rPr>
          <w:rFonts w:ascii="B Traffic" w:hAnsi="B Traffic" w:cs="B Traffic" w:eastAsia="B Traffic"/>
          <w:b/>
          <w:i w:val="0"/>
          <w:sz w:val="28"/>
          <w:szCs w:val="28"/>
          <w:rtl/>
        </w:rPr>
        <w:t>بند چهارم: میثاق مدینه و عهدنامه نجران؛ دو الگوی حکومتی</w:t>
      </w:r>
      <w:bookmarkEnd w:id="93"/>
    </w:p>
    <w:p>
      <w:pPr>
        <w:pStyle w:val="TH-Body"/>
        <w:widowControl/>
        <w:bidi w:val="1"/>
        <w:spacing w:before="0" w:after="200" w:line="336" w:lineRule="auto"/>
        <w:jc w:val="both"/>
      </w:pPr>
      <w:r>
        <w:rPr>
          <w:rFonts w:ascii="B Lotus" w:hAnsi="B Lotus" w:cs="B Lotus" w:eastAsia="B Lotus"/>
          <w:b w:val="0"/>
          <w:i w:val="0"/>
          <w:sz w:val="28"/>
          <w:szCs w:val="28"/>
        </w:rPr>
        <w:t>گذشته از حدیبیه و برائت ـ که در گفتار چهارم گذشت ـ دو سند حکومتی دیگر از صدر اسلام هست که برای مسئله من درس دارند و حیف است ناگفته بمانند.</w:t>
      </w:r>
    </w:p>
    <w:p>
      <w:pPr>
        <w:pStyle w:val="TH-Body"/>
        <w:widowControl/>
        <w:bidi w:val="1"/>
        <w:spacing w:before="0" w:after="200" w:line="336" w:lineRule="auto"/>
        <w:ind w:firstLine="283"/>
        <w:jc w:val="both"/>
      </w:pPr>
      <w:r>
        <w:rPr>
          <w:rFonts w:ascii="B Lotus" w:hAnsi="B Lotus" w:cs="B Lotus" w:eastAsia="B Lotus"/>
          <w:b w:val="0"/>
          <w:i w:val="0"/>
          <w:sz w:val="28"/>
          <w:szCs w:val="28"/>
        </w:rPr>
        <w:t>یکم، «میثاق مدینه» (صحیفه مدینه): پیامبر پس از هجرت، میان مسلمانان (مهاجر و انصار) و یهودیان مدینه پیمانی نوشت که حقوق و وظایف هر گروه و سازوکار حل اختلاف و دفاع مشترک را مشخص می‌کرد.</w:t>
      </w:r>
      <w:r>
        <w:rPr>
          <w:rFonts w:ascii="B Lotus" w:hAnsi="B Lotus" w:cs="B Lotus" w:eastAsia="B Lotus"/>
          <w:b w:val="0"/>
          <w:i w:val="0"/>
          <w:sz w:val="28"/>
          <w:szCs w:val="28"/>
          <w:vertAlign w:val="superscript"/>
        </w:rPr>
        <w:footnoteReference w:id="74"/>
      </w:r>
      <w:r>
        <w:rPr>
          <w:rFonts w:ascii="B Lotus" w:hAnsi="B Lotus" w:cs="B Lotus" w:eastAsia="B Lotus"/>
          <w:b w:val="0"/>
          <w:i w:val="0"/>
          <w:sz w:val="28"/>
          <w:szCs w:val="28"/>
        </w:rPr>
        <w:t xml:space="preserve"> اهمیتش برای من در سه نکته است: اول این‌که نشان می‌دهد پیامبر، «پیمان کتبیِ تفصیلی» با غیرمسلمانان را به‌عنوان ابزار حکومت پذیرفته بود ـ و این، سنتِ پیمان‌بستنِ حکومت اسلامی است. دوم این‌که وقتی بعضی قبایل یهود (بنی‌قینقاع، بنی‌نضیر، بنی‌قریظه) پیمان را شکستند، پیامبر با هرکدام متناسب با خیانتشان برخورد کرد ـ و این، الگوی «عدول واکنشیِ متناسب» است. و سوم این‌که برخورد با ناقضان، پس از «اثبات نقض» و به‌صورت «آشکار» بود، نه پنهانی و غافلگیرانه ـ و این، همان انباذ علی سواء است.</w:t>
      </w:r>
    </w:p>
    <w:p>
      <w:pPr>
        <w:pStyle w:val="TH-Body"/>
        <w:widowControl/>
        <w:bidi w:val="1"/>
        <w:spacing w:before="0" w:after="200" w:line="336" w:lineRule="auto"/>
        <w:ind w:firstLine="283"/>
        <w:jc w:val="both"/>
      </w:pPr>
      <w:r>
        <w:rPr>
          <w:rFonts w:ascii="B Lotus" w:hAnsi="B Lotus" w:cs="B Lotus" w:eastAsia="B Lotus"/>
          <w:b w:val="0"/>
          <w:i w:val="0"/>
          <w:sz w:val="28"/>
          <w:szCs w:val="28"/>
        </w:rPr>
        <w:t>دوم، «عهدنامه نجران»: پیامبر با مسیحیان نجران پیمانی بست که جان و مال و دینشان را تضمین می‌کرد و در برابر، جزیه می‌گرفتند؛ و این پیمان سال‌ها ـ حتی پس از پیامبر ـ محترم شمرده شد.</w:t>
      </w:r>
      <w:r>
        <w:rPr>
          <w:rFonts w:ascii="B Lotus" w:hAnsi="B Lotus" w:cs="B Lotus" w:eastAsia="B Lotus"/>
          <w:b w:val="0"/>
          <w:i w:val="0"/>
          <w:sz w:val="28"/>
          <w:szCs w:val="28"/>
          <w:vertAlign w:val="superscript"/>
        </w:rPr>
        <w:footnoteReference w:id="75"/>
      </w:r>
      <w:r>
        <w:rPr>
          <w:rFonts w:ascii="B Lotus" w:hAnsi="B Lotus" w:cs="B Lotus" w:eastAsia="B Lotus"/>
          <w:b w:val="0"/>
          <w:i w:val="0"/>
          <w:sz w:val="28"/>
          <w:szCs w:val="28"/>
        </w:rPr>
        <w:t xml:space="preserve"> درسش این است: عهد حکومت اسلامی با غیرمسلمانان، حتی پس از رحلتِ شخصِ عاهد (پیامبر) هم باقی است و حکومتِ بعدی ملزم به آن است ـ چون عهد، عهدِ «حکومت» است، نه عهدِ «شخص». این نکته، در بحث جانشینی دولت‌ها و تعهدات دولتِ پیشین هم کاربرد دارد و نشان می‌دهد که منطق فقهی ما با منطق حقوق بین‌الملل (استمرار تعهدات دولت با تغییر حکومت) هم‌خوان است.</w:t>
      </w:r>
    </w:p>
    <w:p>
      <w:pPr>
        <w:pStyle w:val="TH-Band"/>
        <w:widowControl/>
        <w:bidi w:val="1"/>
        <w:spacing w:before="280" w:after="160" w:line="336" w:lineRule="auto"/>
        <w:jc w:val="right"/>
        <w:keepNext w:val="1"/>
      </w:pPr>
      <w:bookmarkStart w:id="94" w:name="_Toc000094"/>
      <w:r>
        <w:rPr>
          <w:rFonts w:ascii="B Traffic" w:hAnsi="B Traffic" w:cs="B Traffic" w:eastAsia="B Traffic"/>
          <w:b/>
          <w:i w:val="0"/>
          <w:sz w:val="28"/>
          <w:szCs w:val="28"/>
          <w:rtl/>
        </w:rPr>
        <w:t>بند پنجم: آرای فقها؛ از جواهر تا تحریر</w:t>
      </w:r>
      <w:bookmarkEnd w:id="94"/>
    </w:p>
    <w:p>
      <w:pPr>
        <w:pStyle w:val="TH-Body"/>
        <w:widowControl/>
        <w:bidi w:val="1"/>
        <w:spacing w:before="0" w:after="200" w:line="336" w:lineRule="auto"/>
        <w:jc w:val="both"/>
      </w:pPr>
      <w:r>
        <w:rPr>
          <w:rFonts w:ascii="B Lotus" w:hAnsi="B Lotus" w:cs="B Lotus" w:eastAsia="B Lotus"/>
          <w:b w:val="0"/>
          <w:i w:val="0"/>
          <w:sz w:val="28"/>
          <w:szCs w:val="28"/>
        </w:rPr>
        <w:t>و دست آخر، بگذارید ببینیم فقهای بزرگ ما درباره عهدنامه‌ها چه گفته‌اند؛ چون استناد به سیره و نص، بدون توجه به فهم فقها، ناقص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صاحب جواهر در کتاب الجهاد، احکام هدنه و امان را با تفصیل بحث کرده و اصل را بر «لزوم وفا» گذاشته؛ ولی در عین حال، فسخ هدنه «عند المصلحة» را ـ با شرایطی ـ پذیرفته است.</w:t>
      </w:r>
      <w:r>
        <w:rPr>
          <w:rFonts w:ascii="B Lotus" w:hAnsi="B Lotus" w:cs="B Lotus" w:eastAsia="B Lotus"/>
          <w:b w:val="0"/>
          <w:i w:val="0"/>
          <w:sz w:val="28"/>
          <w:szCs w:val="28"/>
          <w:vertAlign w:val="superscript"/>
        </w:rPr>
        <w:footnoteReference w:id="76"/>
      </w:r>
      <w:r>
        <w:rPr>
          <w:rFonts w:ascii="B Lotus" w:hAnsi="B Lotus" w:cs="B Lotus" w:eastAsia="B Lotus"/>
          <w:b w:val="0"/>
          <w:i w:val="0"/>
          <w:sz w:val="28"/>
          <w:szCs w:val="28"/>
        </w:rPr>
        <w:t xml:space="preserve"> این همان جمعی است که من در کل رساله دنبال می‌کنم: قاعده، وفاست؛ و استثنا، عدولِ مصلحتیِ ضابطه‌مند. این‌که فقیهی به عظمت صاحب جواهر ـ که به احتیاط و دقت مشهور است ـ چنین استثنایی را پذیرفته، نشان می‌دهد که راه من، راه بی‌سابقه‌ای نیست و ریشه در فقه ما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هم در تحریر الوسیله، احکام دفاع و عهدنامه‌ها را در چارچوب فقه حکومتی مطرح کرده و اختیار حاکم در مصلحت‌سنجی را پذیرفته است.</w:t>
      </w:r>
      <w:r>
        <w:rPr>
          <w:rFonts w:ascii="B Lotus" w:hAnsi="B Lotus" w:cs="B Lotus" w:eastAsia="B Lotus"/>
          <w:b w:val="0"/>
          <w:i w:val="0"/>
          <w:sz w:val="28"/>
          <w:szCs w:val="28"/>
          <w:vertAlign w:val="superscript"/>
        </w:rPr>
        <w:footnoteReference w:id="77"/>
      </w:r>
      <w:r>
        <w:rPr>
          <w:rFonts w:ascii="B Lotus" w:hAnsi="B Lotus" w:cs="B Lotus" w:eastAsia="B Lotus"/>
          <w:b w:val="0"/>
          <w:i w:val="0"/>
          <w:sz w:val="28"/>
          <w:szCs w:val="28"/>
        </w:rPr>
        <w:t xml:space="preserve"> و شیخ انصاری در المکاسب، قاعده لزوم را با ادله‌اش اثبات کرده که مبنای اصالة اللزومِ گفتار ششم من است.</w:t>
      </w:r>
      <w:r>
        <w:rPr>
          <w:rFonts w:ascii="B Lotus" w:hAnsi="B Lotus" w:cs="B Lotus" w:eastAsia="B Lotus"/>
          <w:b w:val="0"/>
          <w:i w:val="0"/>
          <w:sz w:val="28"/>
          <w:szCs w:val="28"/>
          <w:vertAlign w:val="superscript"/>
        </w:rPr>
        <w:footnoteReference w:id="78"/>
      </w:r>
    </w:p>
    <w:p>
      <w:pPr>
        <w:pStyle w:val="TH-Body"/>
        <w:widowControl/>
        <w:bidi w:val="1"/>
        <w:spacing w:before="0" w:after="200" w:line="336" w:lineRule="auto"/>
        <w:ind w:firstLine="283"/>
        <w:jc w:val="both"/>
      </w:pPr>
      <w:r>
        <w:rPr>
          <w:rFonts w:ascii="B Lotus" w:hAnsi="B Lotus" w:cs="B Lotus" w:eastAsia="B Lotus"/>
          <w:b w:val="0"/>
          <w:i w:val="0"/>
          <w:sz w:val="28"/>
          <w:szCs w:val="28"/>
        </w:rPr>
        <w:t>نکته‌ای که از مجموع آرای فقها درمی‌آید و باید ثبت شود: هیچ فقیهی ـ تا آن‌جا که تتبع من رسیده ـ «عدول بی‌ضابطه» را جایز ندانسته؛ و هیچ فقیهی هم «وفای بی‌استثنا» را ـ حتی در فرض ضرر به اسلام و مسلمین ـ واجب ندانسته. همه، جایی میان این دو افراط ایستاده‌اند؛ و اختلافشان فقط در «حدود استثنا»ست، نه در «اصل استثنا». و همین اجماعِ ضمنی، قوی‌ترین پشتوانه رویکرد این رساله است: نه جمود بر وفا، نه اباحه عدول؛ بلکه وفای قاعده‌مند با استثنای ضابطه‌مند.</w:t>
      </w:r>
    </w:p>
    <w:p>
      <w:pPr>
        <w:pStyle w:val="TH-Goftar"/>
        <w:widowControl/>
        <w:bidi w:val="1"/>
        <w:spacing w:before="280" w:after="160" w:line="336" w:lineRule="auto"/>
        <w:jc w:val="right"/>
        <w:keepNext w:val="1"/>
        <w:shd w:val="clear" w:fill="EDEDED"/>
      </w:pPr>
      <w:bookmarkStart w:id="95" w:name="_Toc000095"/>
      <w:r>
        <w:rPr>
          <w:rFonts w:ascii="B Titr" w:hAnsi="B Titr" w:cs="B Titr" w:eastAsia="B Titr"/>
          <w:b/>
          <w:i w:val="0"/>
          <w:sz w:val="32"/>
          <w:szCs w:val="32"/>
          <w:rtl/>
        </w:rPr>
        <w:t>گفتار هشتم: واژه‌شناسی قرآنی؛ عهد، عقد، میثاق و وعد</w:t>
      </w:r>
      <w:bookmarkEnd w:id="95"/>
    </w:p>
    <w:p>
      <w:pPr>
        <w:pStyle w:val="TH-Band"/>
        <w:widowControl/>
        <w:bidi w:val="1"/>
        <w:spacing w:before="280" w:after="160" w:line="336" w:lineRule="auto"/>
        <w:jc w:val="right"/>
        <w:keepNext w:val="1"/>
      </w:pPr>
      <w:bookmarkStart w:id="96" w:name="_Toc000096"/>
      <w:r>
        <w:rPr>
          <w:rFonts w:ascii="B Traffic" w:hAnsi="B Traffic" w:cs="B Traffic" w:eastAsia="B Traffic"/>
          <w:b/>
          <w:i w:val="0"/>
          <w:sz w:val="28"/>
          <w:szCs w:val="28"/>
          <w:rtl/>
        </w:rPr>
        <w:t>بند اول: چرا واژه‌شناسی؟</w:t>
      </w:r>
      <w:bookmarkEnd w:id="96"/>
    </w:p>
    <w:p>
      <w:pPr>
        <w:pStyle w:val="TH-Body"/>
        <w:widowControl/>
        <w:bidi w:val="1"/>
        <w:spacing w:before="0" w:after="200" w:line="336" w:lineRule="auto"/>
        <w:jc w:val="both"/>
      </w:pPr>
      <w:r>
        <w:rPr>
          <w:rFonts w:ascii="B Lotus" w:hAnsi="B Lotus" w:cs="B Lotus" w:eastAsia="B Lotus"/>
          <w:b w:val="0"/>
          <w:i w:val="0"/>
          <w:sz w:val="28"/>
          <w:szCs w:val="28"/>
        </w:rPr>
        <w:t>قرآن برای مفهومِ «تعهد» از واژه‌های مختلفی استفاده کرده: عهد، عقد، میثاق، وعد، ایمان، ذمه. این تنوع، اتفاقی نیست؛ هر واژه بارِ معناییِ خاصِ خودش را دارد و فهمِ دقیقِ ادله وفا، بدون فهمِ این تفاوت‌ها ناقص است. پس در این گفتار ـ که جنبه مقدماتیِ تفسیری دارد ـ این واژه‌ها را یک‌به‌یک می‌شکافم تا خواننده بداند وقتی در فصول قبل از «آیات وفا» حرف زدم، دقیقاً از چه حرف زده‌ام.</w:t>
      </w:r>
    </w:p>
    <w:p>
      <w:pPr>
        <w:pStyle w:val="TH-Band"/>
        <w:widowControl/>
        <w:bidi w:val="1"/>
        <w:spacing w:before="280" w:after="160" w:line="336" w:lineRule="auto"/>
        <w:jc w:val="right"/>
        <w:keepNext w:val="1"/>
      </w:pPr>
      <w:bookmarkStart w:id="97" w:name="_Toc000097"/>
      <w:r>
        <w:rPr>
          <w:rFonts w:ascii="B Traffic" w:hAnsi="B Traffic" w:cs="B Traffic" w:eastAsia="B Traffic"/>
          <w:b/>
          <w:i w:val="0"/>
          <w:sz w:val="28"/>
          <w:szCs w:val="28"/>
          <w:rtl/>
        </w:rPr>
        <w:t>بند دوم: عهد و عقد؛ التزام و گره</w:t>
      </w:r>
      <w:bookmarkEnd w:id="97"/>
    </w:p>
    <w:p>
      <w:pPr>
        <w:pStyle w:val="TH-Body"/>
        <w:widowControl/>
        <w:bidi w:val="1"/>
        <w:spacing w:before="0" w:after="200" w:line="336" w:lineRule="auto"/>
        <w:jc w:val="both"/>
      </w:pPr>
      <w:r>
        <w:rPr>
          <w:rFonts w:ascii="B Lotus" w:hAnsi="B Lotus" w:cs="B Lotus" w:eastAsia="B Lotus"/>
          <w:b w:val="0"/>
          <w:i w:val="0"/>
          <w:sz w:val="28"/>
          <w:szCs w:val="28"/>
        </w:rPr>
        <w:t>«عهد» در لغت یعنی پیمان و التزام و عهده‌داری؛ و در قرآن، هم عهدِ خدا با بندگان را شامل می‌شود (مثل عهدِ فطری و عهدِ رسالت) هم عهدِ بندگان با خدا (مثل نذر و سوگند) هم عهدِ بندگان با یکدیگر (مثل پیمان‌های اجتماعی و حکومتی).</w:t>
      </w:r>
      <w:r>
        <w:rPr>
          <w:rFonts w:ascii="B Lotus" w:hAnsi="B Lotus" w:cs="B Lotus" w:eastAsia="B Lotus"/>
          <w:b w:val="0"/>
          <w:i w:val="0"/>
          <w:sz w:val="28"/>
          <w:szCs w:val="28"/>
          <w:vertAlign w:val="superscript"/>
        </w:rPr>
        <w:footnoteReference w:id="79"/>
      </w:r>
      <w:r>
        <w:rPr>
          <w:rFonts w:ascii="B Lotus" w:hAnsi="B Lotus" w:cs="B Lotus" w:eastAsia="B Lotus"/>
          <w:b w:val="0"/>
          <w:i w:val="0"/>
          <w:sz w:val="28"/>
          <w:szCs w:val="28"/>
        </w:rPr>
        <w:t xml:space="preserve"> گستردگیِ کاربردش نشان می‌دهد که «عهد» در منطقِ قرآن، مفهومی «بنیادین» است ـ نه فرعی و حاشیه‌ای: رابطه خدا و انسان بر عهد استوار است، و رابطه انسان‌ها با یکدیگر هم باید بر عهد استوار باشد. پس عهدشکنی، نه‌فقط نقضِ یک قرارداد، که نقضِ بنیادِ رابطه‌هاست.</w:t>
      </w:r>
    </w:p>
    <w:p>
      <w:pPr>
        <w:pStyle w:val="TH-Body"/>
        <w:widowControl/>
        <w:bidi w:val="1"/>
        <w:spacing w:before="0" w:after="200" w:line="336" w:lineRule="auto"/>
        <w:ind w:firstLine="283"/>
        <w:jc w:val="both"/>
      </w:pPr>
      <w:r>
        <w:rPr>
          <w:rFonts w:ascii="B Lotus" w:hAnsi="B Lotus" w:cs="B Lotus" w:eastAsia="B Lotus"/>
          <w:b w:val="0"/>
          <w:i w:val="0"/>
          <w:sz w:val="28"/>
          <w:szCs w:val="28"/>
        </w:rPr>
        <w:t>«عقد» ـ بر وزن فَعْل ـ یعنی گره؛ و «عقود» (در آیه اوفوا بالعقود) یعنی گره‌ها و پیمان‌های استوار. فرقش با عهد در این است که عقد، جنبه «انشایی و قراردادی» دارد (چیزی که دو طرف با اراده می‌بندند)، ولی عهد اعم است و شامل التزاماتِ غیرقراردادی هم می‌شود.</w:t>
      </w:r>
      <w:r>
        <w:rPr>
          <w:rFonts w:ascii="B Lotus" w:hAnsi="B Lotus" w:cs="B Lotus" w:eastAsia="B Lotus"/>
          <w:b w:val="0"/>
          <w:i w:val="0"/>
          <w:sz w:val="28"/>
          <w:szCs w:val="28"/>
          <w:vertAlign w:val="superscript"/>
        </w:rPr>
        <w:footnoteReference w:id="80"/>
      </w:r>
      <w:r>
        <w:rPr>
          <w:rFonts w:ascii="B Lotus" w:hAnsi="B Lotus" w:cs="B Lotus" w:eastAsia="B Lotus"/>
          <w:b w:val="0"/>
          <w:i w:val="0"/>
          <w:sz w:val="28"/>
          <w:szCs w:val="28"/>
        </w:rPr>
        <w:t xml:space="preserve"> نتیجه‌اش برای استدلال من: آیه «اوفوا بالعقود» دقیقاً ناظر به «قراردادها»ست ـ و معاهده بین‌المللی، قراردادی است میان دولت‌ها؛ پس شمولِ آیه نسبت به آن، شمولِ مستقیم و بی‌واسطه است، نه با تکلف و تأویل. این نکته، پاسخِ کسانی است که دلالتِ آیه بر معاهدات را «بعید» می‌دانند: نه، دلالت مستقیم است، چون معاهده عقد است و آیه می‌گوید به عقود وفا کنید.</w:t>
      </w:r>
    </w:p>
    <w:p>
      <w:pPr>
        <w:pStyle w:val="TH-Band"/>
        <w:widowControl/>
        <w:bidi w:val="1"/>
        <w:spacing w:before="280" w:after="160" w:line="336" w:lineRule="auto"/>
        <w:jc w:val="right"/>
        <w:keepNext w:val="1"/>
      </w:pPr>
      <w:bookmarkStart w:id="98" w:name="_Toc000098"/>
      <w:r>
        <w:rPr>
          <w:rFonts w:ascii="B Traffic" w:hAnsi="B Traffic" w:cs="B Traffic" w:eastAsia="B Traffic"/>
          <w:b/>
          <w:i w:val="0"/>
          <w:sz w:val="28"/>
          <w:szCs w:val="28"/>
          <w:rtl/>
        </w:rPr>
        <w:t>بند سوم: میثاق و وعد؛ پیمانِ محکم و وعده</w:t>
      </w:r>
      <w:bookmarkEnd w:id="98"/>
    </w:p>
    <w:p>
      <w:pPr>
        <w:pStyle w:val="TH-Body"/>
        <w:widowControl/>
        <w:bidi w:val="1"/>
        <w:spacing w:before="0" w:after="200" w:line="336" w:lineRule="auto"/>
        <w:jc w:val="both"/>
      </w:pPr>
      <w:r>
        <w:rPr>
          <w:rFonts w:ascii="B Lotus" w:hAnsi="B Lotus" w:cs="B Lotus" w:eastAsia="B Lotus"/>
          <w:b w:val="0"/>
          <w:i w:val="0"/>
          <w:sz w:val="28"/>
          <w:szCs w:val="28"/>
        </w:rPr>
        <w:t>«میثاق» از ریشه «وثق» (استواری) و بر وزن مِفعال (اسم آلت/مبالغه) است؛ یعنی «پیمانِ بسیار استوار». در قرآن، میثاق معمولاً برای پیمان‌های «بزرگ و سرنوشت‌ساز» به کار رفته: میثاق خدا با پیامبران (آل‌عمران/۸۱)، میثاق با بنی‌اسرائیل (بقره/۶۳ و ۸۳)، و میثاق ازدواج (نساء/۲۱: «مِیثَاقًا غَلِیظًا»).</w:t>
      </w:r>
      <w:r>
        <w:rPr>
          <w:rFonts w:ascii="B Lotus" w:hAnsi="B Lotus" w:cs="B Lotus" w:eastAsia="B Lotus"/>
          <w:b w:val="0"/>
          <w:i w:val="0"/>
          <w:sz w:val="28"/>
          <w:szCs w:val="28"/>
          <w:vertAlign w:val="superscript"/>
        </w:rPr>
        <w:footnoteReference w:id="81"/>
      </w:r>
      <w:r>
        <w:rPr>
          <w:rFonts w:ascii="B Lotus" w:hAnsi="B Lotus" w:cs="B Lotus" w:eastAsia="B Lotus"/>
          <w:b w:val="0"/>
          <w:i w:val="0"/>
          <w:sz w:val="28"/>
          <w:szCs w:val="28"/>
        </w:rPr>
        <w:t xml:space="preserve"> درسش برای مسئله من: معاهده بین‌المللیِ دولت اسلامی ـ که سرنوشتِ کشور به آن گره خورده ـ از جنس «میثاق» است، نه وعده عادی؛ پس حرمتِ نقضش بیشتر و بارِ اثباتِ مجوزِ عدول از آن سنگین‌تر است. هرچه پیمان بزرگ‌تر، شکستنش دشوارتر ـ هم شرعاً، هم عقلاً، هم وجداناً.</w:t>
      </w:r>
    </w:p>
    <w:p>
      <w:pPr>
        <w:pStyle w:val="TH-Body"/>
        <w:widowControl/>
        <w:bidi w:val="1"/>
        <w:spacing w:before="0" w:after="200" w:line="336" w:lineRule="auto"/>
        <w:ind w:firstLine="283"/>
        <w:jc w:val="both"/>
      </w:pPr>
      <w:r>
        <w:rPr>
          <w:rFonts w:ascii="B Lotus" w:hAnsi="B Lotus" w:cs="B Lotus" w:eastAsia="B Lotus"/>
          <w:b w:val="0"/>
          <w:i w:val="0"/>
          <w:sz w:val="28"/>
          <w:szCs w:val="28"/>
        </w:rPr>
        <w:t>«وعد» هم یعنی وعده و نوید؛ و در قرآن، هم وعده خدا (که حتماً محقق می‌شود: «إِنَّ اللَّهَ لَا یُخْلِفُ الْمِیعَادَ»)</w:t>
      </w:r>
      <w:r>
        <w:rPr>
          <w:rFonts w:ascii="B Lotus" w:hAnsi="B Lotus" w:cs="B Lotus" w:eastAsia="B Lotus"/>
          <w:b w:val="0"/>
          <w:i w:val="0"/>
          <w:sz w:val="28"/>
          <w:szCs w:val="28"/>
          <w:vertAlign w:val="superscript"/>
        </w:rPr>
        <w:footnoteReference w:id="82"/>
      </w:r>
      <w:r>
        <w:rPr>
          <w:rFonts w:ascii="B Lotus" w:hAnsi="B Lotus" w:cs="B Lotus" w:eastAsia="B Lotus"/>
          <w:b w:val="0"/>
          <w:i w:val="0"/>
          <w:sz w:val="28"/>
          <w:szCs w:val="28"/>
        </w:rPr>
        <w:t xml:space="preserve"> هم وعده بندگان را شامل می‌شود. نکته‌ای که از وعده‌های الهی درمی‌آید و برای بحث من الهام‌بخش است: خدا ـ با این‌که قادرِ مطلق است و هیچ‌کس نمی‌تواند او را ملزم کند ـ به وعده‌هایش وفا می‌کند؛ پس انسان ـ که ضعیف و نیازمندِ اعتمادِ دیگران است ـ به طریق اولی باید وفا کند. وفای الهی، الگوی وفای بشری است؛ و این، لطیف‌ترین مبنای اخلاقیِ وجوب وفاست.</w:t>
      </w:r>
    </w:p>
    <w:p>
      <w:pPr>
        <w:pStyle w:val="TH-Band"/>
        <w:widowControl/>
        <w:bidi w:val="1"/>
        <w:spacing w:before="280" w:after="160" w:line="336" w:lineRule="auto"/>
        <w:jc w:val="right"/>
        <w:keepNext w:val="1"/>
      </w:pPr>
      <w:bookmarkStart w:id="99" w:name="_Toc000099"/>
      <w:r>
        <w:rPr>
          <w:rFonts w:ascii="B Traffic" w:hAnsi="B Traffic" w:cs="B Traffic" w:eastAsia="B Traffic"/>
          <w:b/>
          <w:i w:val="0"/>
          <w:sz w:val="28"/>
          <w:szCs w:val="28"/>
          <w:rtl/>
        </w:rPr>
        <w:t>بند چهارم: ایمان و ذمه؛ سوگند و عهده</w:t>
      </w:r>
      <w:bookmarkEnd w:id="99"/>
    </w:p>
    <w:p>
      <w:pPr>
        <w:pStyle w:val="TH-Body"/>
        <w:widowControl/>
        <w:bidi w:val="1"/>
        <w:spacing w:before="0" w:after="200" w:line="336" w:lineRule="auto"/>
        <w:jc w:val="both"/>
      </w:pPr>
      <w:r>
        <w:rPr>
          <w:rFonts w:ascii="B Lotus" w:hAnsi="B Lotus" w:cs="B Lotus" w:eastAsia="B Lotus"/>
          <w:b w:val="0"/>
          <w:i w:val="0"/>
          <w:sz w:val="28"/>
          <w:szCs w:val="28"/>
        </w:rPr>
        <w:t>«ایمان» (جمع یمین) یعنی سوگندها؛ و از آن‌جا که سوگند با دستِ راست (یمین) همراه بوده، به آن یمین گفته‌اند. آیه «واحفظوا ایمانکم» (مائده/۸۹) ـ که در گفتار هفتم گذشت ـ و آیات نهی از نقض سوگند (نحل/۹۱ـ۹۲) نشان می‌دهند که سوگند، «محرّمِ» تعهد است؛ یعنی تعهدی که با سوگند همراه شود، حرمتِ مضاعف پیدا می‌کند. کاربردش برای معاهدات: معاهده‌ای که با سوگند یا با التزامِ مؤکدِ دینی همراه باشد (مثل عهدنامه‌هایی که در صدر اسلام با نام خدا بسته می‌شد)، از حرمتِ بیشتری برخوردار است و عدول از آن، بارِ اثباتِ سنگین‌تری می‌طلبد.</w:t>
      </w:r>
    </w:p>
    <w:p>
      <w:pPr>
        <w:pStyle w:val="TH-Body"/>
        <w:widowControl/>
        <w:bidi w:val="1"/>
        <w:spacing w:before="0" w:after="200" w:line="336" w:lineRule="auto"/>
        <w:ind w:firstLine="283"/>
        <w:jc w:val="both"/>
      </w:pPr>
      <w:r>
        <w:rPr>
          <w:rFonts w:ascii="B Lotus" w:hAnsi="B Lotus" w:cs="B Lotus" w:eastAsia="B Lotus"/>
          <w:b w:val="0"/>
          <w:i w:val="0"/>
          <w:sz w:val="28"/>
          <w:szCs w:val="28"/>
        </w:rPr>
        <w:t>و «ذمه» یعنی عهده و پیمان و ضمان؛ و «اهل ذمه» یعنی کسانی که در عهده و پناهِ حکومتِ اسلامی‌اند. واژه ذمه، جنبه «حمایتی» عهد را برجسته می‌کند: عهد، فقط التزام نیست، «پناه» هم هست ـ پناهی که طرفِ ضعیف‌تر به آن دل می‌بندد. پس نقضِ عهد، نه‌فقط خلفِ وعده، که «شکستنِ پناه» است؛ و شکستنِ پناهِ کسی که به تو پناه آورده، از زشت‌ترین کارهاست. این بُعدِ عاطفیِ ـ و در عین حال عمیقاً اخلاقیِ ـ عهد را نباید فراموش کرد؛ چون همین بُعد است که قبحِ عهدشکنی را از سطحِ «تخلفِ حقوقی» به سطحِ «رذالتِ اخلاقی» بالا می‌برد.</w:t>
      </w:r>
    </w:p>
    <w:p>
      <w:pPr>
        <w:pStyle w:val="TH-Goftar"/>
        <w:widowControl/>
        <w:bidi w:val="1"/>
        <w:spacing w:before="280" w:after="160" w:line="336" w:lineRule="auto"/>
        <w:jc w:val="right"/>
        <w:keepNext w:val="1"/>
        <w:shd w:val="clear" w:fill="EDEDED"/>
      </w:pPr>
      <w:bookmarkStart w:id="100" w:name="_Toc000100"/>
      <w:r>
        <w:rPr>
          <w:rFonts w:ascii="B Titr" w:hAnsi="B Titr" w:cs="B Titr" w:eastAsia="B Titr"/>
          <w:b/>
          <w:i w:val="0"/>
          <w:sz w:val="32"/>
          <w:szCs w:val="32"/>
          <w:rtl/>
        </w:rPr>
        <w:t>حاصل فصل سوم</w:t>
      </w:r>
      <w:bookmarkEnd w:id="100"/>
    </w:p>
    <w:p>
      <w:pPr>
        <w:pStyle w:val="TH-Body"/>
        <w:widowControl/>
        <w:bidi w:val="1"/>
        <w:spacing w:before="0" w:after="200" w:line="336" w:lineRule="auto"/>
        <w:jc w:val="both"/>
      </w:pPr>
      <w:r>
        <w:rPr>
          <w:rFonts w:ascii="B Lotus" w:hAnsi="B Lotus" w:cs="B Lotus" w:eastAsia="B Lotus"/>
          <w:b w:val="0"/>
          <w:i w:val="0"/>
          <w:sz w:val="28"/>
          <w:szCs w:val="28"/>
        </w:rPr>
        <w:t>حاصل این فصل، اثبات قاعده اولی با هشت گفتار ـ آیات عام، آیات خاص، روایات، سیره، عقل و بنا، قواعد فقهی مؤید، ادله تکمیلی و واژه‌شناسی قرآنی ـ است؛ مجموعه‌ای که هر دسته‌اش به‌تنهایی کافی است و اجتماعشان اطمینانی می‌سازد که جای هیچ تردیدی باقی نمی‌گذارد. قاعده این است: وفای به عهد ـ از جمله عهدهای بین‌المللی دولت اسلامی ـ واجب است؛ و خروج از آن، نیازمند دلیل است. من در این فصل، وکیل وفا بودم و با تمام توان از موکلم دفاع کردم؛ و انصافاً، موکل قوی‌ای داشتم. ولی حالا ـ در فصل چهارم ـ باید به سراغ استثنا بروم: این‌که آیا دلیلی برای خروج از این قاعده هست یا نه. و خواننده‌ای که قوت این فصل را دریافته باشد، می‌داند که مدعی جواز عدول، بار سنگینی بر دوش دارد. ببینیم آیا از پسش برمی‌آید یا نه.</w:t>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101" w:name="_Toc000101"/>
      <w:r>
        <w:rPr>
          <w:rFonts w:ascii="B Titr" w:hAnsi="B Titr" w:cs="B Titr" w:eastAsia="B Titr"/>
          <w:b/>
          <w:i w:val="0"/>
          <w:sz w:val="44"/>
          <w:szCs w:val="44"/>
          <w:rtl/>
        </w:rPr>
        <w:t>فصل چهارم: مبانی جواز عدول و ضوابط آن</w:t>
      </w:r>
      <w:bookmarkEnd w:id="101"/>
    </w:p>
    <w:p>
      <w:pPr>
        <w:pStyle w:val="TH-Body"/>
        <w:widowControl/>
        <w:bidi w:val="1"/>
        <w:spacing w:before="0" w:after="200" w:line="336" w:lineRule="auto"/>
        <w:jc w:val="both"/>
      </w:pPr>
      <w:r>
        <w:rPr>
          <w:rFonts w:ascii="B Lotus" w:hAnsi="B Lotus" w:cs="B Lotus" w:eastAsia="B Lotus"/>
          <w:b w:val="0"/>
          <w:i w:val="0"/>
          <w:sz w:val="28"/>
          <w:szCs w:val="28"/>
        </w:rPr>
        <w:t>در فصل سوم وکیل وفا بودم و قاعده را با هشت گفتارِ مستدل اثبات کردم؛ قاعده‌ای که انصافاً قوی بود و هست. حالا نوبت دفاع از استثناست؛ و این کار، از جهتی دشوارتر است، چون باید در برابر آن قاعده قدرتمند، راهی برای خروج نشان بدهم ـ راهی که نه قاعده را ویران کند، نه بی‌ضابطه باشد. منطق من در این فصل سه‌گامی است: اول نشان می‌دهم که نسبت وجوب وفا و وجوب حفظ نظام، «تزاحم» است نه تعارض ـ یعنی هر دو حکم سر جایشان هستند ولی در مقام عمل با هم درگیر شده‌اند؛ بعد نشان می‌دهم که مرجع حل این تزاحم، «ولی فقیه» است و ابزار حلش، «حکم حکومتی»؛ و آخر، ضوابطی استخراج می‌کنم که جلوِ سوءاستفاده از این جواز را بگیرد. اگر این سه گام درست برداشته شود، جواز عدول ثابت می‌شود ـ جوازی مقید، مشروط، و مهارشده؛ نه مجوزی برای هر عهدشکنی.</w:t>
      </w:r>
    </w:p>
    <w:p>
      <w:pPr>
        <w:pStyle w:val="TH-Goftar"/>
        <w:widowControl/>
        <w:bidi w:val="1"/>
        <w:spacing w:before="280" w:after="160" w:line="336" w:lineRule="auto"/>
        <w:jc w:val="right"/>
        <w:keepNext w:val="1"/>
        <w:shd w:val="clear" w:fill="EDEDED"/>
      </w:pPr>
      <w:bookmarkStart w:id="102" w:name="_Toc000102"/>
      <w:r>
        <w:rPr>
          <w:rFonts w:ascii="B Titr" w:hAnsi="B Titr" w:cs="B Titr" w:eastAsia="B Titr"/>
          <w:b/>
          <w:i w:val="0"/>
          <w:sz w:val="32"/>
          <w:szCs w:val="32"/>
          <w:rtl/>
        </w:rPr>
        <w:t>گفتار اول: قاعده تزاحم؛ قلب تپنده استدلال</w:t>
      </w:r>
      <w:bookmarkEnd w:id="102"/>
    </w:p>
    <w:p>
      <w:pPr>
        <w:pStyle w:val="TH-Band"/>
        <w:widowControl/>
        <w:bidi w:val="1"/>
        <w:spacing w:before="280" w:after="160" w:line="336" w:lineRule="auto"/>
        <w:jc w:val="right"/>
        <w:keepNext w:val="1"/>
      </w:pPr>
      <w:bookmarkStart w:id="103" w:name="_Toc000103"/>
      <w:r>
        <w:rPr>
          <w:rFonts w:ascii="B Traffic" w:hAnsi="B Traffic" w:cs="B Traffic" w:eastAsia="B Traffic"/>
          <w:b/>
          <w:i w:val="0"/>
          <w:sz w:val="28"/>
          <w:szCs w:val="28"/>
          <w:rtl/>
        </w:rPr>
        <w:t>بند اول: تعارض و تزاحم؛ فرقی که سرنوشت‌ساز است</w:t>
      </w:r>
      <w:bookmarkEnd w:id="103"/>
    </w:p>
    <w:p>
      <w:pPr>
        <w:pStyle w:val="TH-Body"/>
        <w:widowControl/>
        <w:bidi w:val="1"/>
        <w:spacing w:before="0" w:after="200" w:line="336" w:lineRule="auto"/>
        <w:jc w:val="both"/>
      </w:pPr>
      <w:r>
        <w:rPr>
          <w:rFonts w:ascii="B Lotus" w:hAnsi="B Lotus" w:cs="B Lotus" w:eastAsia="B Lotus"/>
          <w:b w:val="0"/>
          <w:i w:val="0"/>
          <w:sz w:val="28"/>
          <w:szCs w:val="28"/>
        </w:rPr>
        <w:t>در اصول فقه، دو نوع درگیری میان احکام هست که خلطشان منشأ خطاهای بزرگ است: «تعارض» و «تزاحم». تعارض یعنی دو دلیل در مقام «جعل» با هم ناسازگار باشند ـ مثل این‌که یک دلیل بگوید «نماز جمعه واجب است» و دلیل دیگر بگوید «نماز جمعه حرام است»؛ و راه‌حلش، ترجیح یکی و کنار گذاشتن دیگری است (با مرجحات باب تعارض). ولی تزاحم یعنی دو حکم، هر دو در مقام جعل «باقی و معتبر» باشند، ولی مکلف در مقام «امتثال» نتواند هر دو را با هم انجام بدهد ـ مثل کسی که هم باید غریق را نجات بدهد هم باید نمازش را در اول وقت بخواند، ولی وقت فقط برای یکی کافی است؛ و راه‌حلش، «تقدیم اهم» است، بی‌آن‌که حکمِ مهم از بین برود.</w:t>
      </w:r>
      <w:r>
        <w:rPr>
          <w:rFonts w:ascii="B Lotus" w:hAnsi="B Lotus" w:cs="B Lotus" w:eastAsia="B Lotus"/>
          <w:b w:val="0"/>
          <w:i w:val="0"/>
          <w:sz w:val="28"/>
          <w:szCs w:val="28"/>
          <w:vertAlign w:val="superscript"/>
        </w:rPr>
        <w:footnoteReference w:id="83"/>
      </w:r>
    </w:p>
    <w:p>
      <w:pPr>
        <w:pStyle w:val="TH-Body"/>
        <w:widowControl/>
        <w:bidi w:val="1"/>
        <w:spacing w:before="0" w:after="200" w:line="336" w:lineRule="auto"/>
        <w:ind w:firstLine="283"/>
        <w:jc w:val="both"/>
      </w:pPr>
      <w:r>
        <w:rPr>
          <w:rFonts w:ascii="B Lotus" w:hAnsi="B Lotus" w:cs="B Lotus" w:eastAsia="B Lotus"/>
          <w:b w:val="0"/>
          <w:i w:val="0"/>
          <w:sz w:val="28"/>
          <w:szCs w:val="28"/>
        </w:rPr>
        <w:t>حالا پرسش سرنوشت‌ساز: نسبت «وجوب وفای به عهد» و «وجوب حفظ نظام و مصلحت اهم» کدام است ـ تعارض یا تزاحم؟ جواب من ـ که کل رساله بر آن استوار است ـ این است: «تزاحم». چرا؟ چون هیچ‌کدام از این دو حکم، دیگری را در مقام جعل نفی نمی‌کند: شارع هم وفا را واجب کرده هم حفظ نظام را؛ و هر دو سر جایشان هستند. درگیری فقط در مقام عمل پیش می‌آید: وقتی ادامه وفا، مستلزم ضرر به نظام و مصلحت اهم باشد، حاکم نمی‌تواند هر دو را با هم انجام بدهد ـ یا باید وفا کند و ضرر را تحمل کند، یا باید عدول کند و مصلحت را نجات بدهد. و راه‌حل اصولیِ چنین درگیری‌ای، تقدیم اهم است: اگر حفظ نظام و مصلحت، اهم باشد ـ که معمولاً هست ـ مقدم می‌شود و وفا ـ با بقای حکمش ـ فعلاً اجرا نمی‌شود.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این تحلیل در این است که «قاعده وفا را ویران نمی‌کند»: ما نمی‌گوییم آیات وفا تخصیص خورده‌اند یا نسخ شده‌اند یا شامل معاهدات نمی‌شوند؛ بلکه می‌گوییم همه سر جایشان هستند، ولی در این مورد خاص، در مقام عمل، حکم اهم مقدم شده. و همین‌که تزاحم برطرف شود ـ مثلاً شرایط عوض شود ـ وجوب وفا دوباره به صحنه برمی‌گردد، چون حکمش هیچ‌وقت از بین نرفته بود. این تحلیل، هم به قاعده احترام می‌گذارد هم به استثنا؛ و همین، فرقش با تحلیل‌های سست و گزینشی است.</w:t>
      </w:r>
    </w:p>
    <w:p>
      <w:pPr>
        <w:pStyle w:val="TH-Band"/>
        <w:widowControl/>
        <w:bidi w:val="1"/>
        <w:spacing w:before="280" w:after="160" w:line="336" w:lineRule="auto"/>
        <w:jc w:val="right"/>
        <w:keepNext w:val="1"/>
      </w:pPr>
      <w:bookmarkStart w:id="104" w:name="_Toc000104"/>
      <w:r>
        <w:rPr>
          <w:rFonts w:ascii="B Traffic" w:hAnsi="B Traffic" w:cs="B Traffic" w:eastAsia="B Traffic"/>
          <w:b/>
          <w:i w:val="0"/>
          <w:sz w:val="28"/>
          <w:szCs w:val="28"/>
          <w:rtl/>
        </w:rPr>
        <w:t>بند دوم: شرایط تحقق تزاحم در مسئله ما</w:t>
      </w:r>
      <w:bookmarkEnd w:id="104"/>
    </w:p>
    <w:p>
      <w:pPr>
        <w:pStyle w:val="TH-Body"/>
        <w:widowControl/>
        <w:bidi w:val="1"/>
        <w:spacing w:before="0" w:after="200" w:line="336" w:lineRule="auto"/>
        <w:jc w:val="both"/>
      </w:pPr>
      <w:r>
        <w:rPr>
          <w:rFonts w:ascii="B Lotus" w:hAnsi="B Lotus" w:cs="B Lotus" w:eastAsia="B Lotus"/>
          <w:b w:val="0"/>
          <w:i w:val="0"/>
          <w:sz w:val="28"/>
          <w:szCs w:val="28"/>
        </w:rPr>
        <w:t>ولی تزاحم هم مثل هر قاعده دیگری، شرایطی دارد؛ و تا احراز نشود، نمی‌شود به آن استناد کرد. سه شرط اصلی‌اش در مسئله ما این‌هاست: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اول، «وجود دو حکم واقعی»: هم وجوب وفا باید واقعی باشد (که در فصل سوم ثابت شد)، هم وجوب حفظ مصلحت اهم (که با ادله وجوب حفظ نظام و قاعده لاضرر و حکم عقل ثابت می‌شود). اگر یکی از این دو، واقعی نباشد ـ مثلاً مصلحت، پنداری باشد نه واقعی ـ تزاحمی در کار نیست و استناد به آن، مغالطه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دوم، «عدم امکان جمع»: حاکم واقعاً نتواند هر دو را با هم انجام بدهد؛ یعنی نه بتواند هم وفا کند هم مصلحت را حفظ کند. اگر راه جمعی هست ـ مثل مذاکره مجدد، تعلیق توافقی، یا اعمال حق مندرج ـ باید اول آن راه را رفت؛ و تا آن راه باز است، نوبت به تزاحم و تقدیم اهم نمی‌رسد. این شرط، مبنای اصولیِ ضابطه دوم من (تقدم راه‌های حقوقی)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شرط سوم، «اهمیت»: مصلحتی که در برابر وفا قرار گرفته، واقعاً «اهم» باشد؛ یعنی در ترازوی شرع، از وجوب وفا سنگین‌تر باشد. مصلحتِ مساوی یا ادنی، مجوز تقدیم نیست؛ و تشخیص این اهمیت، با ولی فقیه است ـ چنان‌که در گفتار بعد می‌آید. این شرط، مبنای ضابطه اول (احراز تزاحم واقعی) و ضابطه سوم (تشخیص ولی فقیه)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این سه شرط، مجموعاً «فیلتر» تزاحم‌اند؛ و هر عدولی که از این فیلتر نگذرد، عدولِ ناموجه است ـ هرچقدر هم که مدعی‌اش فریاد «مصلحت» سر بدهد. فریاد، جای استدلال را نمی‌گیرد.</w:t>
      </w:r>
    </w:p>
    <w:p>
      <w:pPr>
        <w:pStyle w:val="TH-Band"/>
        <w:widowControl/>
        <w:bidi w:val="1"/>
        <w:spacing w:before="280" w:after="160" w:line="336" w:lineRule="auto"/>
        <w:jc w:val="right"/>
        <w:keepNext w:val="1"/>
      </w:pPr>
      <w:bookmarkStart w:id="105" w:name="_Toc000105"/>
      <w:r>
        <w:rPr>
          <w:rFonts w:ascii="B Traffic" w:hAnsi="B Traffic" w:cs="B Traffic" w:eastAsia="B Traffic"/>
          <w:b/>
          <w:i w:val="0"/>
          <w:sz w:val="28"/>
          <w:szCs w:val="28"/>
          <w:rtl/>
        </w:rPr>
        <w:t>بند سوم: پاسخ به اشکال مقدّر؛ آیا تزاحم در احکام حکومتی جاری است؟</w:t>
      </w:r>
      <w:bookmarkEnd w:id="105"/>
    </w:p>
    <w:p>
      <w:pPr>
        <w:pStyle w:val="TH-Body"/>
        <w:widowControl/>
        <w:bidi w:val="1"/>
        <w:spacing w:before="0" w:after="200" w:line="336" w:lineRule="auto"/>
        <w:jc w:val="both"/>
      </w:pPr>
      <w:r>
        <w:rPr>
          <w:rFonts w:ascii="B Lotus" w:hAnsi="B Lotus" w:cs="B Lotus" w:eastAsia="B Lotus"/>
          <w:b w:val="0"/>
          <w:i w:val="0"/>
          <w:sz w:val="28"/>
          <w:szCs w:val="28"/>
        </w:rPr>
        <w:t>ممکن است کسی اشکال کند که تزاحم، قاعده‌ای است برای «تکالیف فردی» (مثل تزاحم نجات غریق و نماز)، و در «تصمیم‌های حکومتی» ـ که جنسشان متفاوت است ـ جاری نیست. جوابش این است که تزاحم، قاعده‌ای «عقلی» است، نه تعبدی؛ یعنی ریشه در حکم عقل دارد (عقل می‌گوید وقتی نمی‌توانی هر دو را انجام بدهی، اهم را مقدم کن) و عقل، فرقی میان فردی و حکومتی نمی‌گذارد. به‌علاوه، سیره عقلا ـ از مدیر خانواده تا مدیر کشور ـ بر همین قاعده استوار است: همه‌جا وقتی دو کار مهم با هم درگیر می‌شوند، مهم‌تر مقدم می‌شود. پس اشکال، وارد نیست؛ ولی طرحش مفید بود، چون نشان داد که مبنای تزاحم، عقل است و همین عقلی بودنش، دامنه‌اش را به همه عرصه‌ها ـ از جمله حکومت ـ می‌گسترد.</w:t>
      </w:r>
    </w:p>
    <w:p>
      <w:pPr>
        <w:pStyle w:val="TH-Goftar"/>
        <w:widowControl/>
        <w:bidi w:val="1"/>
        <w:spacing w:before="280" w:after="160" w:line="336" w:lineRule="auto"/>
        <w:jc w:val="right"/>
        <w:keepNext w:val="1"/>
        <w:shd w:val="clear" w:fill="EDEDED"/>
      </w:pPr>
      <w:bookmarkStart w:id="106" w:name="_Toc000106"/>
      <w:r>
        <w:rPr>
          <w:rFonts w:ascii="B Titr" w:hAnsi="B Titr" w:cs="B Titr" w:eastAsia="B Titr"/>
          <w:b/>
          <w:i w:val="0"/>
          <w:sz w:val="32"/>
          <w:szCs w:val="32"/>
          <w:rtl/>
        </w:rPr>
        <w:t>گفتار دوم: حکم حکومتی؛ ابزار حل تزاحم</w:t>
      </w:r>
      <w:bookmarkEnd w:id="106"/>
    </w:p>
    <w:p>
      <w:pPr>
        <w:pStyle w:val="TH-Band"/>
        <w:widowControl/>
        <w:bidi w:val="1"/>
        <w:spacing w:before="280" w:after="160" w:line="336" w:lineRule="auto"/>
        <w:jc w:val="right"/>
        <w:keepNext w:val="1"/>
      </w:pPr>
      <w:bookmarkStart w:id="107" w:name="_Toc000107"/>
      <w:r>
        <w:rPr>
          <w:rFonts w:ascii="B Traffic" w:hAnsi="B Traffic" w:cs="B Traffic" w:eastAsia="B Traffic"/>
          <w:b/>
          <w:i w:val="0"/>
          <w:sz w:val="28"/>
          <w:szCs w:val="28"/>
          <w:rtl/>
        </w:rPr>
        <w:t>بند اول: نظریه حکم حکومتی امام خمینی</w:t>
      </w:r>
      <w:bookmarkEnd w:id="107"/>
    </w:p>
    <w:p>
      <w:pPr>
        <w:pStyle w:val="TH-Body"/>
        <w:widowControl/>
        <w:bidi w:val="1"/>
        <w:spacing w:before="0" w:after="200" w:line="336" w:lineRule="auto"/>
        <w:jc w:val="both"/>
      </w:pPr>
      <w:r>
        <w:rPr>
          <w:rFonts w:ascii="B Lotus" w:hAnsi="B Lotus" w:cs="B Lotus" w:eastAsia="B Lotus"/>
          <w:b w:val="0"/>
          <w:i w:val="0"/>
          <w:sz w:val="28"/>
          <w:szCs w:val="28"/>
        </w:rPr>
        <w:t>اگر تزاحم «مبنا» باشد، حکم حکومتی «ابزار» است؛ یعنی سازوکاری که تزاحم را در مقام عمل حل می‌کند. نظریه حکم حکومتی ـ چنان‌که امام خمینی صورت‌بندی‌اش کرد ـ این است: ولی فقیه در مقام اداره نظام، می‌تواند بر مبنای مصلحت، حکمی صادر کند که احکام فرعیه را در مقام اجرا کنار بزند؛ چون حفظ نظام و اداره جامعه، اهم است و مقدم بر فروع. مشهورترین بیانش، همان نامه به حجت‌الاسلام قدیری است که در آن امام، حکومت را «مقدم بر تمام احکام فرعیه، حتی نماز و روزه و حج» دانست ـ به این معنا که حاکم می‌تواند در مقام تزاحم، اجرای آن‌ها را به نفع مصلحت اهم متوقف کند.</w:t>
      </w:r>
      <w:r>
        <w:rPr>
          <w:rFonts w:ascii="B Lotus" w:hAnsi="B Lotus" w:cs="B Lotus" w:eastAsia="B Lotus"/>
          <w:b w:val="0"/>
          <w:i w:val="0"/>
          <w:sz w:val="28"/>
          <w:szCs w:val="28"/>
          <w:vertAlign w:val="superscript"/>
        </w:rPr>
        <w:footnoteReference w:id="84"/>
      </w:r>
    </w:p>
    <w:p>
      <w:pPr>
        <w:pStyle w:val="TH-Body"/>
        <w:widowControl/>
        <w:bidi w:val="1"/>
        <w:spacing w:before="0" w:after="200" w:line="336" w:lineRule="auto"/>
        <w:ind w:firstLine="283"/>
        <w:jc w:val="both"/>
      </w:pPr>
      <w:r>
        <w:rPr>
          <w:rFonts w:ascii="B Lotus" w:hAnsi="B Lotus" w:cs="B Lotus" w:eastAsia="B Lotus"/>
          <w:b w:val="0"/>
          <w:i w:val="0"/>
          <w:sz w:val="28"/>
          <w:szCs w:val="28"/>
        </w:rPr>
        <w:t>نسبت این نظریه با مسئله من مستقیم است: التزام به معاهده ـ که حکمی فرعی و مقدمی است ـ در برابر مصلحت اهم نظام، به طریق اولی کنار می‌رود؛ چون اگر نماز و حج ـ که از ارکان دین‌اند ـ در مقام تزاحم قابل توقف باشند، التزام به پیمان با دولت بیگانه ـ که حکمی عرفی و ابزاری است ـ به طریق اولی قابل توقف است. این «طریق اولی» را جدی می‌گویم؛ چون نشان می‌دهد که مسئله من، از فروعِ روشنِ نظریه حکم حکومتی است، نه از موارد مشکوکش.</w:t>
      </w:r>
    </w:p>
    <w:p>
      <w:pPr>
        <w:pStyle w:val="TH-Band"/>
        <w:widowControl/>
        <w:bidi w:val="1"/>
        <w:spacing w:before="280" w:after="160" w:line="336" w:lineRule="auto"/>
        <w:jc w:val="right"/>
        <w:keepNext w:val="1"/>
      </w:pPr>
      <w:bookmarkStart w:id="108" w:name="_Toc000108"/>
      <w:r>
        <w:rPr>
          <w:rFonts w:ascii="B Traffic" w:hAnsi="B Traffic" w:cs="B Traffic" w:eastAsia="B Traffic"/>
          <w:b/>
          <w:i w:val="0"/>
          <w:sz w:val="28"/>
          <w:szCs w:val="28"/>
          <w:rtl/>
        </w:rPr>
        <w:t>بند دوم: شرایط حکم حکومتی در مسئله ما</w:t>
      </w:r>
      <w:bookmarkEnd w:id="108"/>
    </w:p>
    <w:p>
      <w:pPr>
        <w:pStyle w:val="TH-Body"/>
        <w:widowControl/>
        <w:bidi w:val="1"/>
        <w:spacing w:before="0" w:after="200" w:line="336" w:lineRule="auto"/>
        <w:jc w:val="both"/>
      </w:pPr>
      <w:r>
        <w:rPr>
          <w:rFonts w:ascii="B Lotus" w:hAnsi="B Lotus" w:cs="B Lotus" w:eastAsia="B Lotus"/>
          <w:b w:val="0"/>
          <w:i w:val="0"/>
          <w:sz w:val="28"/>
          <w:szCs w:val="28"/>
        </w:rPr>
        <w:t>ولی حکم حکومتی هم ـ مثل تزاحم ـ بی‌ضابطه نیست؛ و هر دستوری که حاکم بدهد، حکم حکومتی نیست. شرایطش در مسئله ما چهارتاست: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اول، «مقام»: صادرکننده باید ولی فقیه باشد، نه هر مقامی. رئیس‌جمهور و وزیر خارجه و مجلس، در این مسئله «مجری»‌اند، نه «تصمیم‌گیر نهایی»؛ و تصمیم نهایی با ولی فقیه است. این شرط، مبنای ضابطه سوم (تشخیص ولی فقیه)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دوم، «مبنا»: حکم باید مبتنی بر «مصلحت واقعی و نوعی» باشد، نه سلیقه شخصی و فشار جناحی. حکمی که مبنایش مصلحت واقعی نیست، حکم حکومتی نیست، بلکه سوءاستفاده از عنوان حکومتی است؛ و اطاعت از آن هم ـ چنان‌که فقها گفته‌اند ـ واجب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سوم، «مورد»: حکم باید در «مقام تزاحم» صادر شود؛ یعنی وقتی که واقعاً درگیری میان وفا و مصلحت اهم هست. حکم حکومتیِ بی‌مورد ـ مثل عدول از معاهده‌ای که هیچ تزاحمی ندارد ـ ناموجه است و از دایره جواز بیرون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شرط چهارم، «صورت»: حکم باید «اعلام‌شده» باشد، نه پنهانی؛ چون حکم حکومتی، حکمِ «حکومت» است و حکومت، علنی عمل می‌کند. این شرط، مبنای ضابطه ششم (انباذ علی سواء) است؛ و نشان می‌دهد که شفافیت، نه یک توصیه اخلاقی، که شرطِ حکم حکومتی است.</w:t>
      </w:r>
    </w:p>
    <w:p>
      <w:pPr>
        <w:pStyle w:val="TH-Band"/>
        <w:widowControl/>
        <w:bidi w:val="1"/>
        <w:spacing w:before="280" w:after="160" w:line="336" w:lineRule="auto"/>
        <w:jc w:val="right"/>
        <w:keepNext w:val="1"/>
      </w:pPr>
      <w:bookmarkStart w:id="109" w:name="_Toc000109"/>
      <w:r>
        <w:rPr>
          <w:rFonts w:ascii="B Traffic" w:hAnsi="B Traffic" w:cs="B Traffic" w:eastAsia="B Traffic"/>
          <w:b/>
          <w:i w:val="0"/>
          <w:sz w:val="28"/>
          <w:szCs w:val="28"/>
          <w:rtl/>
        </w:rPr>
        <w:t>بند سوم: پاسخ به اشکال مقدّر؛ آیا حکم حکومتی شامل تعهدات بین‌المللی می‌شود؟</w:t>
      </w:r>
      <w:bookmarkEnd w:id="109"/>
    </w:p>
    <w:p>
      <w:pPr>
        <w:pStyle w:val="TH-Body"/>
        <w:widowControl/>
        <w:bidi w:val="1"/>
        <w:spacing w:before="0" w:after="200" w:line="336" w:lineRule="auto"/>
        <w:jc w:val="both"/>
      </w:pPr>
      <w:r>
        <w:rPr>
          <w:rFonts w:ascii="B Lotus" w:hAnsi="B Lotus" w:cs="B Lotus" w:eastAsia="B Lotus"/>
          <w:b w:val="0"/>
          <w:i w:val="0"/>
          <w:sz w:val="28"/>
          <w:szCs w:val="28"/>
        </w:rPr>
        <w:t>ممکن است کسی بگوید حکم حکومتی، مخصوص «احکام شرعی داخلی» است (مثل احتکار و قیمت‌گذاری و…) و شامل «تعهدات بین‌المللی» ـ که طرفشان دولت بیگانه است ـ نمی‌شود. جوابش دو لایه دارد: لایه اول این‌که قلمرو حکم حکومتی، «اداره نظام» است و اداره نظام، هم بُعد داخلی دارد هم بُعد خارجی؛ و هیچ دلیلی بر تخصیصش به بُعد داخلی نیست. سیاست خارجی، جزئی از اداره نظام است و حاکم در آن هم ـ مثل سیاست داخلی ـ نیازمند ابزار حکومتی است. و لایه دوم این‌که سیره پیامبر و امیرالمؤمنین ـ چنان‌که در فصل سوم گذشت ـ نشان می‌دهد که تصمیم‌های عهدنامه‌ای، از جنس تصمیم‌های حکومتی بوده و تابع مصلحت‌سنجی حاکم. پس اشکال، وارد نیست؛ و قلمرو حکم حکومتی، هر دو بُعد را شامل می‌شود.</w:t>
      </w:r>
    </w:p>
    <w:p>
      <w:pPr>
        <w:pStyle w:val="TH-Goftar"/>
        <w:widowControl/>
        <w:bidi w:val="1"/>
        <w:spacing w:before="280" w:after="160" w:line="336" w:lineRule="auto"/>
        <w:jc w:val="right"/>
        <w:keepNext w:val="1"/>
        <w:shd w:val="clear" w:fill="EDEDED"/>
      </w:pPr>
      <w:bookmarkStart w:id="110" w:name="_Toc000110"/>
      <w:r>
        <w:rPr>
          <w:rFonts w:ascii="B Titr" w:hAnsi="B Titr" w:cs="B Titr" w:eastAsia="B Titr"/>
          <w:b/>
          <w:i w:val="0"/>
          <w:sz w:val="32"/>
          <w:szCs w:val="32"/>
          <w:rtl/>
        </w:rPr>
        <w:t>گفتار سوم: قواعد نفی ضرر و حرج و مصلحت نظام</w:t>
      </w:r>
      <w:bookmarkEnd w:id="110"/>
    </w:p>
    <w:p>
      <w:pPr>
        <w:pStyle w:val="TH-Band"/>
        <w:widowControl/>
        <w:bidi w:val="1"/>
        <w:spacing w:before="280" w:after="160" w:line="336" w:lineRule="auto"/>
        <w:jc w:val="right"/>
        <w:keepNext w:val="1"/>
      </w:pPr>
      <w:bookmarkStart w:id="111" w:name="_Toc000111"/>
      <w:r>
        <w:rPr>
          <w:rFonts w:ascii="B Traffic" w:hAnsi="B Traffic" w:cs="B Traffic" w:eastAsia="B Traffic"/>
          <w:b/>
          <w:i w:val="0"/>
          <w:sz w:val="28"/>
          <w:szCs w:val="28"/>
          <w:rtl/>
        </w:rPr>
        <w:t>بند اول: قاعده لاضرر؛ ضرر به نظام، ضرر به امت است</w:t>
      </w:r>
      <w:bookmarkEnd w:id="111"/>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لَا ضَرَرَ وَلَا ضِرَارَ فِی الْإِسْلَامِ</w:t>
      </w:r>
      <w:r>
        <w:rPr>
          <w:rFonts w:ascii="B Badr" w:hAnsi="B Badr" w:cs="B Badr" w:eastAsia="B Badr"/>
          <w:b w:val="0"/>
          <w:i w:val="0"/>
          <w:sz w:val="26"/>
          <w:szCs w:val="26"/>
          <w:vertAlign w:val="superscript"/>
        </w:rPr>
        <w:footnoteReference w:id="85"/>
      </w:r>
    </w:p>
    <w:p>
      <w:pPr>
        <w:pStyle w:val="TH-Body"/>
        <w:widowControl/>
        <w:bidi w:val="1"/>
        <w:spacing w:before="0" w:after="200" w:line="336" w:lineRule="auto"/>
        <w:jc w:val="both"/>
      </w:pPr>
      <w:r>
        <w:rPr>
          <w:rFonts w:ascii="B Lotus" w:hAnsi="B Lotus" w:cs="B Lotus" w:eastAsia="B Lotus"/>
          <w:b w:val="0"/>
          <w:i w:val="0"/>
          <w:sz w:val="28"/>
          <w:szCs w:val="28"/>
        </w:rPr>
        <w:t>قاعده لاضرر می‌گوید: هیچ حکمی در اسلام، مستلزم ضرر نیست؛ و هر حکمی که اجرایش ضرر بیاورد، برداشته می‌شود. تطبیقش بر مسئله من روشن است: اگر ادامه اجرای معاهده، مستلزم «ضرر به نظام و امت» باشد ـ ضرری جدی و واقعی، نه جزئی و پنداری ـ وجوب وفا برداشته می‌شود؛ چون اسلام، ضرر را امضا نمی‌کند. و ضرر به نظام اسلامی، ضرر به امت مسلمان است ـ بلکه از مهم‌ترین اقسام ضرر است، چون نظام، سپر امت است و با فروپاشی‌اش، همه ضرر می‌بینند.</w:t>
      </w:r>
    </w:p>
    <w:p>
      <w:pPr>
        <w:pStyle w:val="TH-Body"/>
        <w:widowControl/>
        <w:bidi w:val="1"/>
        <w:spacing w:before="0" w:after="200" w:line="336" w:lineRule="auto"/>
        <w:ind w:firstLine="283"/>
        <w:jc w:val="both"/>
      </w:pPr>
      <w:r>
        <w:rPr>
          <w:rFonts w:ascii="B Lotus" w:hAnsi="B Lotus" w:cs="B Lotus" w:eastAsia="B Lotus"/>
          <w:b w:val="0"/>
          <w:i w:val="0"/>
          <w:sz w:val="28"/>
          <w:szCs w:val="28"/>
        </w:rPr>
        <w:t>البته ـ چنان‌که در اصول ثابت شده ـ لاضرر، «حکومت» دارد، نه تخصیص؛ یعنی نمی‌گوید «وفا واجب است مگر در صورت ضرر»، بلکه می‌گوید «حکمِ ضرری، اصلاً در اسلام نیست». ولی نتیجه عملی‌اش برای مسئله من یکی است: در فرض ضرر واقعی به نظام، وجوب وفا اجرا نمی‌شود. و تشخیص این ضرر ـ چنان‌که بارها گفته‌ام ـ با ولی فقیه و با پشتوانه کارشناسی است.</w:t>
      </w:r>
    </w:p>
    <w:p>
      <w:pPr>
        <w:pStyle w:val="TH-Band"/>
        <w:widowControl/>
        <w:bidi w:val="1"/>
        <w:spacing w:before="280" w:after="160" w:line="336" w:lineRule="auto"/>
        <w:jc w:val="right"/>
        <w:keepNext w:val="1"/>
      </w:pPr>
      <w:bookmarkStart w:id="112" w:name="_Toc000112"/>
      <w:r>
        <w:rPr>
          <w:rFonts w:ascii="B Traffic" w:hAnsi="B Traffic" w:cs="B Traffic" w:eastAsia="B Traffic"/>
          <w:b/>
          <w:i w:val="0"/>
          <w:sz w:val="28"/>
          <w:szCs w:val="28"/>
          <w:rtl/>
        </w:rPr>
        <w:t>بند دوم: قاعده لاحرج؛ حرج اداره کشور</w:t>
      </w:r>
      <w:bookmarkEnd w:id="112"/>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وَمَا جَعَلَ عَلَیْکُمْ فِی الدِّینِ مِنْ حَرَجٍ</w:t>
      </w:r>
      <w:r>
        <w:rPr>
          <w:rFonts w:ascii="B Badr" w:hAnsi="B Badr" w:cs="B Badr" w:eastAsia="B Badr"/>
          <w:b w:val="0"/>
          <w:i w:val="0"/>
          <w:sz w:val="26"/>
          <w:szCs w:val="26"/>
          <w:vertAlign w:val="superscript"/>
        </w:rPr>
        <w:footnoteReference w:id="86"/>
      </w:r>
    </w:p>
    <w:p>
      <w:pPr>
        <w:pStyle w:val="TH-Body"/>
        <w:widowControl/>
        <w:bidi w:val="1"/>
        <w:spacing w:before="0" w:after="200" w:line="336" w:lineRule="auto"/>
        <w:jc w:val="both"/>
      </w:pPr>
      <w:r>
        <w:rPr>
          <w:rFonts w:ascii="B Lotus" w:hAnsi="B Lotus" w:cs="B Lotus" w:eastAsia="B Lotus"/>
          <w:b w:val="0"/>
          <w:i w:val="0"/>
          <w:sz w:val="28"/>
          <w:szCs w:val="28"/>
        </w:rPr>
        <w:t>قاعده لاحرج هم منطق مشابهی دارد: دین، حرج (تنگنا و مشقت شدید) نمی‌آورد؛ و هر حکمی که اجرایش مستلزم حرج باشد، برداشته می‌شود. تطبیقش: اگر ادامه اجرای معاهده، اداره کشور را به «حرج» بیندازد ـ مثلاً کشور را در تنگنای اقتصادی یا امنیتیِ شدید قرار بدهد ـ وجوب وفا برداشته می‌شود. فرقش با لاضرر در این است که حرج، جنبه «مشقت» دارد و ضرر، جنبه «نقص و خسارت»؛ ولی هر دو به یک نتیجه می‌رسند: حکمی که اجرایش نظام را به زحمتِ غیرقابل‌تحمل بیندازد، در اسلام نیست.</w:t>
      </w:r>
    </w:p>
    <w:p>
      <w:pPr>
        <w:pStyle w:val="TH-Band"/>
        <w:widowControl/>
        <w:bidi w:val="1"/>
        <w:spacing w:before="280" w:after="160" w:line="336" w:lineRule="auto"/>
        <w:jc w:val="right"/>
        <w:keepNext w:val="1"/>
      </w:pPr>
      <w:bookmarkStart w:id="113" w:name="_Toc000113"/>
      <w:r>
        <w:rPr>
          <w:rFonts w:ascii="B Traffic" w:hAnsi="B Traffic" w:cs="B Traffic" w:eastAsia="B Traffic"/>
          <w:b/>
          <w:i w:val="0"/>
          <w:sz w:val="28"/>
          <w:szCs w:val="28"/>
          <w:rtl/>
        </w:rPr>
        <w:t>بند سوم: مصلحت نظام؛ اوجب واجبات</w:t>
      </w:r>
      <w:bookmarkEnd w:id="113"/>
    </w:p>
    <w:p>
      <w:pPr>
        <w:pStyle w:val="TH-Body"/>
        <w:widowControl/>
        <w:bidi w:val="1"/>
        <w:spacing w:before="0" w:after="200" w:line="336" w:lineRule="auto"/>
        <w:jc w:val="both"/>
      </w:pPr>
      <w:r>
        <w:rPr>
          <w:rFonts w:ascii="B Lotus" w:hAnsi="B Lotus" w:cs="B Lotus" w:eastAsia="B Lotus"/>
          <w:b w:val="0"/>
          <w:i w:val="0"/>
          <w:sz w:val="28"/>
          <w:szCs w:val="28"/>
        </w:rPr>
        <w:t>و بالاتر از هر دو، اصلی است که امام خمینی با صراحت تمام بیان کرد: «حفظ نظام، اوجب واجبات است»؛ یعنی از همه واجبات ـ حتی نماز و روزه ـ مهم‌تر است؛ چون با رفتن نظام، همه احکام می‌رود.</w:t>
      </w:r>
      <w:r>
        <w:rPr>
          <w:rFonts w:ascii="B Lotus" w:hAnsi="B Lotus" w:cs="B Lotus" w:eastAsia="B Lotus"/>
          <w:b w:val="0"/>
          <w:i w:val="0"/>
          <w:sz w:val="28"/>
          <w:szCs w:val="28"/>
          <w:vertAlign w:val="superscript"/>
        </w:rPr>
        <w:footnoteReference w:id="87"/>
      </w:r>
      <w:r>
        <w:rPr>
          <w:rFonts w:ascii="B Lotus" w:hAnsi="B Lotus" w:cs="B Lotus" w:eastAsia="B Lotus"/>
          <w:b w:val="0"/>
          <w:i w:val="0"/>
          <w:sz w:val="28"/>
          <w:szCs w:val="28"/>
        </w:rPr>
        <w:t xml:space="preserve"> نتیجه‌اش برای مسئله من قاطع است: اگر ادامه وفا، نظام را به خطر بیندازد، عدول نه‌تنها جایز، که «واجب» است؛ چون حفظ نظام، اهمِ همه واجبات است و در هر تزاحمی مقدم می‌شود. این، قوی‌ترین مبنای جواز عدول است؛ مبنایی که اگر کسی آن را بپذیرد ـ و هر معتقد به ولایت فقیه باید بپذیرد ـ دیگر جایی برای تردید باقی نمی‌ماند.</w:t>
      </w:r>
    </w:p>
    <w:p>
      <w:pPr>
        <w:pStyle w:val="TH-Body"/>
        <w:widowControl/>
        <w:bidi w:val="1"/>
        <w:spacing w:before="0" w:after="200" w:line="336" w:lineRule="auto"/>
        <w:ind w:firstLine="283"/>
        <w:jc w:val="both"/>
      </w:pPr>
      <w:r>
        <w:rPr>
          <w:rFonts w:ascii="B Lotus" w:hAnsi="B Lotus" w:cs="B Lotus" w:eastAsia="B Lotus"/>
          <w:b w:val="0"/>
          <w:i w:val="0"/>
          <w:sz w:val="28"/>
          <w:szCs w:val="28"/>
        </w:rPr>
        <w:t>ولی ـ و این «ولی» را باید با صدای بلند گفت ـ همین قوت، خطرناک هم هست؛ چون هرکسی می‌تواند به بهانه «حفظ نظام»، هر کاری را توجیه کند. پس این مبنا، بیشتر از هر مبنای دیگری نیازمند «مهار» است؛ و مهارش، همان ضوابط هشت‌گانه‌ای است که در گفتار بعد می‌آید. شمشیرِ تیز، هم بیشتر می‌بُرد هم بیشتر می‌بَرَد؛ و عاقل، شمشیر تیز را بی‌غلاف نگه نمی‌دارد.</w:t>
      </w:r>
    </w:p>
    <w:p>
      <w:pPr>
        <w:pStyle w:val="TH-Goftar"/>
        <w:widowControl/>
        <w:bidi w:val="1"/>
        <w:spacing w:before="280" w:after="160" w:line="336" w:lineRule="auto"/>
        <w:jc w:val="right"/>
        <w:keepNext w:val="1"/>
        <w:shd w:val="clear" w:fill="EDEDED"/>
      </w:pPr>
      <w:bookmarkStart w:id="114" w:name="_Toc000114"/>
      <w:r>
        <w:rPr>
          <w:rFonts w:ascii="B Titr" w:hAnsi="B Titr" w:cs="B Titr" w:eastAsia="B Titr"/>
          <w:b/>
          <w:i w:val="0"/>
          <w:sz w:val="32"/>
          <w:szCs w:val="32"/>
          <w:rtl/>
        </w:rPr>
        <w:t>گفتار چهارم: ضوابط هشت‌گانه عدول حکومتی</w:t>
      </w:r>
      <w:bookmarkEnd w:id="114"/>
    </w:p>
    <w:p>
      <w:pPr>
        <w:pStyle w:val="TH-Band"/>
        <w:widowControl/>
        <w:bidi w:val="1"/>
        <w:spacing w:before="280" w:after="160" w:line="336" w:lineRule="auto"/>
        <w:jc w:val="right"/>
        <w:keepNext w:val="1"/>
      </w:pPr>
      <w:bookmarkStart w:id="115" w:name="_Toc000115"/>
      <w:r>
        <w:rPr>
          <w:rFonts w:ascii="B Traffic" w:hAnsi="B Traffic" w:cs="B Traffic" w:eastAsia="B Traffic"/>
          <w:b/>
          <w:i w:val="0"/>
          <w:sz w:val="28"/>
          <w:szCs w:val="28"/>
          <w:rtl/>
        </w:rPr>
        <w:t>بند اول: ضابطه اول تا سوم؛ تزاحم، تقدم راه حقوقی، تشخیص ولی فقیه</w:t>
      </w:r>
      <w:bookmarkEnd w:id="115"/>
    </w:p>
    <w:p>
      <w:pPr>
        <w:pStyle w:val="TH-Body"/>
        <w:widowControl/>
        <w:bidi w:val="1"/>
        <w:spacing w:before="0" w:after="200" w:line="336" w:lineRule="auto"/>
        <w:jc w:val="both"/>
      </w:pPr>
      <w:r>
        <w:rPr>
          <w:rFonts w:ascii="B Lotus" w:hAnsi="B Lotus" w:cs="B Lotus" w:eastAsia="B Lotus"/>
          <w:b w:val="0"/>
          <w:i w:val="0"/>
          <w:sz w:val="28"/>
          <w:szCs w:val="28"/>
        </w:rPr>
        <w:t>حالا می‌رسم به مهم‌ترین بخش این فصل ـ و به نظرم، مهم‌ترین دستاورد عملی کل رساله: ضوابط هشت‌گانه. این ضوابط، «مهار» جوازند؛ یعنی شرایطی که اگر نباشند، جواز هم نیست. هر عدولی که واجد این هشت ضابطه باشد مشروع است؛ و هر عدولی که فاقد حتی یکی از ارکانش باشد، از دایره جواز بیرون است. بگذارید یک‌به‌یک بگویمشان:</w:t>
      </w:r>
    </w:p>
    <w:p>
      <w:pPr>
        <w:pStyle w:val="TH-Body"/>
        <w:widowControl/>
        <w:bidi w:val="1"/>
        <w:spacing w:before="0" w:after="200" w:line="336" w:lineRule="auto"/>
        <w:ind w:firstLine="283"/>
        <w:jc w:val="both"/>
      </w:pPr>
      <w:r>
        <w:rPr>
          <w:rFonts w:ascii="B Lotus" w:hAnsi="B Lotus" w:cs="B Lotus" w:eastAsia="B Lotus"/>
          <w:b w:val="0"/>
          <w:i w:val="0"/>
          <w:sz w:val="28"/>
          <w:szCs w:val="28"/>
        </w:rPr>
        <w:t>ضابطه اول، «احراز تزاحم واقعی»: باید واقعاً درگیری میان ادامه وفا و مصلحت اهم باشد؛ نه توهم تزاحم، نه تزاحمِ ساختگی، نه بزرگ‌نماییِ مشکلِ کوچک. احرازش هم با کارشناسی و بررسی است، نه با حدس و احساس. این ضابطه، جلوِ عهدشکنیِ آسان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ضابطه دوم، «تقدم راه‌های حقوقی مندرج»: تا وقتی راه حقوقیِ کم‌هزینه‌تری باز است ـ مثل اعمال حق خروج، مذاکره مجدد، تعلیق توافقی، یا استناد به نهادهای وین ـ باید اول آن راه را رفت؛ و عدول یک‌جانبه، آخرین راه است، نه اولین راه. این ضابطه، جلوِ شتاب‌زدگی را می‌گیرد و حاکم را وادار می‌کند که همیشه کم‌هزینه‌ترین صورت را انتخاب کند (حرکت به سمت سبزِ طیف).</w:t>
      </w:r>
    </w:p>
    <w:p>
      <w:pPr>
        <w:pStyle w:val="TH-Body"/>
        <w:widowControl/>
        <w:bidi w:val="1"/>
        <w:spacing w:before="0" w:after="200" w:line="336" w:lineRule="auto"/>
        <w:ind w:firstLine="283"/>
        <w:jc w:val="both"/>
      </w:pPr>
      <w:r>
        <w:rPr>
          <w:rFonts w:ascii="B Lotus" w:hAnsi="B Lotus" w:cs="B Lotus" w:eastAsia="B Lotus"/>
          <w:b w:val="0"/>
          <w:i w:val="0"/>
          <w:sz w:val="28"/>
          <w:szCs w:val="28"/>
        </w:rPr>
        <w:t>و ضابطه سوم، «تشخیص ولی فقیه با پشتوانه کارشناسی»: تصمیم نهایی با ولی فقیه است؛ ولی تشخیص او باید مبتنی بر نظر کارشناسیِ نهادهای ذی‌ربط (وزارت خارجه، شورای عالی امنیت ملی، مجمع تشخیص، معاونت حقوقی) باشد. نه کارشناسیِ بی‌تصمیم (که فلج است)، نه تصمیمِ بی‌کارشناسی (که استبداد است)؛ بلکه تصمیمِ مبتنی بر کارشناسی. این ضابطه، هم جلوِ خودسری را می‌گیرد هم جلوِ فلجِ تصمیم‌گیری را.</w:t>
      </w:r>
    </w:p>
    <w:p>
      <w:pPr>
        <w:pStyle w:val="TH-Band"/>
        <w:widowControl/>
        <w:bidi w:val="1"/>
        <w:spacing w:before="280" w:after="160" w:line="336" w:lineRule="auto"/>
        <w:jc w:val="right"/>
        <w:keepNext w:val="1"/>
      </w:pPr>
      <w:bookmarkStart w:id="116" w:name="_Toc000116"/>
      <w:r>
        <w:rPr>
          <w:rFonts w:ascii="B Traffic" w:hAnsi="B Traffic" w:cs="B Traffic" w:eastAsia="B Traffic"/>
          <w:b/>
          <w:i w:val="0"/>
          <w:sz w:val="28"/>
          <w:szCs w:val="28"/>
          <w:rtl/>
        </w:rPr>
        <w:t>بند دوم: ضابطه چهارم تا ششم؛ تناسب، موقت بودن، انباذ</w:t>
      </w:r>
      <w:bookmarkEnd w:id="116"/>
    </w:p>
    <w:p>
      <w:pPr>
        <w:pStyle w:val="TH-Body"/>
        <w:widowControl/>
        <w:bidi w:val="1"/>
        <w:spacing w:before="0" w:after="200" w:line="336" w:lineRule="auto"/>
        <w:jc w:val="both"/>
      </w:pPr>
      <w:r>
        <w:rPr>
          <w:rFonts w:ascii="B Lotus" w:hAnsi="B Lotus" w:cs="B Lotus" w:eastAsia="B Lotus"/>
          <w:b w:val="0"/>
          <w:i w:val="0"/>
          <w:sz w:val="28"/>
          <w:szCs w:val="28"/>
        </w:rPr>
        <w:t>ضابطه چهارم، «تناسب»: عدول باید «متناسب» با تزاحم باشد؛ یعنی به‌اندازه ضرورت، نه بیشتر. اگر تعلیقِ جزئیِ بعضی بندها مشکل را حل می‌کند، نباید کل معاهده را زیر پا گذاشت؛ و اگر توقفِ موقت کافی است، نباید خاتمه دائم را اعلام کرد. این ضابطه، جلوِ افراط را می‌گیرد و حاکم را وادار می‌کند که همیشه کمترین عدولِ ممکن را انتخاب کند.</w:t>
      </w:r>
    </w:p>
    <w:p>
      <w:pPr>
        <w:pStyle w:val="TH-Body"/>
        <w:widowControl/>
        <w:bidi w:val="1"/>
        <w:spacing w:before="0" w:after="200" w:line="336" w:lineRule="auto"/>
        <w:ind w:firstLine="283"/>
        <w:jc w:val="both"/>
      </w:pPr>
      <w:r>
        <w:rPr>
          <w:rFonts w:ascii="B Lotus" w:hAnsi="B Lotus" w:cs="B Lotus" w:eastAsia="B Lotus"/>
          <w:b w:val="0"/>
          <w:i w:val="0"/>
          <w:sz w:val="28"/>
          <w:szCs w:val="28"/>
        </w:rPr>
        <w:t>ضابطه پنجم، «موقت بودن و راه بازگشت»: عدولِ مطلوب، موقت است و راه بازگشت به اجرا را باز می‌گذارد؛ یعنی بازه زمانی و شرط بازگشت مشخص دارد. چون تزاحم ـ به تعریف ـ موقت است (با رفع تزاحم، حکم مهم برمی‌گردد)، پس عدولِ مبتنی بر آن هم باید موقت باشد. عدولِ دائم و بی‌بازگشت، فقط وقتی موجه است که تزاحم، دائمی باشد ـ که نادر است. این ضابطه، جلوِ قطعِ پل‌های پشت سر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و ضابطه ششم، «انباذ علی سواء»: عدول باید «آشکار و اعلام‌شده» باشد؛ یعنی با اعلام رسمی به طرف مقابل، با استناد به مبانی، و از مجرای قانونی (ابلاغ، ثبت نزد دبیرکل در صورت اقتضا). عدولِ پنهانی و غافلگیرانه، از نظر آیه ۵۸ انفال «خیانت» است ـ حتی اگر مبنایش درست باشد. این ضابطه، جلوِ بی‌اعتمادی و هرج‌ومرج در روابط بین‌الملل را می‌گیرد؛ و نشان می‌دهد که اسلام، حتی در عدول هم اخلاق دارد.</w:t>
      </w:r>
    </w:p>
    <w:p>
      <w:pPr>
        <w:pStyle w:val="TH-Band"/>
        <w:widowControl/>
        <w:bidi w:val="1"/>
        <w:spacing w:before="280" w:after="160" w:line="336" w:lineRule="auto"/>
        <w:jc w:val="right"/>
        <w:keepNext w:val="1"/>
      </w:pPr>
      <w:bookmarkStart w:id="117" w:name="_Toc000117"/>
      <w:r>
        <w:rPr>
          <w:rFonts w:ascii="B Traffic" w:hAnsi="B Traffic" w:cs="B Traffic" w:eastAsia="B Traffic"/>
          <w:b/>
          <w:i w:val="0"/>
          <w:sz w:val="28"/>
          <w:szCs w:val="28"/>
          <w:rtl/>
        </w:rPr>
        <w:t>بند سوم: ضابطه هفتم و هشتم؛ قواعد آمره و لحاظ آثار</w:t>
      </w:r>
      <w:bookmarkEnd w:id="117"/>
    </w:p>
    <w:p>
      <w:pPr>
        <w:pStyle w:val="TH-Body"/>
        <w:widowControl/>
        <w:bidi w:val="1"/>
        <w:spacing w:before="0" w:after="200" w:line="336" w:lineRule="auto"/>
        <w:jc w:val="both"/>
      </w:pPr>
      <w:r>
        <w:rPr>
          <w:rFonts w:ascii="B Lotus" w:hAnsi="B Lotus" w:cs="B Lotus" w:eastAsia="B Lotus"/>
          <w:b w:val="0"/>
          <w:i w:val="0"/>
          <w:sz w:val="28"/>
          <w:szCs w:val="28"/>
        </w:rPr>
        <w:t>ضابطه هفتم، «عدم مخالفت با قواعد آمره»: عدول نباید مستلزم نقض قواعد آمره حقوق بین‌الملل (مثل منع تجاوز، نسل‌کشی، جنایت علیه بشریت) باشد. این قواعد، سقفِ هر دو نظام‌اند ـ هم فقه (چون عقل و شرع، تجاوز و جنایت را حرام می‌دانند) و هم حقوق بین‌الملل (ماده ۵۳ وین و ماده ۲۶ طرح مسئولیت). هیچ مصلحتی ـ هرچقدر هم اهم ـ نمی‌تواند مجوز نقض این قواعد باشد؛ چون این‌ها از جنس «ثوابت»‌اند، نه از جنس احکامِ قابلِ تزاحم. این ضابطه، سقفِ جواز است و جلوِ توجیهِ جنایت به نام مصلحت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و ضابطه هشتم، «لحاظ آثار در محاسبه مصلحت»: حاکم باید «آثار» عدول ـ از جمله مسئولیت بین‌المللی، هزینه‌های اقتصادی، واکنش‌های سیاسی، و لطمه به اعتبار کشور ـ را در محاسبه مصلحت لحاظ کند؛ یعنی مصلحتِ «خالص» (پس از کسر هزینه‌ها) را بسنجد، نه مصلحتِ «ناخالص» را. عدولی که هزینه‌اش از فایده‌اش بیشتر باشد، مصلحت نیست ـ هرچقدر هم که انگیزه‌اش خیر باشد. این ضابطه، پل میان فقه و حقوق بین‌الملل است؛ و نشان می‌دهد که چرا حاکم باید فصل پنجم این رساله را هم بخواند: چون بدون دانستن آثار، محاسبه مصلحت ناقص است و تصمیم، ناپخته.</w:t>
      </w:r>
    </w:p>
    <w:p>
      <w:pPr>
        <w:pStyle w:val="TH-Body"/>
        <w:widowControl/>
        <w:bidi w:val="1"/>
        <w:spacing w:before="0" w:after="200" w:line="336" w:lineRule="auto"/>
        <w:ind w:firstLine="283"/>
        <w:jc w:val="both"/>
      </w:pPr>
      <w:r>
        <w:rPr>
          <w:rFonts w:ascii="B Lotus" w:hAnsi="B Lotus" w:cs="B Lotus" w:eastAsia="B Lotus"/>
          <w:b w:val="0"/>
          <w:i w:val="0"/>
          <w:sz w:val="28"/>
          <w:szCs w:val="28"/>
        </w:rPr>
        <w:t>این هشت ضابطه، مجموعاً «دستورالعمل عملی» تصمیم‌گیر است؛ چیزی شبیه چک‌لیستی که قبل از هر تصمیمی باید یک‌به‌یک تیک بخورد. و من در پیوست اول، همین چک‌لیست را به صورت عملیاتی و قدم‌به‌قدم آورده‌ام تا تصمیم‌گیر بتواند مستقیم از آن استفاده کند.</w:t>
      </w:r>
    </w:p>
    <w:p>
      <w:pPr>
        <w:pStyle w:val="TH-Goftar"/>
        <w:widowControl/>
        <w:bidi w:val="1"/>
        <w:spacing w:before="280" w:after="160" w:line="336" w:lineRule="auto"/>
        <w:jc w:val="right"/>
        <w:keepNext w:val="1"/>
        <w:shd w:val="clear" w:fill="EDEDED"/>
      </w:pPr>
      <w:bookmarkStart w:id="118" w:name="_Toc000118"/>
      <w:r>
        <w:rPr>
          <w:rFonts w:ascii="B Titr" w:hAnsi="B Titr" w:cs="B Titr" w:eastAsia="B Titr"/>
          <w:b/>
          <w:i w:val="0"/>
          <w:sz w:val="32"/>
          <w:szCs w:val="32"/>
          <w:rtl/>
        </w:rPr>
        <w:t>گفتار پنجم: دفع اشکالات مقدّر؛ آزمون استحکام</w:t>
      </w:r>
      <w:bookmarkEnd w:id="118"/>
    </w:p>
    <w:p>
      <w:pPr>
        <w:pStyle w:val="TH-Body"/>
        <w:widowControl/>
        <w:bidi w:val="1"/>
        <w:spacing w:before="0" w:after="200" w:line="336" w:lineRule="auto"/>
        <w:jc w:val="both"/>
      </w:pPr>
      <w:r>
        <w:rPr>
          <w:rFonts w:ascii="B Lotus" w:hAnsi="B Lotus" w:cs="B Lotus" w:eastAsia="B Lotus"/>
          <w:b w:val="0"/>
          <w:i w:val="0"/>
          <w:sz w:val="28"/>
          <w:szCs w:val="28"/>
        </w:rPr>
        <w:t>هر استدلالی ـ هرچقدر هم که قوی باشد ـ باید در برابر اشکالات مقدّر آزموده شود؛ چون استدلالی که از اشکال بترسد، استدلال نیست، شعار است. در این گفتار سه اشکال جدی را که خودم در مسیر پژوهش با آن‌ها درگیر شدم ـ و هرکدام مدتی ذهنم را مشغول کرد ـ طرح و پاسخ می‌دهم. اگر پاسخ‌هایم قانع‌کننده باشد، استدلال فصل مستحکم‌تر می‌شود؛ و اگر نباشد، خواننده بصیر خودش داوری خواهد کرد و من از نقدش استقبال می‌کنم.</w:t>
      </w:r>
    </w:p>
    <w:p>
      <w:pPr>
        <w:pStyle w:val="TH-Band"/>
        <w:widowControl/>
        <w:bidi w:val="1"/>
        <w:spacing w:before="280" w:after="160" w:line="336" w:lineRule="auto"/>
        <w:jc w:val="right"/>
        <w:keepNext w:val="1"/>
      </w:pPr>
      <w:bookmarkStart w:id="119" w:name="_Toc000119"/>
      <w:r>
        <w:rPr>
          <w:rFonts w:ascii="B Traffic" w:hAnsi="B Traffic" w:cs="B Traffic" w:eastAsia="B Traffic"/>
          <w:b/>
          <w:i w:val="0"/>
          <w:sz w:val="28"/>
          <w:szCs w:val="28"/>
          <w:rtl/>
        </w:rPr>
        <w:t>بند اول: آیا تقدیم مصلحت بر نص، تعطیل نص نیست؟</w:t>
      </w:r>
      <w:bookmarkEnd w:id="119"/>
    </w:p>
    <w:p>
      <w:pPr>
        <w:pStyle w:val="TH-Body"/>
        <w:widowControl/>
        <w:bidi w:val="1"/>
        <w:spacing w:before="0" w:after="200" w:line="336" w:lineRule="auto"/>
        <w:jc w:val="both"/>
      </w:pPr>
      <w:r>
        <w:rPr>
          <w:rFonts w:ascii="B Lotus" w:hAnsi="B Lotus" w:cs="B Lotus" w:eastAsia="B Lotus"/>
          <w:b w:val="0"/>
          <w:i w:val="0"/>
          <w:sz w:val="28"/>
          <w:szCs w:val="28"/>
        </w:rPr>
        <w:t>اشکال اول، مبنایی‌ترین اشکال است: شما می‌گویید در مقام تزاحم، مصلحت (که تشخیصش با حاکم است) بر نص صریح قرآن (اوفوا بالعقود) مقدم می‌شود؛ آیا این، تعطیل نص و حکومت رأی بر وحی نیست؟ و آیا راه را برای کنار گذاشتنِ هر حکمی به بهانه مصلحت باز نمی‌کند؟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جوابش سه لایه دارد. لایه اول: ما «نص» را تعطیل نمی‌کنیم، بلکه «دو نص» را با هم جمع می‌کنیم؛ چون در برابر آیات وفا، ادله دیگری هم هست ـ ادله وجوب حفظ نظام، قاعده لاضرر، آیات نفی سبیل ـ که آن‌ها هم نص‌اند. پس دعوا میان «نص و رأی» نیست، بلکه میان «نص و نص» است؛ و جمع میان نصوص، کار همیشگی فقه است، نه بدعت این رساله. لایه دوم: تقدیم در مقام «امتثال» است، نه نسخ در مقام «جعل»؛ یعنی حکم وفا سر جایش باقی است و با رفع تزاحم برمی‌گردد ـ و این، فرق جوهری با تعطیل دارد. و لایه سوم: تشخیص مصلحت، «رأی شخصی» حاکم نیست، بلکه تشخیصِ مقیدِ کارشناسی‌شده‌ای است که ضوابط هشت‌گانه مهارش می‌کنند؛ پس خطرِ حکومتِ رأیِ خودسرانه بر وحی، با این مهارها منتفی است. البته ـ انصافاً ـ اگر این مهارها نباشند، اشکال وارد است؛ و همین، دلیل دیگری است بر ضرورت ضوابط.</w:t>
      </w:r>
    </w:p>
    <w:p>
      <w:pPr>
        <w:pStyle w:val="TH-Band"/>
        <w:widowControl/>
        <w:bidi w:val="1"/>
        <w:spacing w:before="280" w:after="160" w:line="336" w:lineRule="auto"/>
        <w:jc w:val="right"/>
        <w:keepNext w:val="1"/>
      </w:pPr>
      <w:bookmarkStart w:id="120" w:name="_Toc000120"/>
      <w:r>
        <w:rPr>
          <w:rFonts w:ascii="B Traffic" w:hAnsi="B Traffic" w:cs="B Traffic" w:eastAsia="B Traffic"/>
          <w:b/>
          <w:i w:val="0"/>
          <w:sz w:val="28"/>
          <w:szCs w:val="28"/>
          <w:rtl/>
        </w:rPr>
        <w:t>بند دوم: آیا این راه به توجیه هر عهدشکنی نمی‌انجامد؟</w:t>
      </w:r>
      <w:bookmarkEnd w:id="120"/>
    </w:p>
    <w:p>
      <w:pPr>
        <w:pStyle w:val="TH-Body"/>
        <w:widowControl/>
        <w:bidi w:val="1"/>
        <w:spacing w:before="0" w:after="200" w:line="336" w:lineRule="auto"/>
        <w:jc w:val="both"/>
      </w:pPr>
      <w:r>
        <w:rPr>
          <w:rFonts w:ascii="B Lotus" w:hAnsi="B Lotus" w:cs="B Lotus" w:eastAsia="B Lotus"/>
          <w:b w:val="0"/>
          <w:i w:val="0"/>
          <w:sz w:val="28"/>
          <w:szCs w:val="28"/>
        </w:rPr>
        <w:t>اشکال دوم، عملی‌تر است: شما دری را باز کرده‌اید که هر حاکمی می‌تواند از آن وارد شود و هر عهدشکنی را با عنوان «مصلحت» و «تزاحم» توجیه کند؛ پس عملاً قاعده وفا را بی‌اثر کرده‌اید، هرچند در حرف آن را نگه داشته‌اید.</w:t>
      </w:r>
    </w:p>
    <w:p>
      <w:pPr>
        <w:pStyle w:val="TH-Body"/>
        <w:widowControl/>
        <w:bidi w:val="1"/>
        <w:spacing w:before="0" w:after="200" w:line="336" w:lineRule="auto"/>
        <w:ind w:firstLine="283"/>
        <w:jc w:val="both"/>
      </w:pPr>
      <w:r>
        <w:rPr>
          <w:rFonts w:ascii="B Lotus" w:hAnsi="B Lotus" w:cs="B Lotus" w:eastAsia="B Lotus"/>
          <w:b w:val="0"/>
          <w:i w:val="0"/>
          <w:sz w:val="28"/>
          <w:szCs w:val="28"/>
        </w:rPr>
        <w:t>جوابش این است که درِ بازشده، «درِ بی‌در» نیست، بلکه هشت قفل دارد ـ همان ضوابط هشت‌گانه. حاکمی که بخواهد سوءاستفاده کند، باید از هر هشت قفل بگذرد: تزاحم واقعی را احراز کند (که با کارشناسیِ مستند، قابل راستی‌آزمایی است)، راه‌های حقوقی را اول رفته باشد (که قابل بررسی است)، تناسب را رعایت کرده باشد (که قابل داوری است)، اعلام آشکار کرده باشد (که علنی است)، و… هرکدام از این‌ها، امکان سوءاستفاده را کمتر می‌کند؛ و مجموعشان، سوءاستفاده را ـ اگر نگویم ناممکن ـ بسیار دشوار و پرهزینه می‌کند. به‌علاوه، همین اشکال به «هر» اختیار حکومتی وارد است ـ از جمله اختیار اعلان جنگ و انعقاد صلح ـ و اگر پذیرفته شود، باید همه اختیارات حکومتی را تعطیل کرد؛ و این، چیزی نیست که هیچ عاقلی بپذیرد. راه‌حلِ خطرِ سوءاستفاده، «مهار» است، نه «تعطیل»؛ و این رساله، رساله مهار است.</w:t>
      </w:r>
    </w:p>
    <w:p>
      <w:pPr>
        <w:pStyle w:val="TH-Band"/>
        <w:widowControl/>
        <w:bidi w:val="1"/>
        <w:spacing w:before="280" w:after="160" w:line="336" w:lineRule="auto"/>
        <w:jc w:val="right"/>
        <w:keepNext w:val="1"/>
      </w:pPr>
      <w:bookmarkStart w:id="121" w:name="_Toc000121"/>
      <w:r>
        <w:rPr>
          <w:rFonts w:ascii="B Traffic" w:hAnsi="B Traffic" w:cs="B Traffic" w:eastAsia="B Traffic"/>
          <w:b/>
          <w:i w:val="0"/>
          <w:sz w:val="28"/>
          <w:szCs w:val="28"/>
          <w:rtl/>
        </w:rPr>
        <w:t>بند سوم: آیا حاکم در دعوای خودش داور است؟</w:t>
      </w:r>
      <w:bookmarkEnd w:id="121"/>
    </w:p>
    <w:p>
      <w:pPr>
        <w:pStyle w:val="TH-Body"/>
        <w:widowControl/>
        <w:bidi w:val="1"/>
        <w:spacing w:before="0" w:after="200" w:line="336" w:lineRule="auto"/>
        <w:jc w:val="both"/>
      </w:pPr>
      <w:r>
        <w:rPr>
          <w:rFonts w:ascii="B Lotus" w:hAnsi="B Lotus" w:cs="B Lotus" w:eastAsia="B Lotus"/>
          <w:b w:val="0"/>
          <w:i w:val="0"/>
          <w:sz w:val="28"/>
          <w:szCs w:val="28"/>
        </w:rPr>
        <w:t>اشکال سوم، ظریف‌ترین اشکال است: در مسئله ما، حاکم هم «طرف دعوا»ست (چون خودش می‌خواهد از تعهدی که خودش یا پیشینیانش بسته‌اند عدول کند) و هم «داور» (چون خودش تشخیص تزاحم و مصلحت می‌دهد)؛ و داوریِ طرفِ دعوا در دعوای خودش، خلاف عقل و عدل است. پس سازوکار پیشنهادی شما، ذاتاً معیوب است.</w:t>
      </w:r>
    </w:p>
    <w:p>
      <w:pPr>
        <w:pStyle w:val="TH-Body"/>
        <w:widowControl/>
        <w:bidi w:val="1"/>
        <w:spacing w:before="0" w:after="200" w:line="336" w:lineRule="auto"/>
        <w:ind w:firstLine="283"/>
        <w:jc w:val="both"/>
      </w:pPr>
      <w:r>
        <w:rPr>
          <w:rFonts w:ascii="B Lotus" w:hAnsi="B Lotus" w:cs="B Lotus" w:eastAsia="B Lotus"/>
          <w:b w:val="0"/>
          <w:i w:val="0"/>
          <w:sz w:val="28"/>
          <w:szCs w:val="28"/>
        </w:rPr>
        <w:t>جوابش این است که این اشکال، خلط میان «داوری قضایی» و «تصمیم حکومتی» است. در داوری قضایی ـ که حقِ طرفین مطرح است ـ داور باید بی‌طرف باشد و طرف دعوا نمی‌تواند داور باشد؛ ولی در تصمیم حکومتی ـ که مصلحتِ عمومی مطرح است ـ تصمیم‌گیر، بالذات همان کسی است که مسئولیت اداره را بر عهده دارد و نمی‌شود مسئولیت را از او گرفت و به دیگری داد. به زبان دیگر: حاکم، «طرف دعوا» به معنای قضایی نیست، بلکه «امین امت» است؛ و امین، وقتی با تزاحم دو مصلحت امت روبه‌رو می‌شود، خودش باید تصمیم بگیرد ـ چون همین، معنای امانت است. البته برای جلوگیری از سوءاستفاده، سازوکارهای نظارتی (کارشناسی نهادها، شفافیت تصمیم، پاسخ‌گویی بعدی، نظارت مجلس خبرگان در چارچوب قانون اساسی) لازم است؛ ولی این سازوکارها، «مکمل» تصمیم حاکم‌اند، نه «جایگزین» آن. و این، همان منطقی است که در همه نظام‌های حکومتی ـ دینی و غیردینی ـ پذیرفته شده: تصمیم نهایی با مسئول نهایی است.</w:t>
      </w:r>
    </w:p>
    <w:p>
      <w:pPr>
        <w:pStyle w:val="TH-Goftar"/>
        <w:widowControl/>
        <w:bidi w:val="1"/>
        <w:spacing w:before="280" w:after="160" w:line="336" w:lineRule="auto"/>
        <w:jc w:val="right"/>
        <w:keepNext w:val="1"/>
        <w:shd w:val="clear" w:fill="EDEDED"/>
      </w:pPr>
      <w:bookmarkStart w:id="122" w:name="_Toc000122"/>
      <w:r>
        <w:rPr>
          <w:rFonts w:ascii="B Titr" w:hAnsi="B Titr" w:cs="B Titr" w:eastAsia="B Titr"/>
          <w:b/>
          <w:i w:val="0"/>
          <w:sz w:val="32"/>
          <w:szCs w:val="32"/>
          <w:rtl/>
        </w:rPr>
        <w:t>گفتار ششم: پیشینه نظری؛ از نراقی تا امام خمینی</w:t>
      </w:r>
      <w:bookmarkEnd w:id="122"/>
    </w:p>
    <w:p>
      <w:pPr>
        <w:pStyle w:val="TH-Band"/>
        <w:widowControl/>
        <w:bidi w:val="1"/>
        <w:spacing w:before="280" w:after="160" w:line="336" w:lineRule="auto"/>
        <w:jc w:val="right"/>
        <w:keepNext w:val="1"/>
      </w:pPr>
      <w:bookmarkStart w:id="123" w:name="_Toc000123"/>
      <w:r>
        <w:rPr>
          <w:rFonts w:ascii="B Traffic" w:hAnsi="B Traffic" w:cs="B Traffic" w:eastAsia="B Traffic"/>
          <w:b/>
          <w:i w:val="0"/>
          <w:sz w:val="28"/>
          <w:szCs w:val="28"/>
          <w:rtl/>
        </w:rPr>
        <w:t>بند اول: نراقی و تأسیس بحث ولایت فقیه</w:t>
      </w:r>
      <w:bookmarkEnd w:id="123"/>
    </w:p>
    <w:p>
      <w:pPr>
        <w:pStyle w:val="TH-Body"/>
        <w:widowControl/>
        <w:bidi w:val="1"/>
        <w:spacing w:before="0" w:after="200" w:line="336" w:lineRule="auto"/>
        <w:jc w:val="both"/>
      </w:pPr>
      <w:r>
        <w:rPr>
          <w:rFonts w:ascii="B Lotus" w:hAnsi="B Lotus" w:cs="B Lotus" w:eastAsia="B Lotus"/>
          <w:b w:val="0"/>
          <w:i w:val="0"/>
          <w:sz w:val="28"/>
          <w:szCs w:val="28"/>
        </w:rPr>
        <w:t>نظریه حکم حکومتی ـ که در گفتار دوم مبنایش کردم ـ از آسمان نیفتاده؛ پیشینه‌ای در فقه ما دارد که دانستنش هم به فهم عمقش کمک می‌کند هم به دفاع از آن. نقطه آغاز جدی‌اش، ملا احمد نراقی (متوفای ۱۲۴۵) در عوائد الایام است؛ جایی که برای اولین بار ـ به این صراحت و تفصیل ـ «ولایت فقیه» در امور حکومتی را اثبات کرد و گفت فقیه جامع‌الشرایط در عصر غیبت، همان اختیاری را دارد که امام در اداره جامعه داشت.</w:t>
      </w:r>
      <w:r>
        <w:rPr>
          <w:rFonts w:ascii="B Lotus" w:hAnsi="B Lotus" w:cs="B Lotus" w:eastAsia="B Lotus"/>
          <w:b w:val="0"/>
          <w:i w:val="0"/>
          <w:sz w:val="28"/>
          <w:szCs w:val="28"/>
          <w:vertAlign w:val="superscript"/>
        </w:rPr>
        <w:footnoteReference w:id="88"/>
      </w:r>
      <w:r>
        <w:rPr>
          <w:rFonts w:ascii="B Lotus" w:hAnsi="B Lotus" w:cs="B Lotus" w:eastAsia="B Lotus"/>
          <w:b w:val="0"/>
          <w:i w:val="0"/>
          <w:sz w:val="28"/>
          <w:szCs w:val="28"/>
        </w:rPr>
        <w:t xml:space="preserve"> استدلالش هم عمدتاً بر دو پایه بود: یکی مقبوله عمر بن حنظله و روایات مشابه که فقها را «حاکم» قرار داده؛ و دیگری دلیل عقل و ضرورت (این‌که جامعه بدون حاکم نمی‌ماند و عادل‌ترین حاکم، فقیه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نراقی برای مسئله من در این است که او «باب» را باز کرد؛ ولی وارد «تفاصیل حکومتی» ـ مثل سیاست خارجی و عهدنامه‌ها ـ نشد. یعنی اصلِ اختیار را اثبات کرد، ولی حدود و ضوابطش را ـ به‌ویژه در عرصه بین‌المللی ـ باز گذاشت. و همین خلأ است که این رساله ـ در ادامه راه او ـ می‌کوشد در یک فرعِ خاص (عدول از تعهدات) پرش کند. پس کار من، نه بدعت، که تتمه راه نراقی است.</w:t>
      </w:r>
    </w:p>
    <w:p>
      <w:pPr>
        <w:pStyle w:val="TH-Band"/>
        <w:widowControl/>
        <w:bidi w:val="1"/>
        <w:spacing w:before="280" w:after="160" w:line="336" w:lineRule="auto"/>
        <w:jc w:val="right"/>
        <w:keepNext w:val="1"/>
      </w:pPr>
      <w:bookmarkStart w:id="124" w:name="_Toc000124"/>
      <w:r>
        <w:rPr>
          <w:rFonts w:ascii="B Traffic" w:hAnsi="B Traffic" w:cs="B Traffic" w:eastAsia="B Traffic"/>
          <w:b/>
          <w:i w:val="0"/>
          <w:sz w:val="28"/>
          <w:szCs w:val="28"/>
          <w:rtl/>
        </w:rPr>
        <w:t>بند دوم: نائینی و دولت مشروطه؛ تجربه تلخ و درس شیرین</w:t>
      </w:r>
      <w:bookmarkEnd w:id="124"/>
    </w:p>
    <w:p>
      <w:pPr>
        <w:pStyle w:val="TH-Body"/>
        <w:widowControl/>
        <w:bidi w:val="1"/>
        <w:spacing w:before="0" w:after="200" w:line="336" w:lineRule="auto"/>
        <w:jc w:val="both"/>
      </w:pPr>
      <w:r>
        <w:rPr>
          <w:rFonts w:ascii="B Lotus" w:hAnsi="B Lotus" w:cs="B Lotus" w:eastAsia="B Lotus"/>
          <w:b w:val="0"/>
          <w:i w:val="0"/>
          <w:sz w:val="28"/>
          <w:szCs w:val="28"/>
        </w:rPr>
        <w:t>گام بعدی را میرزای نائینی (متوفای ۱۳۵۵) در تنبیه الامه و تنزیه المله برداشت؛ کتابی که در دفاع از مشروطه و تحدید استبداد نوشت و در آن، نظریه «ولایت» را با مقتضیات دولت مدرن پیوند زد.</w:t>
      </w:r>
      <w:r>
        <w:rPr>
          <w:rFonts w:ascii="B Lotus" w:hAnsi="B Lotus" w:cs="B Lotus" w:eastAsia="B Lotus"/>
          <w:b w:val="0"/>
          <w:i w:val="0"/>
          <w:sz w:val="28"/>
          <w:szCs w:val="28"/>
          <w:vertAlign w:val="superscript"/>
        </w:rPr>
        <w:footnoteReference w:id="89"/>
      </w:r>
      <w:r>
        <w:rPr>
          <w:rFonts w:ascii="B Lotus" w:hAnsi="B Lotus" w:cs="B Lotus" w:eastAsia="B Lotus"/>
          <w:b w:val="0"/>
          <w:i w:val="0"/>
          <w:sz w:val="28"/>
          <w:szCs w:val="28"/>
        </w:rPr>
        <w:t xml:space="preserve"> نائینی ـ برخلاف مشهور ـ منکر ولایت فقیه نبود؛ بلکه می‌گفت در عصر غیبت، حکومتِ عادلهِ مشروطه (مقید به قانون و نظارت) از حکومتِ جائره بهتر است و فقها باید بر آن نظارت کنند.</w:t>
      </w:r>
    </w:p>
    <w:p>
      <w:pPr>
        <w:pStyle w:val="TH-Body"/>
        <w:widowControl/>
        <w:bidi w:val="1"/>
        <w:spacing w:before="0" w:after="200" w:line="336" w:lineRule="auto"/>
        <w:ind w:firstLine="283"/>
        <w:jc w:val="both"/>
      </w:pPr>
      <w:r>
        <w:rPr>
          <w:rFonts w:ascii="B Lotus" w:hAnsi="B Lotus" w:cs="B Lotus" w:eastAsia="B Lotus"/>
          <w:b w:val="0"/>
          <w:i w:val="0"/>
          <w:sz w:val="28"/>
          <w:szCs w:val="28"/>
        </w:rPr>
        <w:t>درس نائینی برای مسئله من دوگانه است. درس اول، «ضرورت مهار»: نائینی ـ که استبداد قاجار را دیده بود ـ بیش از هر چیز بر «تحدید قدرت» تأکید داشت؛ و همین منطق است که مرا به ضوابط هشت‌گانه رساند: اختیارِ بی‌مهار، حتی اگر عنوانش ولایت باشد، به استبداد می‌انجامد. درس دوم، «واقع‌بینی نهادی»: نائینی فهمید که فقه حکومتی نمی‌تواند در خلأ عمل کند و باید با نهادهای مدرن (مجلس، قانون، نظارت) گفت‌وگو کند؛ و همین منطق است که مرا به تحلیل قانون اساسی (فصل پنجم) کشاند: حکم حکومتی باید در چارچوب نهادیِ نظام عمل کند، نه بیرون از آن. تجربه مشروطه ـ با همه فراز و فرودش ـ نشان داد که فقهِ بی‌نهاد، ناکام می‌ماند؛ و نهادِ بی‌فقه، بی‌هویت.</w:t>
      </w:r>
    </w:p>
    <w:p>
      <w:pPr>
        <w:pStyle w:val="TH-Band"/>
        <w:widowControl/>
        <w:bidi w:val="1"/>
        <w:spacing w:before="280" w:after="160" w:line="336" w:lineRule="auto"/>
        <w:jc w:val="right"/>
        <w:keepNext w:val="1"/>
      </w:pPr>
      <w:bookmarkStart w:id="125" w:name="_Toc000125"/>
      <w:r>
        <w:rPr>
          <w:rFonts w:ascii="B Traffic" w:hAnsi="B Traffic" w:cs="B Traffic" w:eastAsia="B Traffic"/>
          <w:b/>
          <w:i w:val="0"/>
          <w:sz w:val="28"/>
          <w:szCs w:val="28"/>
          <w:rtl/>
        </w:rPr>
        <w:t>بند سوم: امام خمینی؛ از کشف اسرار تا صحیفه</w:t>
      </w:r>
      <w:bookmarkEnd w:id="125"/>
    </w:p>
    <w:p>
      <w:pPr>
        <w:pStyle w:val="TH-Body"/>
        <w:widowControl/>
        <w:bidi w:val="1"/>
        <w:spacing w:before="0" w:after="200" w:line="336" w:lineRule="auto"/>
        <w:jc w:val="both"/>
      </w:pPr>
      <w:r>
        <w:rPr>
          <w:rFonts w:ascii="B Lotus" w:hAnsi="B Lotus" w:cs="B Lotus" w:eastAsia="B Lotus"/>
          <w:b w:val="0"/>
          <w:i w:val="0"/>
          <w:sz w:val="28"/>
          <w:szCs w:val="28"/>
        </w:rPr>
        <w:t>و سرانجام، صورت‌بندی کامل و انقلابی نظریه را امام خمینی ارائه کرد؛ در سه مرحله که هرکدام گامی به جلو بود. مرحله اول، کشف اسرار (۱۳۲۳): نقد سلطنت و اثبات این‌که حکومت باید اسلامی باشد ـ ولی هنوز نظریه ولایت فقیه به صورت کامل نیامده بود. مرحله دوم، ولایت فقیه (۱۳۴۸، در نجف): اثبات تفصیلی این‌که فقیه جامع‌الشرایط در عصر غیبت، ولایت بر اداره جامعه دارد ـ با همان اختیاری که پیامبر و امام داشتند.</w:t>
      </w:r>
      <w:r>
        <w:rPr>
          <w:rFonts w:ascii="B Lotus" w:hAnsi="B Lotus" w:cs="B Lotus" w:eastAsia="B Lotus"/>
          <w:b w:val="0"/>
          <w:i w:val="0"/>
          <w:sz w:val="28"/>
          <w:szCs w:val="28"/>
          <w:vertAlign w:val="superscript"/>
        </w:rPr>
        <w:footnoteReference w:id="90"/>
      </w:r>
      <w:r>
        <w:rPr>
          <w:rFonts w:ascii="B Lotus" w:hAnsi="B Lotus" w:cs="B Lotus" w:eastAsia="B Lotus"/>
          <w:b w:val="0"/>
          <w:i w:val="0"/>
          <w:sz w:val="28"/>
          <w:szCs w:val="28"/>
        </w:rPr>
        <w:t xml:space="preserve"> و مرحله سوم، صحیفه و نامه‌ها (پس از انقلاب): تبیین عملیِ حکم حکومتی در مقام اداره نظام ـ از جمله همان نامه مشهور به قدیری که حکومت را مقدم بر احکام فرعیه دانست.</w:t>
      </w:r>
      <w:r>
        <w:rPr>
          <w:rFonts w:ascii="B Lotus" w:hAnsi="B Lotus" w:cs="B Lotus" w:eastAsia="B Lotus"/>
          <w:b w:val="0"/>
          <w:i w:val="0"/>
          <w:sz w:val="28"/>
          <w:szCs w:val="28"/>
          <w:vertAlign w:val="superscript"/>
        </w:rPr>
        <w:footnoteReference w:id="91"/>
      </w:r>
    </w:p>
    <w:p>
      <w:pPr>
        <w:pStyle w:val="TH-Body"/>
        <w:widowControl/>
        <w:bidi w:val="1"/>
        <w:spacing w:before="0" w:after="200" w:line="336" w:lineRule="auto"/>
        <w:ind w:firstLine="283"/>
        <w:jc w:val="both"/>
      </w:pPr>
      <w:r>
        <w:rPr>
          <w:rFonts w:ascii="B Lotus" w:hAnsi="B Lotus" w:cs="B Lotus" w:eastAsia="B Lotus"/>
          <w:b w:val="0"/>
          <w:i w:val="0"/>
          <w:sz w:val="28"/>
          <w:szCs w:val="28"/>
        </w:rPr>
        <w:t>سیر این سه مرحله برای من درس مهمی دارد: نظریه حکم حکومتی، «تکاملی» است؛ یعنی با تجربه اداره نظام، پخته‌تر و دقیق‌تر شده. و همین تکاملی بودن است که مجوز «تتمه‌نویسی» مثل کار من است: اگر امام در زمان خودش به فرعِ خاصِ «عدول از معاهدات بین‌المللی» نپرداخت (چون اولویت‌های دیگری داشت)، وظیفه شاگردان و آیندگان است که این فروع را ـ بر همان مبانی ـ استنباط کنند. این رساله، ادعای اجتهادِ مستقل ندارد؛ ادعایش «تفریع بر مبانی امام» است ـ و این، هم تواضع علمی است هم صداقت.</w:t>
      </w:r>
    </w:p>
    <w:p>
      <w:pPr>
        <w:pStyle w:val="TH-Band"/>
        <w:widowControl/>
        <w:bidi w:val="1"/>
        <w:spacing w:before="280" w:after="160" w:line="336" w:lineRule="auto"/>
        <w:jc w:val="right"/>
        <w:keepNext w:val="1"/>
      </w:pPr>
      <w:bookmarkStart w:id="126" w:name="_Toc000126"/>
      <w:r>
        <w:rPr>
          <w:rFonts w:ascii="B Traffic" w:hAnsi="B Traffic" w:cs="B Traffic" w:eastAsia="B Traffic"/>
          <w:b/>
          <w:i w:val="0"/>
          <w:sz w:val="28"/>
          <w:szCs w:val="28"/>
          <w:rtl/>
        </w:rPr>
        <w:t>بند چهارم: صلح امام حسن؛ بزرگ‌ترین الگوی مصلحت‌سنجی حکومتی</w:t>
      </w:r>
      <w:bookmarkEnd w:id="126"/>
    </w:p>
    <w:p>
      <w:pPr>
        <w:pStyle w:val="TH-Body"/>
        <w:widowControl/>
        <w:bidi w:val="1"/>
        <w:spacing w:before="0" w:after="200" w:line="336" w:lineRule="auto"/>
        <w:jc w:val="both"/>
      </w:pPr>
      <w:r>
        <w:rPr>
          <w:rFonts w:ascii="B Lotus" w:hAnsi="B Lotus" w:cs="B Lotus" w:eastAsia="B Lotus"/>
          <w:b w:val="0"/>
          <w:i w:val="0"/>
          <w:sz w:val="28"/>
          <w:szCs w:val="28"/>
        </w:rPr>
        <w:t>و حالا می‌رسم به الگویی که به نظرم مهم‌ترین سند سیره‌ایِ کل رساله است و حیف بود ناگفته بماند: «صلح امام حسن» (سال ۴۱ هجری). امام حسن ـ که پس از شهادت امیرالمؤمنین، خلیفه برحق و حاکم مسلمانان بود ـ در برابر معاویه، به جای ادامه جنگ، «صلح» را پذیرفت؛ صلحی که شرایط ظاهری‌اش سخت بود و اعتراض یارانش را برانگیخت، ولی امام بر آن اصرار ورزید.</w:t>
      </w:r>
      <w:r>
        <w:rPr>
          <w:rFonts w:ascii="B Lotus" w:hAnsi="B Lotus" w:cs="B Lotus" w:eastAsia="B Lotus"/>
          <w:b w:val="0"/>
          <w:i w:val="0"/>
          <w:sz w:val="28"/>
          <w:szCs w:val="28"/>
          <w:vertAlign w:val="superscript"/>
        </w:rPr>
        <w:footnoteReference w:id="92"/>
      </w:r>
    </w:p>
    <w:p>
      <w:pPr>
        <w:pStyle w:val="TH-Body"/>
        <w:widowControl/>
        <w:bidi w:val="1"/>
        <w:spacing w:before="0" w:after="200" w:line="336" w:lineRule="auto"/>
        <w:ind w:firstLine="283"/>
        <w:jc w:val="both"/>
      </w:pPr>
      <w:r>
        <w:rPr>
          <w:rFonts w:ascii="B Lotus" w:hAnsi="B Lotus" w:cs="B Lotus" w:eastAsia="B Lotus"/>
          <w:b w:val="0"/>
          <w:i w:val="0"/>
          <w:sz w:val="28"/>
          <w:szCs w:val="28"/>
        </w:rPr>
        <w:t>چرا این ماجرا برای مسئله من مهم است؟ چون دقیقاً همان ساختار «تزاحم» را دارد که من در کل رساله تحلیل می‌کنم: از یک سو، «وجوب جهاد با باغی» (معاویه و سپاه شام، باغی بودند و جهاد با آن‌ها واجب بود)؛ و از سوی دیگر، «حفظ اسلام و شیعیان» (ادامه جنگ با سپاهِ پراکنده و فرماندهانِ خریداری‌شده، به نابودی کامل شیعیان و اسلام می‌انجامید). امام، اهم (حفظ اسلام و بقای شیعه) را بر مهم (جهاد در آن شرایط) مقدم کرد و صلح کرد. و این، عینِ منطقِ تزاحم و تقدیم اهم است ـ منتها در بزرگ‌ترین مقیاس ممکن و توسط معصوم.</w:t>
      </w:r>
    </w:p>
    <w:p>
      <w:pPr>
        <w:pStyle w:val="TH-Body"/>
        <w:widowControl/>
        <w:bidi w:val="1"/>
        <w:spacing w:before="0" w:after="200" w:line="336" w:lineRule="auto"/>
        <w:ind w:firstLine="283"/>
        <w:jc w:val="both"/>
      </w:pPr>
      <w:r>
        <w:rPr>
          <w:rFonts w:ascii="B Lotus" w:hAnsi="B Lotus" w:cs="B Lotus" w:eastAsia="B Lotus"/>
          <w:b w:val="0"/>
          <w:i w:val="0"/>
          <w:sz w:val="28"/>
          <w:szCs w:val="28"/>
        </w:rPr>
        <w:t>سه درس از صلح امام حسن می‌گیرم که مستقیم در ضوابط من می‌نشیند. درس اول: مصلحت‌سنجی حکومتی، حتی «جهاد» ـ که از ارکان دین است ـ را می‌تواند متوقف کند؛ پس به طریق اولی، «التزام به معاهده» ـ که حکمی فرعی و ابزاری است ـ را می‌تواند متوقف کند. این طریق اولی، قوی‌ترین پاسخ به کسانی است که عدول از معاهده را «بعید» می‌دانند: اگر توقف جهاد ممکن است، توقف اجرای معاهده به طریق اولی ممکن است. درس دوم: تصمیم امام، با «اعتراض یاران» روبه‌رو شد ولی امام عقب‌نشینی نکرد؛ چون تشخیص مصلحت با حاکم است، نه با فشار افکار و احساسات. این، مؤید ضابطه سوم (تشخیص ولی فقیه) است: حاکم نباید اسیر جوسازی شود، نه جوسازیِ موافقانِ جنگ، نه جوسازیِ مخالفانش. و درس سوم: صلح امام، «موقت» بود ـ یعنی امام جهاد را برای همیشه تعطیل نکرد، بلکه در آن شرایطِ خاص متوقف کرد؛ و همین، مؤید ضابطه پنجم (موقت بودن) است: عدول، توقفِ موقت است، نه نسخِ دائم.</w:t>
      </w:r>
    </w:p>
    <w:p>
      <w:pPr>
        <w:pStyle w:val="TH-Body"/>
        <w:widowControl/>
        <w:bidi w:val="1"/>
        <w:spacing w:before="0" w:after="200" w:line="336" w:lineRule="auto"/>
        <w:ind w:firstLine="283"/>
        <w:jc w:val="both"/>
      </w:pPr>
      <w:r>
        <w:rPr>
          <w:rFonts w:ascii="B Lotus" w:hAnsi="B Lotus" w:cs="B Lotus" w:eastAsia="B Lotus"/>
          <w:b w:val="0"/>
          <w:i w:val="0"/>
          <w:sz w:val="28"/>
          <w:szCs w:val="28"/>
        </w:rPr>
        <w:t>و نکته پایانی این بند: صلح امام حسن نشان می‌دهد که «مصلحت‌سنجی حکومتی» گاهی مستلزم تصمیم‌هایی است که در ظاهر «تلخ» و «ناپسند»‌اند و اعتراض‌ها را برمی‌انگیزند ـ ولی در باطن، نجات‌بخش‌اند. تاریخ، امام حسن را تبرئه کرد: اگر صلح نمی‌کرد، شیعه‌ای نمی‌ماند تا امروز درباره‌اش رساله بنویسد. و همین، درس امیدبخشی برای حاکمان امروز است: تصمیمِ درستِ تلخ، بهتر از تصمیمِ غلطِ شیرین است.</w:t>
      </w:r>
    </w:p>
    <w:p>
      <w:pPr>
        <w:pStyle w:val="TH-Band"/>
        <w:widowControl/>
        <w:bidi w:val="1"/>
        <w:spacing w:before="280" w:after="160" w:line="336" w:lineRule="auto"/>
        <w:jc w:val="right"/>
        <w:keepNext w:val="1"/>
      </w:pPr>
      <w:bookmarkStart w:id="127" w:name="_Toc000127"/>
      <w:r>
        <w:rPr>
          <w:rFonts w:ascii="B Traffic" w:hAnsi="B Traffic" w:cs="B Traffic" w:eastAsia="B Traffic"/>
          <w:b/>
          <w:i w:val="0"/>
          <w:sz w:val="28"/>
          <w:szCs w:val="28"/>
          <w:rtl/>
        </w:rPr>
        <w:t>بند پنجم: مراتب تزاحم؛ اهم، مهم و محتمل‌الاهمیه</w:t>
      </w:r>
      <w:bookmarkEnd w:id="127"/>
    </w:p>
    <w:p>
      <w:pPr>
        <w:pStyle w:val="TH-Body"/>
        <w:widowControl/>
        <w:bidi w:val="1"/>
        <w:spacing w:before="0" w:after="200" w:line="336" w:lineRule="auto"/>
        <w:jc w:val="both"/>
      </w:pPr>
      <w:r>
        <w:rPr>
          <w:rFonts w:ascii="B Lotus" w:hAnsi="B Lotus" w:cs="B Lotus" w:eastAsia="B Lotus"/>
          <w:b w:val="0"/>
          <w:i w:val="0"/>
          <w:sz w:val="28"/>
          <w:szCs w:val="28"/>
        </w:rPr>
        <w:t>بحث تزاحم ـ که در گفتار اول گذشت ـ ظرافتی دارد که باید این‌جا تکمیل شود: تزاحم، «مراتب» دارد و حکم هر مرتبه متفاوت است. فقهای اصول، سه صورت را از هم جدا کرده‌اند: صورت اول، تزاحم «اهم و مهم» ـ وقتی می‌دانیم یکی اهم است؛ حکمش تقدیم اهم است و بحثی نیست. صورت دوم، تزاحم «دو مساوی» ـ وقتی هیچ‌کدام اهم نیست؛ حکمش تخییر است (مکلف مخیر است کدام را انجام بدهد). و صورت سوم، تزاحم «محتمل‌الاهمیه» ـ وقتی احتمال می‌دهیم یکی اهم باشد ولی یقین نداریم؛ حکمش ـ به نظر مشهور ـ تقدیم محتمل‌الاهمیه است از باب احتیاط.</w:t>
      </w:r>
      <w:r>
        <w:rPr>
          <w:rFonts w:ascii="B Lotus" w:hAnsi="B Lotus" w:cs="B Lotus" w:eastAsia="B Lotus"/>
          <w:b w:val="0"/>
          <w:i w:val="0"/>
          <w:sz w:val="28"/>
          <w:szCs w:val="28"/>
          <w:vertAlign w:val="superscript"/>
        </w:rPr>
        <w:footnoteReference w:id="93"/>
      </w:r>
    </w:p>
    <w:p>
      <w:pPr>
        <w:pStyle w:val="TH-Body"/>
        <w:widowControl/>
        <w:bidi w:val="1"/>
        <w:spacing w:before="0" w:after="200" w:line="336" w:lineRule="auto"/>
        <w:ind w:firstLine="283"/>
        <w:jc w:val="both"/>
      </w:pPr>
      <w:r>
        <w:rPr>
          <w:rFonts w:ascii="B Lotus" w:hAnsi="B Lotus" w:cs="B Lotus" w:eastAsia="B Lotus"/>
          <w:b w:val="0"/>
          <w:i w:val="0"/>
          <w:sz w:val="28"/>
          <w:szCs w:val="28"/>
        </w:rPr>
        <w:t>تطبیقش بر مسئله من: در غالب موارد، تزاحمِ مورد بحث از «صورت اول» است ـ یعنی حفظ نظام و مصلحت اهم، قطعاً اهم از ادامه وفا به معاهده زیان‌بار است؛ پس حکمش تقدیم مصلحت است و تردیدی نیست. ولی در موارد «مرزی» ـ مثل وقتی که ضررِ ادامه وفا قطعی نیست یا مصلحتِ عدول محل تردید است ـ ممکن است به «صورت سوم» برسیم؛ و در آن صورت، مقتضای احتیاط، «عدم عدول» است ـ چون وجوب وفا، قدرمتیقن است و عدول، محتاج دلیلِ قطعی. این تحلیل، دلیل دیگری است بر ضابطه اول (احراز تزاحم واقعی): تا تزاحمِ واقعیِ اهم احراز نشده، اصل بر وفاست و عدول جایز نیست. و همین، جواب کسانی است که می‌ترسند این رساله باب عهدشکنی را باز کند: نه، باب را باز نکرده‌ام؛ بلکه دریچه‌ای گشوده‌ام با هشت قفل ـ و کلید هر هشت قفل، «احراز» است، نه «احتمال».</w:t>
      </w:r>
    </w:p>
    <w:p>
      <w:pPr>
        <w:pStyle w:val="TH-Goftar"/>
        <w:widowControl/>
        <w:bidi w:val="1"/>
        <w:spacing w:before="280" w:after="160" w:line="336" w:lineRule="auto"/>
        <w:jc w:val="right"/>
        <w:keepNext w:val="1"/>
        <w:shd w:val="clear" w:fill="EDEDED"/>
      </w:pPr>
      <w:bookmarkStart w:id="128" w:name="_Toc000128"/>
      <w:r>
        <w:rPr>
          <w:rFonts w:ascii="B Titr" w:hAnsi="B Titr" w:cs="B Titr" w:eastAsia="B Titr"/>
          <w:b/>
          <w:i w:val="0"/>
          <w:sz w:val="32"/>
          <w:szCs w:val="32"/>
          <w:rtl/>
        </w:rPr>
        <w:t>حاصل فصل چهارم</w:t>
      </w:r>
      <w:bookmarkEnd w:id="128"/>
    </w:p>
    <w:p>
      <w:pPr>
        <w:pStyle w:val="TH-Body"/>
        <w:widowControl/>
        <w:bidi w:val="1"/>
        <w:spacing w:before="0" w:after="200" w:line="336" w:lineRule="auto"/>
        <w:jc w:val="both"/>
      </w:pPr>
      <w:r>
        <w:rPr>
          <w:rFonts w:ascii="B Lotus" w:hAnsi="B Lotus" w:cs="B Lotus" w:eastAsia="B Lotus"/>
          <w:b w:val="0"/>
          <w:i w:val="0"/>
          <w:sz w:val="28"/>
          <w:szCs w:val="28"/>
        </w:rPr>
        <w:t>حاصل این فصل، اثبات جواز مقید و مهارشده عدول است: در فرض تزاحم واقعی میان ادامه وفا و مصلحت اهم، ولی فقیه «می‌تواند» ـ و گاه «باید» ـ با حکم حکومتی از تعهد عدول کند؛ مشروط به هشت ضابطه‌ای که جلوِ سوءاستفاده را می‌گیرد. این جواز را با چهار مبنای مستقل اثبات کردم ـ تزاحم، حکم حکومتی، لاضرر و لاحرج، و مصلحت نظام ـ که هرکدام به‌تنهایی کافی‌اند و اجتماعشان اطمینان می‌سازد. ولی این، پایان کار نیست؛ چون تصمیم ولی فقیه در خلأ گرفته نمی‌شود و در دنیای واقعی، آثار بین‌المللیِ جدی دارد. حاکمی که از این آثار بی‌خبر باشد، نمی‌تواند مصلحت را درست بسنجد (ضابطه هشتم) و تصمیمش ناقص می‌ماند. پس باید به سراغ فصل پنجم رفت: این‌که حقوق بین‌الملل درباره چنین تصمیمی چه می‌گوید و قانون اساسی ما چه جایگاهی برایش پیش‌بینی کرده.</w:t>
      </w:r>
    </w:p>
    <w:p>
      <w:r>
        <w:br w:type="page"/>
      </w:r>
    </w:p>
    <w:p/>
    <w:p/>
    <w:p/>
    <w:p>
      <w:pPr>
        <w:widowControl/>
        <w:bidi w:val="1"/>
        <w:spacing w:before="0" w:after="240" w:line="336" w:lineRule="auto"/>
        <w:ind w:right="2268" w:left="2268"/>
        <w:jc w:val="right"/>
        <w:pBdr>
          <w:bottom w:val="single" w:sz="12" w:space="6" w:color="1F3864"/>
        </w:pBdr>
      </w:pPr>
    </w:p>
    <w:p>
      <w:pPr>
        <w:pStyle w:val="TH-Bakhsh"/>
        <w:widowControl/>
        <w:bidi w:val="1"/>
        <w:spacing w:before="0" w:after="240" w:line="336" w:lineRule="auto"/>
        <w:jc w:val="right"/>
      </w:pPr>
      <w:bookmarkStart w:id="129" w:name="_Toc000129"/>
      <w:r>
        <w:rPr>
          <w:rFonts w:ascii="B Titr" w:hAnsi="B Titr" w:cs="B Titr" w:eastAsia="B Titr"/>
          <w:b/>
          <w:i w:val="0"/>
          <w:sz w:val="64"/>
          <w:szCs w:val="64"/>
          <w:rtl/>
        </w:rPr>
        <w:t>بخش سوم: تحلیل حقوقی مسئله</w:t>
      </w:r>
      <w:bookmarkEnd w:id="129"/>
    </w:p>
    <w:p>
      <w:pPr>
        <w:widowControl/>
        <w:bidi w:val="1"/>
        <w:spacing w:before="0" w:after="200" w:line="336" w:lineRule="auto"/>
        <w:ind w:right="2268" w:left="2268"/>
        <w:jc w:val="right"/>
        <w:pBdr>
          <w:bottom w:val="single" w:sz="12" w:space="6" w:color="1F3864"/>
        </w:pBdr>
      </w:pPr>
    </w:p>
    <w:p>
      <w:r>
        <w:br w:type="page"/>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130" w:name="_Toc000130"/>
      <w:r>
        <w:rPr>
          <w:rFonts w:ascii="B Titr" w:hAnsi="B Titr" w:cs="B Titr" w:eastAsia="B Titr"/>
          <w:b/>
          <w:i w:val="0"/>
          <w:sz w:val="44"/>
          <w:szCs w:val="44"/>
          <w:rtl/>
        </w:rPr>
        <w:t>فصل پنجم: مسئولیت بین‌المللی دولت و جایگاه حقوق اساسی تصمیم</w:t>
      </w:r>
      <w:bookmarkEnd w:id="130"/>
    </w:p>
    <w:p>
      <w:pPr>
        <w:pStyle w:val="TH-Body"/>
        <w:widowControl/>
        <w:bidi w:val="1"/>
        <w:spacing w:before="0" w:after="200" w:line="336" w:lineRule="auto"/>
        <w:jc w:val="both"/>
      </w:pPr>
      <w:r>
        <w:rPr>
          <w:rFonts w:ascii="B Lotus" w:hAnsi="B Lotus" w:cs="B Lotus" w:eastAsia="B Lotus"/>
          <w:b w:val="0"/>
          <w:i w:val="0"/>
          <w:sz w:val="28"/>
          <w:szCs w:val="28"/>
        </w:rPr>
        <w:t>در فصل چهارم ثابت شد که ولی فقیه «می‌تواند» از تعهد زیان‌بار عدول کند؛ ولی این جواب، فقط نیمی از مسئله است. نیمه دیگرش این است که چنین تصمیمی در دنیای واقعی «چه آثاری» دارد؛ چون تصمیم حاکم در خلأ گرفته نمی‌شود، بلکه در برابر دولت‌های دیگر و در نظام حقوق بین‌الملل آثار مستقیم و جدی دارد ـ آثاری که هزینه‌اش را مردم می‌دهند. حاکمی که از این آثار بی‌خبر باشد، نمی‌تواند مصلحت را درست بسنجد و تصمیمش ـ هرچقدر هم که مبنای فقهی‌اش قوی باشد ـ ناقص می‌ماند. به همین خاطر این فصل را به تحلیل حقوقی اختصاص می‌دهم؛ فصلی که در پنج گفتار جلو می‌رود: چارچوب مسئولیت بین‌المللی، انتساب تصمیم به دولت، تحقق نقض و تفکیک سه‌گانه، اسباب رافع و راهبردهای کاهش مسئولیت، و جایگاه حقوق اساسی تصمیم. خواننده‌ای که این فصل را با فصل چهارم «با هم» بخواند، تصویر کامل مسئله را دریافته است.</w:t>
      </w:r>
    </w:p>
    <w:p>
      <w:pPr>
        <w:pStyle w:val="TH-Goftar"/>
        <w:widowControl/>
        <w:bidi w:val="1"/>
        <w:spacing w:before="280" w:after="160" w:line="336" w:lineRule="auto"/>
        <w:jc w:val="right"/>
        <w:keepNext w:val="1"/>
        <w:shd w:val="clear" w:fill="EDEDED"/>
      </w:pPr>
      <w:bookmarkStart w:id="131" w:name="_Toc000131"/>
      <w:r>
        <w:rPr>
          <w:rFonts w:ascii="B Titr" w:hAnsi="B Titr" w:cs="B Titr" w:eastAsia="B Titr"/>
          <w:b/>
          <w:i w:val="0"/>
          <w:sz w:val="32"/>
          <w:szCs w:val="32"/>
          <w:rtl/>
        </w:rPr>
        <w:t>گفتار اول: چارچوب مسئولیت بین‌المللی دولت‌ها</w:t>
      </w:r>
      <w:bookmarkEnd w:id="131"/>
    </w:p>
    <w:p>
      <w:pPr>
        <w:pStyle w:val="TH-Band"/>
        <w:widowControl/>
        <w:bidi w:val="1"/>
        <w:spacing w:before="280" w:after="160" w:line="336" w:lineRule="auto"/>
        <w:jc w:val="right"/>
        <w:keepNext w:val="1"/>
      </w:pPr>
      <w:bookmarkStart w:id="132" w:name="_Toc000132"/>
      <w:r>
        <w:rPr>
          <w:rFonts w:ascii="B Traffic" w:hAnsi="B Traffic" w:cs="B Traffic" w:eastAsia="B Traffic"/>
          <w:b/>
          <w:i w:val="0"/>
          <w:sz w:val="28"/>
          <w:szCs w:val="28"/>
          <w:rtl/>
        </w:rPr>
        <w:t>بند اول: تاریخچه تدوین؛ از آگو تا کرافورد</w:t>
      </w:r>
      <w:bookmarkEnd w:id="132"/>
    </w:p>
    <w:p>
      <w:pPr>
        <w:pStyle w:val="TH-Body"/>
        <w:widowControl/>
        <w:bidi w:val="1"/>
        <w:spacing w:before="0" w:after="200" w:line="336" w:lineRule="auto"/>
        <w:jc w:val="both"/>
      </w:pPr>
      <w:r>
        <w:rPr>
          <w:rFonts w:ascii="B Lotus" w:hAnsi="B Lotus" w:cs="B Lotus" w:eastAsia="B Lotus"/>
          <w:b w:val="0"/>
          <w:i w:val="0"/>
          <w:sz w:val="28"/>
          <w:szCs w:val="28"/>
        </w:rPr>
        <w:t>نظام مسئولیت بین‌المللی دولت‌ها، حاصل دهه‌ها کار کمیسیون حقوق بین‌الملل ـ رکن فرعی مجمع عمومی سازمان ملل ـ است. این کمیسیون از دهه ۱۹۵۰ موضوع مسئولیت را در دستور کارش گذاشت و گزارشگران ویژه متعددی روی آن کار کردند؛ از جمله روبرتو آگو که چارچوب بنیادینِ تفکیک «قواعد اولیه» (تعهدات ماهوی) از «قواعد ثانویه» (آثار نقض) را پایه‌گذاری کرد ـ تفکیکی که بعداً مبنای کل نظام مسئولیت شد. سرانجام پیش‌نویس نهایی به گزارشگری جیمز کرافورد در سال ۲۰۰۱ در کمیسیون تصویب شد و مجمع عمومی هم آن را مورد توجه قرار داد.</w:t>
      </w:r>
      <w:r>
        <w:rPr>
          <w:rFonts w:ascii="B Lotus" w:hAnsi="B Lotus" w:cs="B Lotus" w:eastAsia="B Lotus"/>
          <w:b w:val="0"/>
          <w:i w:val="0"/>
          <w:sz w:val="28"/>
          <w:szCs w:val="28"/>
          <w:vertAlign w:val="superscript"/>
        </w:rPr>
        <w:footnoteReference w:id="94"/>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این تلاش نیم‌قرنه، «طرح مواد مسئولیت بین‌المللی دولت‌ها» در ۵۹ ماده است که هرچند خودش به‌صورت کنوانسیون لازم‌الاجرا درنیامده، ولی بسیاری از قواعدش ـ چنان‌که رویه دیوان نشان می‌دهد ـ جنبه عرفی پیدا کرده و امروز مرجع اصلی تحلیل مسئولیت در حقوق بین‌الملل معاصر است. ساختارش چهار بخش دارد: عمل متخلفانه (ارکان و انتساب)، محتوای مسئولیت (توقف و جبران)، اجرای مسئولیت (استناد و اقدام متقابل)، و مقررات عمومی. در این رساله فقط به‌اندازه نیاز مسئله ـ یعنی ارکان مسئولیت و اسباب رافع و آثار ـ به این طرح می‌پردازم؛ نه بیشتر، چون ورود به تفاصیلش هم از موضوع بیرون است هم در حد این رساله نیست.</w:t>
      </w:r>
    </w:p>
    <w:p>
      <w:pPr>
        <w:pStyle w:val="TH-Band"/>
        <w:widowControl/>
        <w:bidi w:val="1"/>
        <w:spacing w:before="280" w:after="160" w:line="336" w:lineRule="auto"/>
        <w:jc w:val="right"/>
        <w:keepNext w:val="1"/>
      </w:pPr>
      <w:bookmarkStart w:id="133" w:name="_Toc000133"/>
      <w:r>
        <w:rPr>
          <w:rFonts w:ascii="B Traffic" w:hAnsi="B Traffic" w:cs="B Traffic" w:eastAsia="B Traffic"/>
          <w:b/>
          <w:i w:val="0"/>
          <w:sz w:val="28"/>
          <w:szCs w:val="28"/>
          <w:rtl/>
        </w:rPr>
        <w:t>بند دوم: جایگاه عرفی کنوانسیون وین و رویه دیوان</w:t>
      </w:r>
      <w:bookmarkEnd w:id="133"/>
    </w:p>
    <w:p>
      <w:pPr>
        <w:pStyle w:val="TH-Body"/>
        <w:widowControl/>
        <w:bidi w:val="1"/>
        <w:spacing w:before="0" w:after="200" w:line="336" w:lineRule="auto"/>
        <w:jc w:val="both"/>
      </w:pPr>
      <w:r>
        <w:rPr>
          <w:rFonts w:ascii="B Lotus" w:hAnsi="B Lotus" w:cs="B Lotus" w:eastAsia="B Lotus"/>
          <w:b w:val="0"/>
          <w:i w:val="0"/>
          <w:sz w:val="28"/>
          <w:szCs w:val="28"/>
        </w:rPr>
        <w:t>پیش از ورود به ارکان مسئولیت، باید به پرسشی مقدماتی جواب بدهم که خواننده دقیق ـ به‌ویژه خواننده ایرانی ـ حتماً می‌پرسد: ایران کنوانسیون وین را تصویب نکرده؛ پس چرا کل تحلیل این رساله بر آن استوار است؟ آیا استناد به سندی که ایران عضو آن نیست، بر ضد ایران معتبر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جوابش در تمایز میان «معاهده» و «عرف» است. بسیاری از قواعد وین ـ به‌ویژه مواد ۲۶، ۲۷، ۳۱، ۳۲، ۴۶، ۵۳، ۶۰ و ۶۲ ـ چنان‌که دیوان بین‌المللی دادگستری بارها تصریح کرده، «بیان عرف بین‌المللی»‌اند؛ یعنی قواعدی که پیش از وین هم در عرف دولت‌ها وجود داشتند و وین فقط آن‌ها را «تدوین» کرده، نه «تأسیس». و عرف بین‌المللی ـ برخلاف معاهده ـ نیازمند عضویت نیست و بر همه دولت‌ها ـ از جمله ایران ـ اعمال می‌شود. دیوان در قضیه نیکاراگوئه (۱۹۸۶) همین منطق را به کار بست و قواعدی را که در معاهدات آمده بود، به‌عنوان عرف بر دولتی اعمال کرد که عضو آن معاهده نبود.</w:t>
      </w:r>
      <w:r>
        <w:rPr>
          <w:rFonts w:ascii="B Lotus" w:hAnsi="B Lotus" w:cs="B Lotus" w:eastAsia="B Lotus"/>
          <w:b w:val="0"/>
          <w:i w:val="0"/>
          <w:sz w:val="28"/>
          <w:szCs w:val="28"/>
          <w:vertAlign w:val="superscript"/>
        </w:rPr>
        <w:footnoteReference w:id="95"/>
      </w:r>
    </w:p>
    <w:p>
      <w:pPr>
        <w:pStyle w:val="TH-Body"/>
        <w:widowControl/>
        <w:bidi w:val="1"/>
        <w:spacing w:before="0" w:after="200" w:line="336" w:lineRule="auto"/>
        <w:ind w:firstLine="283"/>
        <w:jc w:val="both"/>
      </w:pPr>
      <w:r>
        <w:rPr>
          <w:rFonts w:ascii="B Lotus" w:hAnsi="B Lotus" w:cs="B Lotus" w:eastAsia="B Lotus"/>
          <w:b w:val="0"/>
          <w:i w:val="0"/>
          <w:sz w:val="28"/>
          <w:szCs w:val="28"/>
        </w:rPr>
        <w:t>پس موضع روشی من این است: هرجا به وین استناد می‌کنم، در واقع به «عرفِ مدون‌شده در وین» استناد می‌کنم؛ و اعتبار استنادم نه از عضویت ایران، که از عرفی بودن قاعده است. البته ـ انصافاً ـ درباره بعضی مواد وین (مثل تفاصیل حق شرط و بعضی مواد آیینی) عرفی بودن محل بحث است؛ و من در آن موارد، یا استناد نکرده‌ام یا با احتیاط استناد کرده‌ام. این دقت روشی را لازم دانستم، چون بنای کل فصل پنجم بر آن استوار است و اگر فرو بریزد، همه تحلیل فرو می‌ریزد.</w:t>
      </w:r>
    </w:p>
    <w:p>
      <w:pPr>
        <w:pStyle w:val="TH-Band"/>
        <w:widowControl/>
        <w:bidi w:val="1"/>
        <w:spacing w:before="280" w:after="160" w:line="336" w:lineRule="auto"/>
        <w:jc w:val="right"/>
        <w:keepNext w:val="1"/>
      </w:pPr>
      <w:bookmarkStart w:id="134" w:name="_Toc000134"/>
      <w:r>
        <w:rPr>
          <w:rFonts w:ascii="B Traffic" w:hAnsi="B Traffic" w:cs="B Traffic" w:eastAsia="B Traffic"/>
          <w:b/>
          <w:i w:val="0"/>
          <w:sz w:val="28"/>
          <w:szCs w:val="28"/>
          <w:rtl/>
        </w:rPr>
        <w:t>بند سوم: ارکان عمل متخلفانه؛ انتساب و نقض</w:t>
      </w:r>
      <w:bookmarkEnd w:id="134"/>
    </w:p>
    <w:p>
      <w:pPr>
        <w:pStyle w:val="TH-Body"/>
        <w:widowControl/>
        <w:bidi w:val="1"/>
        <w:spacing w:before="0" w:after="200" w:line="336" w:lineRule="auto"/>
        <w:jc w:val="both"/>
      </w:pPr>
      <w:r>
        <w:rPr>
          <w:rFonts w:ascii="B Lotus" w:hAnsi="B Lotus" w:cs="B Lotus" w:eastAsia="B Lotus"/>
          <w:b w:val="0"/>
          <w:i w:val="0"/>
          <w:sz w:val="28"/>
          <w:szCs w:val="28"/>
        </w:rPr>
        <w:t>طبق ماده ۱ طرح، «هر عمل متخلفانه بین‌المللی دولت، موجب مسئولیت بین‌المللی آن است»؛ و طبق ماده ۲، عمل متخلفانه دو رکن دارد: (الف) انتساب رفتار (فعل یا ترک فعل) به دولت بر اساس حقوق بین‌الملل، و (ب) نقض تعهد بین‌المللی دولت توسط آن رفتار.</w:t>
      </w:r>
      <w:r>
        <w:rPr>
          <w:rFonts w:ascii="B Lotus" w:hAnsi="B Lotus" w:cs="B Lotus" w:eastAsia="B Lotus"/>
          <w:b w:val="0"/>
          <w:i w:val="0"/>
          <w:sz w:val="28"/>
          <w:szCs w:val="28"/>
          <w:vertAlign w:val="superscript"/>
        </w:rPr>
        <w:footnoteReference w:id="96"/>
      </w:r>
      <w:r>
        <w:rPr>
          <w:rFonts w:ascii="B Lotus" w:hAnsi="B Lotus" w:cs="B Lotus" w:eastAsia="B Lotus"/>
          <w:b w:val="0"/>
          <w:i w:val="0"/>
          <w:sz w:val="28"/>
          <w:szCs w:val="28"/>
        </w:rPr>
        <w:t xml:space="preserve"> هر دو رکن باید با هم باشند: رفتارِ منتسبِ بدون نقض، مسئولیتی نمی‌آورد (مثل اقدام قانونی دولت)؛ و نقضِ بدون انتساب هم مسئولیت دولت را در پی ندارد (مثل رفتار اشخاص خصوصیِ غیرمنتسب). این ساختار دورکنی، نقشه راه دو گفتار بعدی من است: گفتار دوم (انتساب) و گفتار سوم (نقض).</w:t>
      </w:r>
    </w:p>
    <w:p>
      <w:pPr>
        <w:pStyle w:val="TH-Goftar"/>
        <w:widowControl/>
        <w:bidi w:val="1"/>
        <w:spacing w:before="280" w:after="160" w:line="336" w:lineRule="auto"/>
        <w:jc w:val="right"/>
        <w:keepNext w:val="1"/>
        <w:shd w:val="clear" w:fill="EDEDED"/>
      </w:pPr>
      <w:bookmarkStart w:id="135" w:name="_Toc000135"/>
      <w:r>
        <w:rPr>
          <w:rFonts w:ascii="B Titr" w:hAnsi="B Titr" w:cs="B Titr" w:eastAsia="B Titr"/>
          <w:b/>
          <w:i w:val="0"/>
          <w:sz w:val="32"/>
          <w:szCs w:val="32"/>
          <w:rtl/>
        </w:rPr>
        <w:t>گفتار دوم: انتساب تصمیم ولی فقیه به دولت ایران</w:t>
      </w:r>
      <w:bookmarkEnd w:id="135"/>
    </w:p>
    <w:p>
      <w:pPr>
        <w:pStyle w:val="TH-Band"/>
        <w:widowControl/>
        <w:bidi w:val="1"/>
        <w:spacing w:before="280" w:after="160" w:line="336" w:lineRule="auto"/>
        <w:jc w:val="right"/>
        <w:keepNext w:val="1"/>
      </w:pPr>
      <w:bookmarkStart w:id="136" w:name="_Toc000136"/>
      <w:r>
        <w:rPr>
          <w:rFonts w:ascii="B Traffic" w:hAnsi="B Traffic" w:cs="B Traffic" w:eastAsia="B Traffic"/>
          <w:b/>
          <w:i w:val="0"/>
          <w:sz w:val="28"/>
          <w:szCs w:val="28"/>
          <w:rtl/>
        </w:rPr>
        <w:t>بند اول: قاعده انتساب رفتار ارکان دولت</w:t>
      </w:r>
      <w:bookmarkEnd w:id="136"/>
    </w:p>
    <w:p>
      <w:pPr>
        <w:pStyle w:val="TH-Body"/>
        <w:widowControl/>
        <w:bidi w:val="1"/>
        <w:spacing w:before="0" w:after="200" w:line="336" w:lineRule="auto"/>
        <w:jc w:val="both"/>
      </w:pPr>
      <w:r>
        <w:rPr>
          <w:rFonts w:ascii="B Lotus" w:hAnsi="B Lotus" w:cs="B Lotus" w:eastAsia="B Lotus"/>
          <w:b w:val="0"/>
          <w:i w:val="0"/>
          <w:sz w:val="28"/>
          <w:szCs w:val="28"/>
        </w:rPr>
        <w:t>قاعده بنیادین انتساب در ماده ۴ طرح آمده:</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رفتار هر رکن دولت ـ اعم از مقننه و مجریه و قضائیه، و اعم از مرکزی یا محلی، و عالی یا دانی، و با هر کارکردی ـ عمل دولت محسوب می‌شود.</w:t>
      </w:r>
      <w:r>
        <w:rPr>
          <w:rFonts w:ascii="B Badr" w:hAnsi="B Badr" w:cs="B Badr" w:eastAsia="B Badr"/>
          <w:b w:val="0"/>
          <w:i w:val="0"/>
          <w:sz w:val="26"/>
          <w:szCs w:val="26"/>
          <w:vertAlign w:val="superscript"/>
        </w:rPr>
        <w:footnoteReference w:id="97"/>
      </w:r>
    </w:p>
    <w:p>
      <w:pPr>
        <w:pStyle w:val="TH-Body"/>
        <w:widowControl/>
        <w:bidi w:val="1"/>
        <w:spacing w:before="0" w:after="200" w:line="336" w:lineRule="auto"/>
        <w:jc w:val="both"/>
      </w:pPr>
      <w:r>
        <w:rPr>
          <w:rFonts w:ascii="B Lotus" w:hAnsi="B Lotus" w:cs="B Lotus" w:eastAsia="B Lotus"/>
          <w:b w:val="0"/>
          <w:i w:val="0"/>
          <w:sz w:val="28"/>
          <w:szCs w:val="28"/>
        </w:rPr>
        <w:t>منطقش هم روشن است: دولت، شخصیتی حقوقی است که فقط از طریق ارکان انسانی‌اش عمل می‌کند؛ پس رفتار ارکان، رفتار خودِ دولت است. ملاک، «سمت رسمی» است؛ نه رتبه، نه قوه، نه انگیزه شخصی، نه ماهیت دینی یا دنیوی تصمیم. این اطلاقِ ملاک، برای مسئله من تعیین‌کننده است ـ چنان‌که در بند بعد می‌آید.</w:t>
      </w:r>
    </w:p>
    <w:p>
      <w:pPr>
        <w:pStyle w:val="TH-Body"/>
        <w:widowControl/>
        <w:bidi w:val="1"/>
        <w:spacing w:before="0" w:after="200" w:line="336" w:lineRule="auto"/>
        <w:ind w:firstLine="283"/>
        <w:jc w:val="both"/>
      </w:pPr>
      <w:r>
        <w:rPr>
          <w:rFonts w:ascii="B Lotus" w:hAnsi="B Lotus" w:cs="B Lotus" w:eastAsia="B Lotus"/>
          <w:b w:val="0"/>
          <w:i w:val="0"/>
          <w:sz w:val="28"/>
          <w:szCs w:val="28"/>
        </w:rPr>
        <w:t>سه تکمله مهم بر این قاعده هست که هر سه برای مسئله من کاربرد مستقیم دارند. تکمله اول (ماده ۷): حتی اگر رکن دولت «از حدود صلاحیتش تجاوز کرده» یا «برخلاف دستورات» عمل کرده باشد، رفتارش ـ اگر در سمت رسمی و با ابزار حکومتی انجام شده باشد ـ باز هم به دولت منتسب است.</w:t>
      </w:r>
      <w:r>
        <w:rPr>
          <w:rFonts w:ascii="B Lotus" w:hAnsi="B Lotus" w:cs="B Lotus" w:eastAsia="B Lotus"/>
          <w:b w:val="0"/>
          <w:i w:val="0"/>
          <w:sz w:val="28"/>
          <w:szCs w:val="28"/>
          <w:vertAlign w:val="superscript"/>
        </w:rPr>
        <w:footnoteReference w:id="98"/>
      </w:r>
      <w:r>
        <w:rPr>
          <w:rFonts w:ascii="B Lotus" w:hAnsi="B Lotus" w:cs="B Lotus" w:eastAsia="B Lotus"/>
          <w:b w:val="0"/>
          <w:i w:val="0"/>
          <w:sz w:val="28"/>
          <w:szCs w:val="28"/>
        </w:rPr>
        <w:t xml:space="preserve"> منطقش حمایت از اعتماد طرف‌های مقابل و ثبات روابط بین‌المللی است: دولت دیگر نمی‌تواند (و نباید) در صلاحیت‌های داخلی و سلسله‌مراتب اداری دولت طرف کندوکاو کند و حسن نیتش باید حمایت شود. تکمله دوم (ماده ۸): رفتار اشخاص یا گروه‌هایی که «تحت هدایت یا کنترل» دولت عمل می‌کنند هم منتسب است.</w:t>
      </w:r>
      <w:r>
        <w:rPr>
          <w:rFonts w:ascii="B Lotus" w:hAnsi="B Lotus" w:cs="B Lotus" w:eastAsia="B Lotus"/>
          <w:b w:val="0"/>
          <w:i w:val="0"/>
          <w:sz w:val="28"/>
          <w:szCs w:val="28"/>
          <w:vertAlign w:val="superscript"/>
        </w:rPr>
        <w:footnoteReference w:id="99"/>
      </w:r>
      <w:r>
        <w:rPr>
          <w:rFonts w:ascii="B Lotus" w:hAnsi="B Lotus" w:cs="B Lotus" w:eastAsia="B Lotus"/>
          <w:b w:val="0"/>
          <w:i w:val="0"/>
          <w:sz w:val="28"/>
          <w:szCs w:val="28"/>
        </w:rPr>
        <w:t xml:space="preserve"> و تکمله سوم (ماده ۱۱): حتی رفتار اشخاص خصوصی هم، هر وقت دولت آن را «تأیید و به‌مثابه عمل خودش بپذیرد»، به دولت منتسب می‌شود.</w:t>
      </w:r>
      <w:r>
        <w:rPr>
          <w:rFonts w:ascii="B Lotus" w:hAnsi="B Lotus" w:cs="B Lotus" w:eastAsia="B Lotus"/>
          <w:b w:val="0"/>
          <w:i w:val="0"/>
          <w:sz w:val="28"/>
          <w:szCs w:val="28"/>
          <w:vertAlign w:val="superscript"/>
        </w:rPr>
        <w:footnoteReference w:id="100"/>
      </w:r>
      <w:r>
        <w:rPr>
          <w:rFonts w:ascii="B Lotus" w:hAnsi="B Lotus" w:cs="B Lotus" w:eastAsia="B Lotus"/>
          <w:b w:val="0"/>
          <w:i w:val="0"/>
          <w:sz w:val="28"/>
          <w:szCs w:val="28"/>
        </w:rPr>
        <w:t xml:space="preserve"> دیوان در قضیه مشهور «کارکنان دیپلماتیک و کنسولی آمریکا در تهران» (۱۹۸۰) همین منطق را به کار بست و رفتار اشغال‌کنندگان سفارت را ـ که اولش عمل اشخاص خصوصی بود ـ به دلیل تأیید بعدی مقامات ایران، به دولت ایران منتسب دانست.</w:t>
      </w:r>
      <w:r>
        <w:rPr>
          <w:rFonts w:ascii="B Lotus" w:hAnsi="B Lotus" w:cs="B Lotus" w:eastAsia="B Lotus"/>
          <w:b w:val="0"/>
          <w:i w:val="0"/>
          <w:sz w:val="28"/>
          <w:szCs w:val="28"/>
          <w:vertAlign w:val="superscript"/>
        </w:rPr>
        <w:footnoteReference w:id="101"/>
      </w:r>
    </w:p>
    <w:p>
      <w:pPr>
        <w:pStyle w:val="TH-Band"/>
        <w:widowControl/>
        <w:bidi w:val="1"/>
        <w:spacing w:before="280" w:after="160" w:line="336" w:lineRule="auto"/>
        <w:jc w:val="right"/>
        <w:keepNext w:val="1"/>
      </w:pPr>
      <w:bookmarkStart w:id="137" w:name="_Toc000137"/>
      <w:r>
        <w:rPr>
          <w:rFonts w:ascii="B Traffic" w:hAnsi="B Traffic" w:cs="B Traffic" w:eastAsia="B Traffic"/>
          <w:b/>
          <w:i w:val="0"/>
          <w:sz w:val="28"/>
          <w:szCs w:val="28"/>
          <w:rtl/>
        </w:rPr>
        <w:t>بند دوم: تطبیق قاعده بر تصمیم ولی فقیه</w:t>
      </w:r>
      <w:bookmarkEnd w:id="137"/>
    </w:p>
    <w:p>
      <w:pPr>
        <w:pStyle w:val="TH-Body"/>
        <w:widowControl/>
        <w:bidi w:val="1"/>
        <w:spacing w:before="0" w:after="200" w:line="336" w:lineRule="auto"/>
        <w:jc w:val="both"/>
      </w:pPr>
      <w:r>
        <w:rPr>
          <w:rFonts w:ascii="B Lotus" w:hAnsi="B Lotus" w:cs="B Lotus" w:eastAsia="B Lotus"/>
          <w:b w:val="0"/>
          <w:i w:val="0"/>
          <w:sz w:val="28"/>
          <w:szCs w:val="28"/>
        </w:rPr>
        <w:t>تطبیق این قواعد بر مسئله من، قاطع و بی‌ابهام است و جای هیچ تردیدی باقی نمی‌گذارد. ولی فقیه، عالی‌ترین مقام دولت جمهوری اسلامی ایران است و تصمیمش درباره سرنوشت یک معاهده، بی‌تردید «رفتار رکن دولت در سمت رسمی» به حساب می‌آید. چهار نتیجه می‌گیرم که هرکدام پاسخی به یک توهم رایج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اول ـ در برابر توهم «فراقانونی بودن»: تصمیم ولی فقیه مبنی بر تعلیق یا نقض معاهده، به دولت ایران «منتسب» می‌شود؛ خواه در چارچوب صلاحیت‌های مصرح قانون اساسی باشد، خواه فراتر از آن. به مقتضای ماده ۷، تجاوز از صلاحیت داخلی مانع انتساب نیست. خیلی‌ها گمان می‌کنند اگر تصمیم «فراقانونی» باشد، دیگر به دولت منتسب نمی‌شود؛ دقیقاً برعکس است ـ هرچه تصمیم رسمی‌تر و حکومتی‌تر، انتسابش قطعی‌تر.</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دوم ـ در برابر توهم «تک‌مقامی بودن»: به طریق اولی، هر وقت سایر ارکان دولت (رئیس‌جمهور، وزیر خارجه، مجلس) تصمیم ولی فقیه را اجرا یا تأیید یا همراهی کنند، رفتار آن‌ها هم به دولت منتسب است و زنجیره انتساب، کامل و چندلایه می‌شود. پس حتی اگر ـ فرض محال ـ در انتسابِ تصمیمِ شخص ولی فقیه تردید شود، انتسابِ رفتارِ مجریان، تردیدناپذیر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سوم ـ در برابر توهم «شخصی بودن»: این استدلال که «تصمیم ولی فقیه تصمیم شخصی یا مذهبی اوست، نه تصمیم دولت»، در حقوق بین‌الملل خریداری ندارد و هیچ دادگاهی قبولش نمی‌کند؛ چون ملاک انتساب «سمت رسمی» است، نه انگیزه شخصی یا ماهیت دینی تصمیم. ولی فقیه در نظام ما در عالی‌ترین سمت رسمی نشسته و تصمیمش، رسمی‌ترین تصمیم ممکن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نتیجه چهارم ـ در برابر توهم «انکارپذیری»: حتی اگر ـ فرض محال ـ تصمیم ولی فقیه را عمل شخصی بشماریم، به محض این‌که دولت ایران آن را اجرا یا تأیید کند، به مقتضای ماده ۱۱ (تأیید و پذیرش بعدی) به دولت منتسب می‌شود؛ درست مثل چیزی که در قضیه گروگان‌ها رخ داد و ایران نتوانست از آن شانه خالی کند.</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این گفتار: رکن اول مسئولیت (انتساب) در مسئله ما به‌طور کامل و قطعی و چندلایه محقق است و هیچ راه گریزی از آن وجود ندارد. حالا پرسش بعدی این است که آیا رکن دوم (نقض تعهد) هم محقق می‌شود یا نه؛ و جوابش در گرو تفکیک دقیق سطوح تحلیل است که می‌رویم سراغش.</w:t>
      </w:r>
    </w:p>
    <w:p>
      <w:pPr>
        <w:pStyle w:val="TH-Goftar"/>
        <w:widowControl/>
        <w:bidi w:val="1"/>
        <w:spacing w:before="280" w:after="160" w:line="336" w:lineRule="auto"/>
        <w:jc w:val="right"/>
        <w:keepNext w:val="1"/>
        <w:shd w:val="clear" w:fill="EDEDED"/>
      </w:pPr>
      <w:bookmarkStart w:id="138" w:name="_Toc000138"/>
      <w:r>
        <w:rPr>
          <w:rFonts w:ascii="B Titr" w:hAnsi="B Titr" w:cs="B Titr" w:eastAsia="B Titr"/>
          <w:b/>
          <w:i w:val="0"/>
          <w:sz w:val="32"/>
          <w:szCs w:val="32"/>
          <w:rtl/>
        </w:rPr>
        <w:t>گفتار سوم: نقض تعهد و تفکیک سه‌گانه سطوح تحلیل</w:t>
      </w:r>
      <w:bookmarkEnd w:id="138"/>
    </w:p>
    <w:p>
      <w:pPr>
        <w:pStyle w:val="TH-Band"/>
        <w:widowControl/>
        <w:bidi w:val="1"/>
        <w:spacing w:before="280" w:after="160" w:line="336" w:lineRule="auto"/>
        <w:jc w:val="right"/>
        <w:keepNext w:val="1"/>
      </w:pPr>
      <w:bookmarkStart w:id="139" w:name="_Toc000139"/>
      <w:r>
        <w:rPr>
          <w:rFonts w:ascii="B Traffic" w:hAnsi="B Traffic" w:cs="B Traffic" w:eastAsia="B Traffic"/>
          <w:b/>
          <w:i w:val="0"/>
          <w:sz w:val="28"/>
          <w:szCs w:val="28"/>
          <w:rtl/>
        </w:rPr>
        <w:t>بند اول: تحقق نقض و اقسام آن</w:t>
      </w:r>
      <w:bookmarkEnd w:id="139"/>
    </w:p>
    <w:p>
      <w:pPr>
        <w:pStyle w:val="TH-Body"/>
        <w:widowControl/>
        <w:bidi w:val="1"/>
        <w:spacing w:before="0" w:after="200" w:line="336" w:lineRule="auto"/>
        <w:jc w:val="both"/>
      </w:pPr>
      <w:r>
        <w:rPr>
          <w:rFonts w:ascii="B Lotus" w:hAnsi="B Lotus" w:cs="B Lotus" w:eastAsia="B Lotus"/>
          <w:b w:val="0"/>
          <w:i w:val="0"/>
          <w:sz w:val="28"/>
          <w:szCs w:val="28"/>
        </w:rPr>
        <w:t>طبق ماده ۱۲ طرح، «نقض تعهد بین‌المللی وقتی رخ می‌دهد که رفتار دولت با آن‌چه تعهد از او می‌خواهد منطبق نباشد».</w:t>
      </w:r>
      <w:r>
        <w:rPr>
          <w:rFonts w:ascii="B Lotus" w:hAnsi="B Lotus" w:cs="B Lotus" w:eastAsia="B Lotus"/>
          <w:b w:val="0"/>
          <w:i w:val="0"/>
          <w:sz w:val="28"/>
          <w:szCs w:val="28"/>
          <w:vertAlign w:val="superscript"/>
        </w:rPr>
        <w:footnoteReference w:id="102"/>
      </w:r>
      <w:r>
        <w:rPr>
          <w:rFonts w:ascii="B Lotus" w:hAnsi="B Lotus" w:cs="B Lotus" w:eastAsia="B Lotus"/>
          <w:b w:val="0"/>
          <w:i w:val="0"/>
          <w:sz w:val="28"/>
          <w:szCs w:val="28"/>
        </w:rPr>
        <w:t xml:space="preserve"> ملاک، «عینی» و «تطبیقی» است: مقایسه رفتار دولت با متن تعهد؛ و انگیزه و حسن نیت و اضطرار داخلی و مجوز شرعی و قانونی دولت، در «تحقق» نقض هیچ نقشی ندارد ـ هرچند ممکن است در «رافع بودن» یا «تخفیف آثار» مؤثر باشد. پس هر وقت دولت ایران ـ به هر دلیلی، از جمله تصمیم ولی فقیه ـ از اجرای تعهد معاهده‌ای‌اش سرباز بزند، «نقض» محقق شده؛ مگر این‌که رفتارش در قالب یکی از نهادهای موجه (تعلیق موجه، خاتمه موجه، یا اسباب رافع وصف متخلفانه) بگنجد.</w:t>
      </w:r>
    </w:p>
    <w:p>
      <w:pPr>
        <w:pStyle w:val="TH-Body"/>
        <w:widowControl/>
        <w:bidi w:val="1"/>
        <w:spacing w:before="0" w:after="200" w:line="336" w:lineRule="auto"/>
        <w:ind w:firstLine="283"/>
        <w:jc w:val="both"/>
      </w:pPr>
      <w:r>
        <w:rPr>
          <w:rFonts w:ascii="B Lotus" w:hAnsi="B Lotus" w:cs="B Lotus" w:eastAsia="B Lotus"/>
          <w:b w:val="0"/>
          <w:i w:val="0"/>
          <w:sz w:val="28"/>
          <w:szCs w:val="28"/>
        </w:rPr>
        <w:t>طرح، اقسام نقض را هم از جهت زمانی تحلیل کرده: نقض ممکن است «آنی» باشد (مثل تصویب قانونی مغایر با تعهد)، «مستمر» باشد (مثل وضعیتی که هر لحظه استمرار می‌یابد)، یا «مرکب» باشد (مثل مجموعه اقداماتی که کنار هم نقض را می‌سازند).</w:t>
      </w:r>
      <w:r>
        <w:rPr>
          <w:rFonts w:ascii="B Lotus" w:hAnsi="B Lotus" w:cs="B Lotus" w:eastAsia="B Lotus"/>
          <w:b w:val="0"/>
          <w:i w:val="0"/>
          <w:sz w:val="28"/>
          <w:szCs w:val="28"/>
          <w:vertAlign w:val="superscript"/>
        </w:rPr>
        <w:footnoteReference w:id="103"/>
      </w:r>
      <w:r>
        <w:rPr>
          <w:rFonts w:ascii="B Lotus" w:hAnsi="B Lotus" w:cs="B Lotus" w:eastAsia="B Lotus"/>
          <w:b w:val="0"/>
          <w:i w:val="0"/>
          <w:sz w:val="28"/>
          <w:szCs w:val="28"/>
        </w:rPr>
        <w:t xml:space="preserve"> اهمیتش برای مسئله من این است که «تعلیق» معمولاً نقضی مستمر است ـ تا وقتی ادامه دارد، هر لحظه‌اش نقض تازه‌ای است، مگر این‌که موجه باشد ـ و همین استمرار در محاسبه خسارت و جبران اثر می‌گذارد. پس هرچه تعلیق طولانی‌تر، هزینه‌اش بیشتر؛ و این، دلیل دیگری بر ضابطه پنجم (موقت بودن)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این‌جا ماده ۲۷ کنوانسیون وین ـ که در فصل دوم گذشت ـ نقش قاطع و نهایی را بازی می‌کند: هیچ توجیه داخلی ـ از حکم حکومتی و مصلحت نظام و قانون اساسی تا احکام شرع ـ در برابر طرف مقابل پذیرفته نیست. و طرح هم همین منطق را در مرحله جبران تکرار کرده: دولت مسئول نمی‌تواند برای شانه خالی کردن از جبران خسارت به حقوق داخلی خودش استناد کند.</w:t>
      </w:r>
      <w:r>
        <w:rPr>
          <w:rFonts w:ascii="B Lotus" w:hAnsi="B Lotus" w:cs="B Lotus" w:eastAsia="B Lotus"/>
          <w:b w:val="0"/>
          <w:i w:val="0"/>
          <w:sz w:val="28"/>
          <w:szCs w:val="28"/>
          <w:vertAlign w:val="superscript"/>
        </w:rPr>
        <w:footnoteReference w:id="104"/>
      </w:r>
      <w:r>
        <w:rPr>
          <w:rFonts w:ascii="B Lotus" w:hAnsi="B Lotus" w:cs="B Lotus" w:eastAsia="B Lotus"/>
          <w:b w:val="0"/>
          <w:i w:val="0"/>
          <w:sz w:val="28"/>
          <w:szCs w:val="28"/>
        </w:rPr>
        <w:t xml:space="preserve"> این دو ماده (۲۷ وین و ۳۲ طرح)، دیوار بلندی میان «نظام داخلی» و «نظام بین‌المللی» می‌کشند و هر توهمی را درباره سرایت جواز داخلی به سطح بین‌المللی از بین می‌برند. این را باید با صدای بلند گفت، چون خیلی‌ها ـ حتی بعضی خواص ـ در همین نقطه دچار توهم‌اند و گمان می‌کنند چون تصمیم «شرعی» است، پس «بی‌هزینه» هم هست.</w:t>
      </w:r>
    </w:p>
    <w:p>
      <w:pPr>
        <w:pStyle w:val="TH-Band"/>
        <w:widowControl/>
        <w:bidi w:val="1"/>
        <w:spacing w:before="280" w:after="160" w:line="336" w:lineRule="auto"/>
        <w:jc w:val="right"/>
        <w:keepNext w:val="1"/>
      </w:pPr>
      <w:bookmarkStart w:id="140" w:name="_Toc000140"/>
      <w:r>
        <w:rPr>
          <w:rFonts w:ascii="B Traffic" w:hAnsi="B Traffic" w:cs="B Traffic" w:eastAsia="B Traffic"/>
          <w:b/>
          <w:i w:val="0"/>
          <w:sz w:val="28"/>
          <w:szCs w:val="28"/>
          <w:rtl/>
        </w:rPr>
        <w:t>بند دوم: تفکیک جواز فقهی، مشروعیت داخلی و مسئولیت بین‌المللی</w:t>
      </w:r>
      <w:bookmarkEnd w:id="140"/>
    </w:p>
    <w:p>
      <w:pPr>
        <w:pStyle w:val="TH-Body"/>
        <w:widowControl/>
        <w:bidi w:val="1"/>
        <w:spacing w:before="0" w:after="200" w:line="336" w:lineRule="auto"/>
        <w:jc w:val="both"/>
      </w:pPr>
      <w:r>
        <w:rPr>
          <w:rFonts w:ascii="B Lotus" w:hAnsi="B Lotus" w:cs="B Lotus" w:eastAsia="B Lotus"/>
          <w:b w:val="0"/>
          <w:i w:val="0"/>
          <w:sz w:val="28"/>
          <w:szCs w:val="28"/>
        </w:rPr>
        <w:t>از بحث بالا، مهم‌ترین و کاربردی‌ترین تفکیک تحلیلی این رساله درمی‌آید؛ تفکیکی که اگر خواننده فقط همین را از کل رساله ببرد، من راضی‌ام. سه پرسش را باید قاطعانه از هم جدا کرد، چون هرکدام مرجع داوری و معیار ارزیابی و جواب خاص خودشان را دارند و قاطی کردنشان منشأ خطاهای فاحش نظری و عملی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سطح اول، «جواز فقهی»: پرسشش این است که آیا عدول از نظر شرع جایز است؟ مرجع داوری‌اش فقه امامیه و ولی فقیه است؛ معیارش ادله شرعی و مصلحت واقعی است؛ و جوابش ـ چنان‌که در فصل چهارم مستدل شد ـ مثبتِ مقید است: بله، به‌صورت ضابطه‌مند و در چارچوب تزاحم و حکم حکومتی.</w:t>
      </w:r>
    </w:p>
    <w:p>
      <w:pPr>
        <w:pStyle w:val="TH-Body"/>
        <w:widowControl/>
        <w:bidi w:val="1"/>
        <w:spacing w:before="0" w:after="200" w:line="336" w:lineRule="auto"/>
        <w:ind w:firstLine="283"/>
        <w:jc w:val="both"/>
      </w:pPr>
      <w:r>
        <w:rPr>
          <w:rFonts w:ascii="B Lotus" w:hAnsi="B Lotus" w:cs="B Lotus" w:eastAsia="B Lotus"/>
          <w:b w:val="0"/>
          <w:i w:val="0"/>
          <w:sz w:val="28"/>
          <w:szCs w:val="28"/>
        </w:rPr>
        <w:t>سطح دوم، «مشروعیت داخلی»: پرسشش این است که آیا تصمیم در نظام حقوقی ایران معتبر و لازم‌الاتباع است؟ مرجع داوری‌اش قانون اساسی و نهادهای داخلی (مجلس، شورای نگهبان، قوه قضائیه) است؛ معیارش اصول قانون اساسی و سلسله‌مراتب هنجارهاست؛ و جوابش ـ چنان‌که در گفتار پنجم می‌آید ـ مثبتِ مشروط است: بله، در چارچوب اختیار ضمنی و ولایی و حکومتی.</w:t>
      </w:r>
    </w:p>
    <w:p>
      <w:pPr>
        <w:pStyle w:val="TH-Body"/>
        <w:widowControl/>
        <w:bidi w:val="1"/>
        <w:spacing w:before="0" w:after="200" w:line="336" w:lineRule="auto"/>
        <w:ind w:firstLine="283"/>
        <w:jc w:val="both"/>
      </w:pPr>
      <w:r>
        <w:rPr>
          <w:rFonts w:ascii="B Lotus" w:hAnsi="B Lotus" w:cs="B Lotus" w:eastAsia="B Lotus"/>
          <w:b w:val="0"/>
          <w:i w:val="0"/>
          <w:sz w:val="28"/>
          <w:szCs w:val="28"/>
        </w:rPr>
        <w:t>و سطح سوم، «مسئولیت بین‌المللی»: پرسشش این است که آیا تصمیم در برابر دولت‌های دیگر و در نظام حقوق بین‌الملل مسئولیت می‌آورد؟ مرجع داوری‌اش حقوق بین‌الملل و مراجع بین‌المللی (دیوان، داوری، شورای امنیت) است؛ معیارش متن معاهده و عرف بین‌المللی و اسباب رافع است؛ و جوابش مثبتِ بالقوه است: بله، تصمیم منتسب می‌شود و اگر سبب رافعی نباشد، مسئولیت‌آور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این تفکیک سه‌گانه، جواب یک خلط رایج و خطرناک است. بعضی گمان می‌کنند چون تصمیم ولی فقیه «شرعاً جایز» و «قانوناً معتبر» است، پس «بین‌المللاً» هم بی‌هزینه و بی‌مسئولیت است ـ و بعد وقتی هزینه‌ها آوار می‌شود، غافلگیر می‌شوند و به زمین و زمان بد می‌گویند. و بعضی دیگر گمان می‌کنند چون تصمیم «بین‌المللاً مسئولیت‌آور» است، پس «شرعاً» هم ناروا و نامشروع است ـ و بعد حکمی را که شرعاً واجب بوده، زیر سؤال می‌برند. هر دو گمان ناشی از خلط سطوح است و هر دو باطل‌اند. حقیقت این است که این سه سطح «مستقل‌اند»: جواز فقهی نه نافی مسئولیت بین‌المللی است نه مقتضی آن؛ و مسئولیت بین‌المللی نه نافی جواز فقهی است نه مقتضی آن.</w:t>
      </w:r>
    </w:p>
    <w:p>
      <w:pPr>
        <w:pStyle w:val="TH-Body"/>
        <w:widowControl/>
        <w:bidi w:val="1"/>
        <w:spacing w:before="0" w:after="200" w:line="336" w:lineRule="auto"/>
        <w:ind w:firstLine="283"/>
        <w:jc w:val="both"/>
      </w:pPr>
      <w:r>
        <w:rPr>
          <w:rFonts w:ascii="B Lotus" w:hAnsi="B Lotus" w:cs="B Lotus" w:eastAsia="B Lotus"/>
          <w:b w:val="0"/>
          <w:i w:val="0"/>
          <w:sz w:val="28"/>
          <w:szCs w:val="28"/>
        </w:rPr>
        <w:t>حاکم عاقل و بصیر، هر سه سطح را با هم می‌سنجد و هزینه بین‌المللی را در محاسبه مصلحت لحاظ می‌کند (ضابطه هشتم)؛ ولی وجود هزینه به‌تنهایی، مجوز شرعی را باطل نمی‌کند، همان‌طور که مجوز شرعی هم هزینه را از بین نمی‌برد. هنر حکمرانی در این نقطه، «مدیریت هم‌زمان هر سه سطح» است: تصمیمی که هم شرعی باشد، هم قانونی باشد، و هم کم‌هزینه‌ترین صورت ممکن را در سطح بین‌المللی داشته باشد. این جمله آخر را می‌شود در یک کلام خلاصه کرد: عقلانیت حکومتی. و اگر بخواهم کل این رساله را در یک جمله خلاصه کنم، همین است: عقلانیت حکومتی در مدیریت سه سطح.</w:t>
      </w:r>
    </w:p>
    <w:p>
      <w:pPr>
        <w:pStyle w:val="TH-Goftar"/>
        <w:widowControl/>
        <w:bidi w:val="1"/>
        <w:spacing w:before="280" w:after="160" w:line="336" w:lineRule="auto"/>
        <w:jc w:val="right"/>
        <w:keepNext w:val="1"/>
        <w:shd w:val="clear" w:fill="EDEDED"/>
      </w:pPr>
      <w:bookmarkStart w:id="141" w:name="_Toc000141"/>
      <w:r>
        <w:rPr>
          <w:rFonts w:ascii="B Titr" w:hAnsi="B Titr" w:cs="B Titr" w:eastAsia="B Titr"/>
          <w:b/>
          <w:i w:val="0"/>
          <w:sz w:val="32"/>
          <w:szCs w:val="32"/>
          <w:rtl/>
        </w:rPr>
        <w:t>گفتار چهارم: اسباب رافع، آثار مسئولیت و راهبردهای کاهش آن</w:t>
      </w:r>
      <w:bookmarkEnd w:id="141"/>
    </w:p>
    <w:p>
      <w:pPr>
        <w:pStyle w:val="TH-Band"/>
        <w:widowControl/>
        <w:bidi w:val="1"/>
        <w:spacing w:before="280" w:after="160" w:line="336" w:lineRule="auto"/>
        <w:jc w:val="right"/>
        <w:keepNext w:val="1"/>
      </w:pPr>
      <w:bookmarkStart w:id="142" w:name="_Toc000142"/>
      <w:r>
        <w:rPr>
          <w:rFonts w:ascii="B Traffic" w:hAnsi="B Traffic" w:cs="B Traffic" w:eastAsia="B Traffic"/>
          <w:b/>
          <w:i w:val="0"/>
          <w:sz w:val="28"/>
          <w:szCs w:val="28"/>
          <w:rtl/>
        </w:rPr>
        <w:t>بند اول: اسباب رافع وصف متخلفانه</w:t>
      </w:r>
      <w:bookmarkEnd w:id="142"/>
    </w:p>
    <w:p>
      <w:pPr>
        <w:pStyle w:val="TH-Body"/>
        <w:widowControl/>
        <w:bidi w:val="1"/>
        <w:spacing w:before="0" w:after="200" w:line="336" w:lineRule="auto"/>
        <w:jc w:val="both"/>
      </w:pPr>
      <w:r>
        <w:rPr>
          <w:rFonts w:ascii="B Lotus" w:hAnsi="B Lotus" w:cs="B Lotus" w:eastAsia="B Lotus"/>
          <w:b w:val="0"/>
          <w:i w:val="0"/>
          <w:sz w:val="28"/>
          <w:szCs w:val="28"/>
        </w:rPr>
        <w:t>حقوق بین‌الملل در کنار نهادهای تعلیق و خاتمه موجه (که در فصل دوم گذشت)، «اسباب رافع وصف متخلفانه» را هم پیش‌بینی کرده: مواردی که در آن‌ها رفتارِ ظاهراً مغایر با تعهد، «متخلفانه» به حساب نمی‌آید و مسئولیت منتفی می‌شود. مهم‌ترینشان در فصل پنجم از بخش یکم طرح عبارت‌اند از: رضایت دولت زیان‌دیده (ماده ۲۰)، دفاع مشروع (ماده ۲۱)، اقدام متقابل (ماده ۲۲)، فورس‌ماژور (ماده ۲۳)، پریشانی (ماده ۲۴) و ضرورت (ماده ۲۵).</w:t>
      </w:r>
      <w:r>
        <w:rPr>
          <w:rFonts w:ascii="B Lotus" w:hAnsi="B Lotus" w:cs="B Lotus" w:eastAsia="B Lotus"/>
          <w:b w:val="0"/>
          <w:i w:val="0"/>
          <w:sz w:val="28"/>
          <w:szCs w:val="28"/>
          <w:vertAlign w:val="superscript"/>
        </w:rPr>
        <w:footnoteReference w:id="105"/>
      </w:r>
    </w:p>
    <w:p>
      <w:pPr>
        <w:pStyle w:val="TH-Body"/>
        <w:widowControl/>
        <w:bidi w:val="1"/>
        <w:spacing w:before="0" w:after="200" w:line="336" w:lineRule="auto"/>
        <w:ind w:firstLine="283"/>
        <w:jc w:val="both"/>
      </w:pPr>
      <w:r>
        <w:rPr>
          <w:rFonts w:ascii="B Lotus" w:hAnsi="B Lotus" w:cs="B Lotus" w:eastAsia="B Lotus"/>
          <w:b w:val="0"/>
          <w:i w:val="0"/>
          <w:sz w:val="28"/>
          <w:szCs w:val="28"/>
        </w:rPr>
        <w:t>از میان این‌ها، سه‌تا برای مسئله من مهم‌تر است و هر سه را جداگانه می‌گویم. یکم، «ضرورت» (ماده ۲۵): دولت می‌تواند برای «صیانت از منفعتی اساسی در برابر خطری شدید و قریب‌الوقوع» و در صورتی که رفتارش «تنها راه» چاره باشد، از تعهدش عدول کند؛ مشروط به این‌که به منفعت اساسی دولت دیگر یا جامعه بین‌المللی لطمه شدید نزند، تعهدِ مورد نظر استناد به ضرورت را منتفی نکرده باشد، و خودِ دولت در ساختن وضعیت اضطراری سهمی نداشته باشد.</w:t>
      </w:r>
      <w:r>
        <w:rPr>
          <w:rFonts w:ascii="B Lotus" w:hAnsi="B Lotus" w:cs="B Lotus" w:eastAsia="B Lotus"/>
          <w:b w:val="0"/>
          <w:i w:val="0"/>
          <w:sz w:val="28"/>
          <w:szCs w:val="28"/>
          <w:vertAlign w:val="superscript"/>
        </w:rPr>
        <w:footnoteReference w:id="106"/>
      </w:r>
      <w:r>
        <w:rPr>
          <w:rFonts w:ascii="B Lotus" w:hAnsi="B Lotus" w:cs="B Lotus" w:eastAsia="B Lotus"/>
          <w:b w:val="0"/>
          <w:i w:val="0"/>
          <w:sz w:val="28"/>
          <w:szCs w:val="28"/>
        </w:rPr>
        <w:t xml:space="preserve"> دیوان در قضیه گابچیکوو این شرایط را بسیار مضیق تفسیر کرد و نشان داد که استناد موفق به ضرورت، امری استثنایی و نادر است. نسبت این نهاد با «مصلحت» فقهی ـ چنان‌که در فصل اول گفتم ـ عموم و خصوص من‌وجه است: هر ضرورتِ ماده ۲۵، مصلحت است، ولی هر مصلحتی، ضرورتِ ماده ۲۵ نیست؛ چون آستانه ماده ۲۵ («خطر شدید و قریب‌الوقوع» و «تنها راه») خیلی بالاتر از آستانه مصلحت فقهی (اهم بودن واقعی) است. نتیجه عملی و مهمش: مصلحتی که از نظر فقهی مجوز عدول است، لزوماً در سطح بین‌المللی رافع مسئولیت نیست؛ و این، دقیق‌ترین جلوه تفکیک سه‌گانه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دوم، «اقدام متقابل»: هر وقت یک طرف تعهدش را نقض کند، طرف زیان‌دیده می‌تواند ـ با رعایت شرایطی مثل تناسب و اعلام قبلی و دعوت به مذاکره و موقت بودن ـ از اجرای تعهدات متقابلش در برابر دولت ناقض خودداری کند.</w:t>
      </w:r>
      <w:r>
        <w:rPr>
          <w:rFonts w:ascii="B Lotus" w:hAnsi="B Lotus" w:cs="B Lotus" w:eastAsia="B Lotus"/>
          <w:b w:val="0"/>
          <w:i w:val="0"/>
          <w:sz w:val="28"/>
          <w:szCs w:val="28"/>
          <w:vertAlign w:val="superscript"/>
        </w:rPr>
        <w:footnoteReference w:id="107"/>
      </w:r>
      <w:r>
        <w:rPr>
          <w:rFonts w:ascii="B Lotus" w:hAnsi="B Lotus" w:cs="B Lotus" w:eastAsia="B Lotus"/>
          <w:b w:val="0"/>
          <w:i w:val="0"/>
          <w:sz w:val="28"/>
          <w:szCs w:val="28"/>
        </w:rPr>
        <w:t xml:space="preserve"> این نهاد، پشتوانه حقوقی «عدول واکنشی» (صورت چهارم طیف من) است و نشان می‌دهد که حقوق بین‌الملل هم منطق «تقابل» ـ شبیه منطق توبه/۷ ـ را پذیرفته؛ هرچند با شرایط شکلیِ سخت‌گیرانه‌ای که رعایتشان برای موجه بودن اقدام، ضروری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سوم، «فورس‌ماژور» (ماده ۲۳): هر وقت اجرای تعهد به خاطر «نیروی قاهره» ـ رویداد غیرقابل پیش‌بینی و خارج از کنترل دولت، مثل بلایای طبیعی یا جنگ تحمیلی ـ ناممکن شود، وصف متخلفانه منتفی می‌گردد؛ مشروط به این‌که خودِ دولت در ساختن وضعیت سهمی نداشته باشد.</w:t>
      </w:r>
      <w:r>
        <w:rPr>
          <w:rFonts w:ascii="B Lotus" w:hAnsi="B Lotus" w:cs="B Lotus" w:eastAsia="B Lotus"/>
          <w:b w:val="0"/>
          <w:i w:val="0"/>
          <w:sz w:val="28"/>
          <w:szCs w:val="28"/>
          <w:vertAlign w:val="superscript"/>
        </w:rPr>
        <w:footnoteReference w:id="108"/>
      </w:r>
    </w:p>
    <w:p>
      <w:pPr>
        <w:pStyle w:val="TH-Body"/>
        <w:widowControl/>
        <w:bidi w:val="1"/>
        <w:spacing w:before="0" w:after="200" w:line="336" w:lineRule="auto"/>
        <w:ind w:firstLine="283"/>
        <w:jc w:val="both"/>
      </w:pPr>
      <w:r>
        <w:rPr>
          <w:rFonts w:ascii="B Lotus" w:hAnsi="B Lotus" w:cs="B Lotus" w:eastAsia="B Lotus"/>
          <w:b w:val="0"/>
          <w:i w:val="0"/>
          <w:sz w:val="28"/>
          <w:szCs w:val="28"/>
        </w:rPr>
        <w:t>سقف همه این اسباب هم ماده ۲۶ است: هیچ‌کدامشان در برابر نقض «قواعد آمره» (مثل منع تجاوز و نسل‌کشی و جنایت علیه بشریت) قابل استناد نیست.</w:t>
      </w:r>
      <w:r>
        <w:rPr>
          <w:rFonts w:ascii="B Lotus" w:hAnsi="B Lotus" w:cs="B Lotus" w:eastAsia="B Lotus"/>
          <w:b w:val="0"/>
          <w:i w:val="0"/>
          <w:sz w:val="28"/>
          <w:szCs w:val="28"/>
          <w:vertAlign w:val="superscript"/>
        </w:rPr>
        <w:footnoteReference w:id="109"/>
      </w:r>
      <w:r>
        <w:rPr>
          <w:rFonts w:ascii="B Lotus" w:hAnsi="B Lotus" w:cs="B Lotus" w:eastAsia="B Lotus"/>
          <w:b w:val="0"/>
          <w:i w:val="0"/>
          <w:sz w:val="28"/>
          <w:szCs w:val="28"/>
        </w:rPr>
        <w:t xml:space="preserve"> این همان «ضابطه هفتم» فصل چهارم است به زبان حقوق بین‌الملل؛ و نشان می‌دهد که سقفِ اختیار در هر دو نظام ـ فقهی و بین‌المللی ـ پذیرفته شده. وقتی دو نظام مستقل به یک سقف می‌رسند، آدم اطمینانش بیشتر می‌شود که راه را درست رفته؛ چون حقیقت، یکی است و هرکس از هر راهی به آن برسد، به همان‌جا می‌رسد.</w:t>
      </w:r>
    </w:p>
    <w:p>
      <w:pPr>
        <w:pStyle w:val="TH-Band"/>
        <w:widowControl/>
        <w:bidi w:val="1"/>
        <w:spacing w:before="280" w:after="160" w:line="336" w:lineRule="auto"/>
        <w:jc w:val="right"/>
        <w:keepNext w:val="1"/>
      </w:pPr>
      <w:bookmarkStart w:id="143" w:name="_Toc000143"/>
      <w:r>
        <w:rPr>
          <w:rFonts w:ascii="B Traffic" w:hAnsi="B Traffic" w:cs="B Traffic" w:eastAsia="B Traffic"/>
          <w:b/>
          <w:i w:val="0"/>
          <w:sz w:val="28"/>
          <w:szCs w:val="28"/>
          <w:rtl/>
        </w:rPr>
        <w:t>بند دوم: آثار مسئولیت؛ توقف، جبران و حل‌وفصل اختلاف</w:t>
      </w:r>
      <w:bookmarkEnd w:id="143"/>
    </w:p>
    <w:p>
      <w:pPr>
        <w:pStyle w:val="TH-Body"/>
        <w:widowControl/>
        <w:bidi w:val="1"/>
        <w:spacing w:before="0" w:after="200" w:line="336" w:lineRule="auto"/>
        <w:jc w:val="both"/>
      </w:pPr>
      <w:r>
        <w:rPr>
          <w:rFonts w:ascii="B Lotus" w:hAnsi="B Lotus" w:cs="B Lotus" w:eastAsia="B Lotus"/>
          <w:b w:val="0"/>
          <w:i w:val="0"/>
          <w:sz w:val="28"/>
          <w:szCs w:val="28"/>
        </w:rPr>
        <w:t>هر وقت نقضی رخ بدهد و سبب رافعی هم در کار نباشد، آثارش روی دولت مسئول آوار می‌شود: یکم، «توقف» رفتار متخلفانه و ارائه «تضمین‌های عدم تکرار» در صورت اقتضا (ماده ۳۰). دوم، «جبران کامل» خسارت‌های وارده (ماده ۳۱) در سه صورت: «اعاده وضع به حال سابق» (برگرداندن وضعیت به حالت قبل از نقض)، «غرامت مالی» (پرداخت معادل مالی خسارت‌های قابل ارزیابی) و «جلب رضایت» (اقداماتی مثل عذرخواهی رسمی و ابراز تأسف و محکومیت رفتار).</w:t>
      </w:r>
      <w:r>
        <w:rPr>
          <w:rFonts w:ascii="B Lotus" w:hAnsi="B Lotus" w:cs="B Lotus" w:eastAsia="B Lotus"/>
          <w:b w:val="0"/>
          <w:i w:val="0"/>
          <w:sz w:val="28"/>
          <w:szCs w:val="28"/>
          <w:vertAlign w:val="superscript"/>
        </w:rPr>
        <w:footnoteReference w:id="110"/>
      </w:r>
      <w:r>
        <w:rPr>
          <w:rFonts w:ascii="B Lotus" w:hAnsi="B Lotus" w:cs="B Lotus" w:eastAsia="B Lotus"/>
          <w:b w:val="0"/>
          <w:i w:val="0"/>
          <w:sz w:val="28"/>
          <w:szCs w:val="28"/>
        </w:rPr>
        <w:t xml:space="preserve"> این آثار «خودکار» نیستند ـ یعنی نیازمند مطالبه دولت زیان‌دیده و طی فرایند حل اختلاف‌اند ـ ولی «بالقوه» همیشه هستند و حاکم عاقل باید آن‌ها را ـ با برآورد تقریبی ـ در محاسبه مصلحت لحاظ کند (ضابطه هشتم). این‌جا همان جایی است که فقه و حقوق بین‌الملل دست در دست هم می‌دهند: محاسبه مصلحت بدون دانستن آثار، محاسبه ناقص است؛ و تصمیمِ مبتنی بر محاسبه ناقص، تصمیمِ ناپخته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در فرض «تعلیق یا خاتمه موجه» هم آثاری هست که باید دانسته شود: طبق ماده ۷۰ وین، خاتمه اطراف را از «اجرای آتی» معاف می‌کند، ولی بر «حقوق و وضعیت‌های پیش از خاتمه» و «تعهدات مندرج برای دوران پس از خاتمه» اثری ندارد؛ و طبق ماده ۷۲، در مدت تعلیق اطراف از اجرای متقابل معاف‌اند، ولی باید از کارهایی که مانع ازسرگیری اجراست خودداری کنند و روابط حقوقیِ پایه محفوظ می‌ماند.</w:t>
      </w:r>
      <w:r>
        <w:rPr>
          <w:rFonts w:ascii="B Lotus" w:hAnsi="B Lotus" w:cs="B Lotus" w:eastAsia="B Lotus"/>
          <w:b w:val="0"/>
          <w:i w:val="0"/>
          <w:sz w:val="28"/>
          <w:szCs w:val="28"/>
          <w:vertAlign w:val="superscript"/>
        </w:rPr>
        <w:footnoteReference w:id="111"/>
      </w:r>
      <w:r>
        <w:rPr>
          <w:rFonts w:ascii="B Lotus" w:hAnsi="B Lotus" w:cs="B Lotus" w:eastAsia="B Lotus"/>
          <w:b w:val="0"/>
          <w:i w:val="0"/>
          <w:sz w:val="28"/>
          <w:szCs w:val="28"/>
        </w:rPr>
        <w:t xml:space="preserve"> نتیجه مهمش: حتی عدولِ موجه هم «بی‌هزینه» نیست و آثار گذشته و تکالیف دوره تعلیق سر جایش می‌ماند؛ و این، دلیل دیگری است بر لزوم محاسبه همه‌جانبه قبل از تصمیم. هیچ تصمیمی در این حوزه مجانی نیست؛ سؤال فقط این است که هزینه‌اش چقدر است و آیا می‌ارزد یا نه. و جواب این سؤال، همان محاسبه مصلحت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اختلافات ناشی از مسئولیت هم از مجاری حل‌وفصل مسالمت‌آمیز پیگیری می‌شود: مذاکره مستقیم، میانجیگری، سازش، داوری بین‌المللی، دادرسی در دیوان (با رضایت اطراف)، و در موارد تهدید صلح و امنیت، شورای امنیت. شناخت این مجاری برای تصمیم‌گیر ضروری است؛ چون انتخاب راهبرد حقوقیِ بعد از عدول (مذاکره، دفاع، یا سازش) خودش بخشی از مدیریت آثار تصمیم است و نباید به بعد موکول شود. تصمیم‌گیرِ عاقل، قبل از این‌که قدم اول را بردارد، قدم‌های بعدی را هم طراحی کرده.</w:t>
      </w:r>
    </w:p>
    <w:p>
      <w:pPr>
        <w:pStyle w:val="TH-Band"/>
        <w:widowControl/>
        <w:bidi w:val="1"/>
        <w:spacing w:before="280" w:after="160" w:line="336" w:lineRule="auto"/>
        <w:jc w:val="right"/>
        <w:keepNext w:val="1"/>
      </w:pPr>
      <w:bookmarkStart w:id="144" w:name="_Toc000144"/>
      <w:r>
        <w:rPr>
          <w:rFonts w:ascii="B Traffic" w:hAnsi="B Traffic" w:cs="B Traffic" w:eastAsia="B Traffic"/>
          <w:b/>
          <w:i w:val="0"/>
          <w:sz w:val="28"/>
          <w:szCs w:val="28"/>
          <w:rtl/>
        </w:rPr>
        <w:t>بند سوم: راهبردهای حقوقی کاهش مسئولیت</w:t>
      </w:r>
      <w:bookmarkEnd w:id="144"/>
    </w:p>
    <w:p>
      <w:pPr>
        <w:pStyle w:val="TH-Body"/>
        <w:widowControl/>
        <w:bidi w:val="1"/>
        <w:spacing w:before="0" w:after="200" w:line="336" w:lineRule="auto"/>
        <w:jc w:val="both"/>
      </w:pPr>
      <w:r>
        <w:rPr>
          <w:rFonts w:ascii="B Lotus" w:hAnsi="B Lotus" w:cs="B Lotus" w:eastAsia="B Lotus"/>
          <w:b w:val="0"/>
          <w:i w:val="0"/>
          <w:sz w:val="28"/>
          <w:szCs w:val="28"/>
        </w:rPr>
        <w:t>مسئولیت بین‌المللی، سرنوشت محتوم هر عدولی نیست؛ حقوق بین‌الملل ابزارهایی برای «مدیریت حقوقی» عدول پیش‌بینی کرده که حاکم عاقل و آینده‌نگر باید از پیش ـ از مرحله انعقاد تا مرحله اجرا ـ از آن‌ها استفاده کند. مهم‌ترینشان پنج‌تاست و هر پنج‌تا را از این جهت می‌گویم که رساله من فقط تحلیل نظری نباشد و دست تصمیم‌گیر را هم بگیرد:</w:t>
      </w:r>
    </w:p>
    <w:p>
      <w:pPr>
        <w:pStyle w:val="TH-Body"/>
        <w:widowControl/>
        <w:bidi w:val="1"/>
        <w:spacing w:before="0" w:after="200" w:line="336" w:lineRule="auto"/>
        <w:ind w:firstLine="283"/>
        <w:jc w:val="both"/>
      </w:pPr>
      <w:r>
        <w:rPr>
          <w:rFonts w:ascii="B Lotus" w:hAnsi="B Lotus" w:cs="B Lotus" w:eastAsia="B Lotus"/>
          <w:b w:val="0"/>
          <w:i w:val="0"/>
          <w:sz w:val="28"/>
          <w:szCs w:val="28"/>
        </w:rPr>
        <w:t>راهبرد اول، «حق شرط»: طبق مواد ۱۹ تا ۲۳ وین، دولت می‌تواند هنگام پذیرش معاهده چندجانبه با اعلام حق شرط، اثر حقوقی بعضی مقررات را نسبت به خودش منتفی یا محدود کند؛ مشروط به این‌که حق شرط در معاهده ممنوع نشده و با موضوع و هدفش ناسازگار نباشد.</w:t>
      </w:r>
      <w:r>
        <w:rPr>
          <w:rFonts w:ascii="B Lotus" w:hAnsi="B Lotus" w:cs="B Lotus" w:eastAsia="B Lotus"/>
          <w:b w:val="0"/>
          <w:i w:val="0"/>
          <w:sz w:val="28"/>
          <w:szCs w:val="28"/>
          <w:vertAlign w:val="superscript"/>
        </w:rPr>
        <w:footnoteReference w:id="112"/>
      </w:r>
      <w:r>
        <w:rPr>
          <w:rFonts w:ascii="B Lotus" w:hAnsi="B Lotus" w:cs="B Lotus" w:eastAsia="B Lotus"/>
          <w:b w:val="0"/>
          <w:i w:val="0"/>
          <w:sz w:val="28"/>
          <w:szCs w:val="28"/>
        </w:rPr>
        <w:t xml:space="preserve"> هرچند حق شرط مال مرحله پذیرش است نه اجرا، ولی استفاده هوشمندانه از آن هنگام انعقاد، نیاز به عدول بعدی را به حداقل می‌رساند؛ و به همین خاطر بخشی از «حقوق پیشگیرانه» است. خیلی از دردسرهای بعدی، ریشه در غفلت‌های مرحله انعقاد دارد ـ و این درسی است که باید در دانشکده‌های حقوق و وزارت خارجه تدریس شود.</w:t>
      </w:r>
    </w:p>
    <w:p>
      <w:pPr>
        <w:pStyle w:val="TH-Body"/>
        <w:widowControl/>
        <w:bidi w:val="1"/>
        <w:spacing w:before="0" w:after="200" w:line="336" w:lineRule="auto"/>
        <w:ind w:firstLine="283"/>
        <w:jc w:val="both"/>
      </w:pPr>
      <w:r>
        <w:rPr>
          <w:rFonts w:ascii="B Lotus" w:hAnsi="B Lotus" w:cs="B Lotus" w:eastAsia="B Lotus"/>
          <w:b w:val="0"/>
          <w:i w:val="0"/>
          <w:sz w:val="28"/>
          <w:szCs w:val="28"/>
        </w:rPr>
        <w:t>راهبرد دوم، «اعلامیه تفسیری»: دولت می‌تواند با صدور اعلامیه رسمی، تفسیر خودش از مقررات معاهده را ثبت کند و جلوی تفسیرهای موسع و یک‌جانبه بعدیِ طرف مقابل یا مراجع بین‌المللی را بگیرد. هرچند اثر حق شرط را ندارد، ولی در فرایند تفسیر (مواد ۳۱ و ۳۲ وین) مؤثر است و دست‌کم سندی است که نشان می‌دهد دولت از اول چه فهمی داشته؛ و همین سند، در روز اختلاف، به کار می‌آید.</w:t>
      </w:r>
    </w:p>
    <w:p>
      <w:pPr>
        <w:pStyle w:val="TH-Body"/>
        <w:widowControl/>
        <w:bidi w:val="1"/>
        <w:spacing w:before="0" w:after="200" w:line="336" w:lineRule="auto"/>
        <w:ind w:firstLine="283"/>
        <w:jc w:val="both"/>
      </w:pPr>
      <w:r>
        <w:rPr>
          <w:rFonts w:ascii="B Lotus" w:hAnsi="B Lotus" w:cs="B Lotus" w:eastAsia="B Lotus"/>
          <w:b w:val="0"/>
          <w:i w:val="0"/>
          <w:sz w:val="28"/>
          <w:szCs w:val="28"/>
        </w:rPr>
        <w:t>راهبرد سوم، «شرط‌گذاری در متن»: گنجاندن شرط بازنگری دوره‌ای و شرط خاتمه با اطلاع قبلی و شرط تعلیق در شرایط خاص و سازوکار حل اختلاف در متن معاهده، عدول آینده را از «نقض» به «اعمال حق قراردادی» بدل می‌کند. این همان مقتضای ضابطه دوم فصل چهارم (تقدم راه‌های حقوقی مندرج) و به نظر من مهم‌ترین توصیه عملی این رساله به مذاکره‌کنندگان است. مذاکره‌کننده‌ای که این شرط‌ها را در متن نگنجاند، در واقع دست حاکم آینده را بسته است؛ و این، خیانتی است که اثرش سال‌ها بعد ظاهر 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راهبرد چهارم، «تعلیق توافقی و مذاکره مجدد»: قبل از هر اقدام یک‌جانبه، پیشنهاد مذاکره مجدد یا تعلیق توافقی به طرف مقابل، هم از نظر حقوق بین‌الملل (اصل حل‌وفصل مسالمت‌آمیز و حسن نیت) و هم از نظر فقهی (اصل حزم و احتیاط و تقدم راه کم‌هزینه‌تر) مقدم و لازم است. اقدام یک‌جانبه‌ای که بعد از ناکامیِ مستندِ مذاکره انجام شود، هم وجاهت حقوقی بیشتری دارد هم وجاهت شرعی بیشتری؛ و سند ناکامی مذاکره، خودش بخشی از پرونده دفاعی دولت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راهبرد پنجم، «مستندسازی و شفافیت»: مستند کردن تصمیم و اعلام آشکار و مستدل آن و استناد به اسباب حقوقی پذیرفته‌شده، هرچند مسئولیت را کاملاً منتفی نمی‌کند، ولی در ارزیابی مراجع بین‌المللی و افکار عمومی جهانی و امکان بازگشت به اجرا و سازش بعدی مؤثر است؛ و با ضابطه ششم (انباذ علی سواء) هم هم‌خوان کامل دارد. دولتی که شفاف و مستدل عمل می‌کند، حتی اگر محکوم شود، جور دیگری محکوم می‌شود تا دولتی که پنهانی و بی‌توضیح عمل کرده. شفافیت، هزینه محکومیت را هم کم می‌کند.</w:t>
      </w:r>
    </w:p>
    <w:p>
      <w:pPr>
        <w:pStyle w:val="TH-Band"/>
        <w:widowControl/>
        <w:bidi w:val="1"/>
        <w:spacing w:before="280" w:after="160" w:line="336" w:lineRule="auto"/>
        <w:jc w:val="right"/>
        <w:keepNext w:val="1"/>
      </w:pPr>
      <w:bookmarkStart w:id="145" w:name="_Toc000145"/>
      <w:r>
        <w:rPr>
          <w:rFonts w:ascii="B Traffic" w:hAnsi="B Traffic" w:cs="B Traffic" w:eastAsia="B Traffic"/>
          <w:b/>
          <w:i w:val="0"/>
          <w:sz w:val="28"/>
          <w:szCs w:val="28"/>
          <w:rtl/>
        </w:rPr>
        <w:t>بند چهارم: شرایط اقدام متقابل و جبران در رویه</w:t>
      </w:r>
      <w:bookmarkEnd w:id="145"/>
    </w:p>
    <w:p>
      <w:pPr>
        <w:pStyle w:val="TH-Body"/>
        <w:widowControl/>
        <w:bidi w:val="1"/>
        <w:spacing w:before="0" w:after="200" w:line="336" w:lineRule="auto"/>
        <w:jc w:val="both"/>
      </w:pPr>
      <w:r>
        <w:rPr>
          <w:rFonts w:ascii="B Lotus" w:hAnsi="B Lotus" w:cs="B Lotus" w:eastAsia="B Lotus"/>
          <w:b w:val="0"/>
          <w:i w:val="0"/>
          <w:sz w:val="28"/>
          <w:szCs w:val="28"/>
        </w:rPr>
        <w:t>اقدام متقابل ـ که در بند اول گذشت ـ نه حقی بی‌قیدوشرط، که نهادی مهارشده با شرایط سخت است؛ و دانستن این شرایط برای تصمیم‌گیر ایرانی حیاتی است، چون عدول واکنشیِ ما (صورت چهارم طیف) فقط در صورت رعایتشان «موجه» است. طرح مواد در مواد ۴۹ تا ۵۴ این شرایط را برشمرده که مهم‌ترینشان پنج‌تاست: یکم، اقدام متقابل فقط «در برابر دولت مسئول» جایز است و نباید به دولت ثالث لطمه بزند (ماده ۴۹). دوم، نباید به تعهدات ناشی از قواعد آمره و تعهدات حقوق بشری و بشردوستانه لطمه بزند (ماده ۵۰) ـ یعنی حتی در برابر ناقض هم نمی‌شود دست به هر کاری زد. سوم، باید «متناسب» با خسارت وارده باشد (ماده ۵۱) ـ نه کمتر (که بی‌اثر است) و نه بیشتر (که خودش می‌شود نقض جدید). چهارم، قبل از اقدام باید از دولت ناقض «مطالبه توقف و جبران» کرد و «مذاکره» را پیشنهاد داد (ماده ۵۲) ـ یعنی اقدام غافلگیرانه، ناموجه است. و پنجم، اقدام باید «موقت» باشد و با توقف نقض، پایان بپذیرد (ماده ۵۳).</w:t>
      </w:r>
      <w:r>
        <w:rPr>
          <w:rFonts w:ascii="B Lotus" w:hAnsi="B Lotus" w:cs="B Lotus" w:eastAsia="B Lotus"/>
          <w:b w:val="0"/>
          <w:i w:val="0"/>
          <w:sz w:val="28"/>
          <w:szCs w:val="28"/>
          <w:vertAlign w:val="superscript"/>
        </w:rPr>
        <w:footnoteReference w:id="113"/>
      </w:r>
    </w:p>
    <w:p>
      <w:pPr>
        <w:pStyle w:val="TH-Body"/>
        <w:widowControl/>
        <w:bidi w:val="1"/>
        <w:spacing w:before="0" w:after="200" w:line="336" w:lineRule="auto"/>
        <w:ind w:firstLine="283"/>
        <w:jc w:val="both"/>
      </w:pPr>
      <w:r>
        <w:rPr>
          <w:rFonts w:ascii="B Lotus" w:hAnsi="B Lotus" w:cs="B Lotus" w:eastAsia="B Lotus"/>
          <w:b w:val="0"/>
          <w:i w:val="0"/>
          <w:sz w:val="28"/>
          <w:szCs w:val="28"/>
        </w:rPr>
        <w:t>دقت کنید که این پنج شرط، عیناً همان منطق ضوابط هشت‌گانه من است به زبان حقوق بین‌الملل: تناسب (ضابطه چهارم)، موقت بودن (ضابطه پنجم)، اعلام و مذاکره قبلی (ضابطه ششم و راهبرد چهارم)، و سقف قواعد آمره (ضابطه هفتم). این هم‌خوانیِ شگفت میان دو نظامِ مستقل، برای من از شیرین‌ترین یافته‌های این پژوهش بود؛ چون نشان می‌دهد که عقلانیتِ واحدِ بشری، در دو سنتِ مختلف، به قواعدِ مشابه رسیده. و همین هم‌خوانی است که به تصمیم‌گیر ایرانی اجازه می‌دهد عدولش را ـ اگر ضوابط را رعایت کرده باشد ـ هم به زبان فقه توجیه کند هم به زبان حقوق بین‌الملل؛ و این «دوزبانگیِ توجیهی»، قدرت چانه‌زنی و دفاع حقوقی کشور را دوچندان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درباره «جبران» هم باید به رویه اشاره کنم. اصل «جبران کامل» (full reparation) که در ماده ۳۱ طرح آمده، ریشه در رأی مشهور دیوان دائمی دادگستری بین‌المللی در قضیه کارخانه کورزو (۱۹۲۸) دارد: «نقض تعهد، مستلزم تعهد به جبران کافی است؛ جبرانی که ـ تا حد ممکن ـ آثار نقض را از بین ببرد و وضعیت را به حالتِ پیش از نقض برگرداند».</w:t>
      </w:r>
      <w:r>
        <w:rPr>
          <w:rFonts w:ascii="B Lotus" w:hAnsi="B Lotus" w:cs="B Lotus" w:eastAsia="B Lotus"/>
          <w:b w:val="0"/>
          <w:i w:val="0"/>
          <w:sz w:val="28"/>
          <w:szCs w:val="28"/>
          <w:vertAlign w:val="superscript"/>
        </w:rPr>
        <w:footnoteReference w:id="114"/>
      </w:r>
      <w:r>
        <w:rPr>
          <w:rFonts w:ascii="B Lotus" w:hAnsi="B Lotus" w:cs="B Lotus" w:eastAsia="B Lotus"/>
          <w:b w:val="0"/>
          <w:i w:val="0"/>
          <w:sz w:val="28"/>
          <w:szCs w:val="28"/>
        </w:rPr>
        <w:t xml:space="preserve"> این اصل بعداً در رویه دیوان بین‌المللی دادگستری (از جمله در قضیه گابچیکوو و قضیه نیکاراگوئه) تکرار و تثبیت شد. نتیجه عملی‌اش برای ما: حاکم باید بداند که عدولِ ناموجه، نه‌تنها تعهد به «توقف»، که تعهد به «جبران کاملِ خسارت‌های قابل ارزیابی» را هم در پی دارد؛ و برآورد این خسارت ـ هرچند تقریبی ـ بخشی از همان محاسبه مصلحت (ضابطه هشتم) است. دولتی که بدون برآورد خسارت عدول کند، مثل تاجری است که بدون حساب سود و زیان معامله کند ـ و عاقبتش معلوم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درباره مجاری حل اختلاف هم توضیحی لازم است. دیوان بین‌المللی دادگستری ـ رکن قضایی اصلی سازمان ملل ـ فقط وقتی به اختلاف رسیدگی می‌کند که «هر دو طرف» صلاحیتش را پذیرفته باشند (اصل رضایی بودن صلاحیت، ماده ۳۶ اساسنامه دیوان).</w:t>
      </w:r>
      <w:r>
        <w:rPr>
          <w:rFonts w:ascii="B Lotus" w:hAnsi="B Lotus" w:cs="B Lotus" w:eastAsia="B Lotus"/>
          <w:b w:val="0"/>
          <w:i w:val="0"/>
          <w:sz w:val="28"/>
          <w:szCs w:val="28"/>
          <w:vertAlign w:val="superscript"/>
        </w:rPr>
        <w:footnoteReference w:id="115"/>
      </w:r>
      <w:r>
        <w:rPr>
          <w:rFonts w:ascii="B Lotus" w:hAnsi="B Lotus" w:cs="B Lotus" w:eastAsia="B Lotus"/>
          <w:b w:val="0"/>
          <w:i w:val="0"/>
          <w:sz w:val="28"/>
          <w:szCs w:val="28"/>
        </w:rPr>
        <w:t xml:space="preserve"> پس برخلاف دادگاه‌های داخلی، نمی‌شود دولت دیگر را به‌زور به دیوان کشاند؛ مگر این‌که در خودِ معاهده، شرط ارجاع به دیوان یا داوری پیش‌بینی شده باشد ـ که این، دلیل دیگری است بر اهمیت «شرط‌گذاری در متن» (راهبرد سوم). و در موارد «تهدید صلح و امنیت بین‌المللی»، شورای امنیت بر اساس فصل ششم منشور (حل مسالمت‌آمیز، مواد ۳۳ تا ۳۸) و فصل هفتم (اقدامات قهری، مواد ۳۹ تا ۵۱) وارد می‌شود؛</w:t>
      </w:r>
      <w:r>
        <w:rPr>
          <w:rFonts w:ascii="B Lotus" w:hAnsi="B Lotus" w:cs="B Lotus" w:eastAsia="B Lotus"/>
          <w:b w:val="0"/>
          <w:i w:val="0"/>
          <w:sz w:val="28"/>
          <w:szCs w:val="28"/>
          <w:vertAlign w:val="superscript"/>
        </w:rPr>
        <w:footnoteReference w:id="116"/>
      </w:r>
      <w:r>
        <w:rPr>
          <w:rFonts w:ascii="B Lotus" w:hAnsi="B Lotus" w:cs="B Lotus" w:eastAsia="B Lotus"/>
          <w:b w:val="0"/>
          <w:i w:val="0"/>
          <w:sz w:val="28"/>
          <w:szCs w:val="28"/>
        </w:rPr>
        <w:t xml:space="preserve"> و تصمیم‌های فصل هفتمی‌اش برای همه دولت‌ها لازم‌الاجراست. شناخت این مجاری ـ و این‌که اختلافِ احتمالیِ ناشی از عدول، در کدام مجرا و با چه سازوکاری پیگیری می‌شود ـ بخشی از همان «مدیریت پسااجرا» (قدم هشتم چک‌لیست) است که تصمیم‌گیر عاقل از پیش طراحی می‌کند.</w:t>
      </w:r>
    </w:p>
    <w:p>
      <w:pPr>
        <w:pStyle w:val="TH-Band"/>
        <w:widowControl/>
        <w:bidi w:val="1"/>
        <w:spacing w:before="280" w:after="160" w:line="336" w:lineRule="auto"/>
        <w:jc w:val="right"/>
        <w:keepNext w:val="1"/>
      </w:pPr>
      <w:bookmarkStart w:id="146" w:name="_Toc000146"/>
      <w:r>
        <w:rPr>
          <w:rFonts w:ascii="B Traffic" w:hAnsi="B Traffic" w:cs="B Traffic" w:eastAsia="B Traffic"/>
          <w:b/>
          <w:i w:val="0"/>
          <w:sz w:val="28"/>
          <w:szCs w:val="28"/>
          <w:rtl/>
        </w:rPr>
        <w:t>بند پنجم: نمونه تحلیلی؛ تجربه برجام</w:t>
      </w:r>
      <w:bookmarkEnd w:id="146"/>
    </w:p>
    <w:p>
      <w:pPr>
        <w:pStyle w:val="TH-Body"/>
        <w:widowControl/>
        <w:bidi w:val="1"/>
        <w:spacing w:before="0" w:after="200" w:line="336" w:lineRule="auto"/>
        <w:jc w:val="both"/>
      </w:pPr>
      <w:r>
        <w:rPr>
          <w:rFonts w:ascii="B Lotus" w:hAnsi="B Lotus" w:cs="B Lotus" w:eastAsia="B Lotus"/>
          <w:b w:val="0"/>
          <w:i w:val="0"/>
          <w:sz w:val="28"/>
          <w:szCs w:val="28"/>
        </w:rPr>
        <w:t>برای نشان دادن کاربرد عملی چارچوب تحلیلی‌ام، می‌شود به تجربه «برنامه جامع اقدام مشترک» (برجام، ۲۰۱۵) و قطعنامه ۲۲۳۱ شورای امنیت اشاره کرد؛ ولی با یک قید مهم و غیرقابل چشم‌پوشی که باید با صراحت بگویم: ماهیت حقوقی دقیق برجام (توافق سیاسی یا سند حقوقی الزام‌آور، و نسبتش با قطعنامه ۲۲۳۱) خودش محل بحث جدی میان حقوق‌دان‌هاست و من در این رساله در آن باب داوری قطعی نمی‌کنم؛ فقط چارچوب تحلیل سه‌سطحی‌ام را بر این تجربه تطبیق می‌دهم تا کارآمدی چارچوب نشان داده شود. این‌جا آزمایشگاه چارچوب من است، نه دادگاه برجام؛ و هرکس این تمایز را نفهمد، تحلیلم را بد خواهد فهمید.</w:t>
      </w:r>
    </w:p>
    <w:p>
      <w:pPr>
        <w:pStyle w:val="TH-Body"/>
        <w:widowControl/>
        <w:bidi w:val="1"/>
        <w:spacing w:before="0" w:after="200" w:line="336" w:lineRule="auto"/>
        <w:ind w:firstLine="283"/>
        <w:jc w:val="both"/>
      </w:pPr>
      <w:r>
        <w:rPr>
          <w:rFonts w:ascii="B Lotus" w:hAnsi="B Lotus" w:cs="B Lotus" w:eastAsia="B Lotus"/>
          <w:b w:val="0"/>
          <w:i w:val="0"/>
          <w:sz w:val="28"/>
          <w:szCs w:val="28"/>
        </w:rPr>
        <w:t>در این تجربه سه مرحله قابل تفکیک است. مرحله اول: خروج یک‌جانبه آمریکا از برجام (۲۰۱۸) و برگرداندن تحریم‌ها که از نظر بسیاری از تحلیل‌گران و دولت ایران، نقض تعهدات آن دولت به حساب می‌آمد. مرحله دوم: عدول تدریجی و گام‌به‌گام ایران از بعضی تعهدات (از ۲۰۱۹) که ایران آن را با استناد به سازوکار پیش‌بینی‌شده در خودِ توافق (متناظر با راهبرد سوم من: اعمال حق مندرج) و نیز با منطق اقدام متقابل در برابر نقض طرف مقابل توجیه می‌کرد. و مرحله سوم: مناقشه بر سر بازگشت به اجرای کامل و شروطش که هنوز هم ادامه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تحلیل این تجربه در چارچوب سه‌سطحی من این‌طوری است: در سطح «جواز فقهی»، تصمیم ایران تابع همان ضوابط هشت‌گانه فصل چهارم است: آیا مصلحت واقعی و اهمی در کار بود؟ آیا راه کم‌هزینه‌تر آزموده شد؟ آیا تصمیم با تشخیص ولی فقیه و پشتوانه کارشناسی بود؟ آیا متناسب و اعلام‌شده بود؟ جواب هرکدام نیازمند بررسی جداگانه و اسنادی است که از عهده این رساله بیرون است، ولی «چارچوب پرسش» همین است؛ و همین چارچوب است که تحلیل را از شعار و احساسات جدا می‌کند. در سطح «مشروعیت داخلی»، تصمیم تابع نظام قانون اساسی و مصوبات نهادهای ذی‌ربط (از جمله شورای عالی امنیت ملی و مجلس) است. و در سطح «مسئولیت بین‌المللی»، هر رفتاری ـ از هر طرف ـ با متن تعهدات (و قطعنامه ۲۲۳۱) سنجیده می‌شود و توجیهات داخلیِ هیچ طرفی در آن سطح پذیرفته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همین پیچیدگی سه‌سطحی و همین نیاز به چارچوب تحلیلیِ روشن است که ضرورت این رساله را نشان می‌دهد: بدون چنین چارچوبی، تحلیل‌ها یا تک‌بعدی می‌شوند (فقط فقهی یا فقط حقوقی) یا به شعار و احساسات فروکاسته می‌شوند؛ و هر دو برای تصمیم‌گیر خطرناک است. من نمی‌گویم چارچوبم کامل است؛ ولی می‌گویم بهتر از بی‌چارچوبی است ـ و این، ادعای کوچکی نیست.</w:t>
      </w:r>
    </w:p>
    <w:p>
      <w:pPr>
        <w:pStyle w:val="TH-Band"/>
        <w:widowControl/>
        <w:bidi w:val="1"/>
        <w:spacing w:before="280" w:after="160" w:line="336" w:lineRule="auto"/>
        <w:jc w:val="right"/>
        <w:keepNext w:val="1"/>
      </w:pPr>
      <w:bookmarkStart w:id="147" w:name="_Toc000147"/>
      <w:r>
        <w:rPr>
          <w:rFonts w:ascii="B Traffic" w:hAnsi="B Traffic" w:cs="B Traffic" w:eastAsia="B Traffic"/>
          <w:b/>
          <w:i w:val="0"/>
          <w:sz w:val="28"/>
          <w:szCs w:val="28"/>
          <w:rtl/>
        </w:rPr>
        <w:t>بند ششم: تجربه تطبیقی؛ خروج از معاهدات در عمل دولت‌ها</w:t>
      </w:r>
      <w:bookmarkEnd w:id="147"/>
    </w:p>
    <w:p>
      <w:pPr>
        <w:pStyle w:val="TH-Body"/>
        <w:widowControl/>
        <w:bidi w:val="1"/>
        <w:spacing w:before="0" w:after="200" w:line="336" w:lineRule="auto"/>
        <w:jc w:val="both"/>
      </w:pPr>
      <w:r>
        <w:rPr>
          <w:rFonts w:ascii="B Lotus" w:hAnsi="B Lotus" w:cs="B Lotus" w:eastAsia="B Lotus"/>
          <w:b w:val="0"/>
          <w:i w:val="0"/>
          <w:sz w:val="28"/>
          <w:szCs w:val="28"/>
        </w:rPr>
        <w:t>برای این‌که بحث از حالتِ انتزاعی بیرون بیاید و خواننده ببیند که «عدول از تعهد» پدیده‌ای استثنایی و مخصوصِ ما نیست، بلکه در عملِ همه دولت‌ها ـ از جمله قدرت‌های بزرگ ـ سابقه دارد، در این بند سه تجربه تطبیقی را به‌اجمال مرور می‌کنم؛ نه برای داوریِ سیاسی، بلکه برای استخراجِ درسِ حقوقی. تأکید می‌کنم: نقلِ این تجربه‌ها به معنای تأییدِ آن‌ها نیست؛ بلکه نشان می‌دهد که مسئله این رساله، مسئله‌ای جهانی است و چارچوبِ تحلیلیِ من می‌تواند فراتر از ایران هم کاربرد داشته باشد.</w:t>
      </w:r>
    </w:p>
    <w:p>
      <w:pPr>
        <w:pStyle w:val="TH-Body"/>
        <w:widowControl/>
        <w:bidi w:val="1"/>
        <w:spacing w:before="0" w:after="200" w:line="336" w:lineRule="auto"/>
        <w:ind w:firstLine="283"/>
        <w:jc w:val="both"/>
      </w:pPr>
      <w:r>
        <w:rPr>
          <w:rFonts w:ascii="B Lotus" w:hAnsi="B Lotus" w:cs="B Lotus" w:eastAsia="B Lotus"/>
          <w:b w:val="0"/>
          <w:i w:val="0"/>
          <w:sz w:val="28"/>
          <w:szCs w:val="28"/>
        </w:rPr>
        <w:t>تجربه اول، خروج آمریکا از پیمان‌ها و توافق‌ها در سال‌های اخیر است: خروج از برجام (۲۰۱۸)، خروج از پیمان موشک‌های میان‌برد (۲۰۱۹)، و خروج از توافق اقلیمی پاریس (۲۰۱۷/۲۰۲۰).</w:t>
      </w:r>
      <w:r>
        <w:rPr>
          <w:rFonts w:ascii="B Lotus" w:hAnsi="B Lotus" w:cs="B Lotus" w:eastAsia="B Lotus"/>
          <w:b w:val="0"/>
          <w:i w:val="0"/>
          <w:sz w:val="28"/>
          <w:szCs w:val="28"/>
          <w:vertAlign w:val="superscript"/>
        </w:rPr>
        <w:footnoteReference w:id="117"/>
      </w:r>
      <w:r>
        <w:rPr>
          <w:rFonts w:ascii="B Lotus" w:hAnsi="B Lotus" w:cs="B Lotus" w:eastAsia="B Lotus"/>
          <w:b w:val="0"/>
          <w:i w:val="0"/>
          <w:sz w:val="28"/>
          <w:szCs w:val="28"/>
        </w:rPr>
        <w:t xml:space="preserve"> نکته حقوقیِ مشترکِ این سه مورد: آمریکا در هر سه، به «سازوکارِ پیش‌بینی‌شده در خودِ سند» (حقِ خروج با اطلاعِ قبلی) استناد کرد ـ یعنی عدولش را در قالبِ «اعمالِ حقِ مندرج» (صورتِ اولِ طیفِ من: سبز) ریخت، نه نقضِ یک‌جانبه. درسش برای ما همان است که بارها گفتم: اگر هنگامِ انعقاد، شرطِ خروج و بازنگری در متن بگنجانی، روزِ عدول، «ناقض» نیستی، «صاحبِ حق» هستی. آمریکا ـ با همه انتقادهایی که به سیاستش وارد است ـ از نظرِ «تکنیکِ حقوقی» درست عمل کرد؛ و ما باید همین تکنیک را بیاموزیم و به کار ببریم، بی‌آن‌که سیاستش را تأیید کنیم. آموختنِ فن از دشمن، نه تأییدِ دشمن است نه تقلید از او؛ بلکه همان است که امیرالمؤمنین فرمود حکمت، گمشده مؤمن است و هرجا بیابدش برمی‌دارد.</w:t>
      </w:r>
    </w:p>
    <w:p>
      <w:pPr>
        <w:pStyle w:val="TH-Body"/>
        <w:widowControl/>
        <w:bidi w:val="1"/>
        <w:spacing w:before="0" w:after="200" w:line="336" w:lineRule="auto"/>
        <w:ind w:firstLine="283"/>
        <w:jc w:val="both"/>
      </w:pPr>
      <w:r>
        <w:rPr>
          <w:rFonts w:ascii="B Lotus" w:hAnsi="B Lotus" w:cs="B Lotus" w:eastAsia="B Lotus"/>
          <w:b w:val="0"/>
          <w:i w:val="0"/>
          <w:sz w:val="28"/>
          <w:szCs w:val="28"/>
        </w:rPr>
        <w:t>تجربه دوم، خروجِ دسته‌جمعیِ دولت‌های آفریقایی از دیوان کیفری بین‌المللی در دهه ۲۰۱۰ است: چند دولت آفریقایی ـ به بهانه این‌که دیوان گزینشی و سیاسی عمل می‌کند ـ از اساسنامه رم خارج شدند یا خروج را اعلام کردند.</w:t>
      </w:r>
      <w:r>
        <w:rPr>
          <w:rFonts w:ascii="B Lotus" w:hAnsi="B Lotus" w:cs="B Lotus" w:eastAsia="B Lotus"/>
          <w:b w:val="0"/>
          <w:i w:val="0"/>
          <w:sz w:val="28"/>
          <w:szCs w:val="28"/>
          <w:vertAlign w:val="superscript"/>
        </w:rPr>
        <w:footnoteReference w:id="118"/>
      </w:r>
      <w:r>
        <w:rPr>
          <w:rFonts w:ascii="B Lotus" w:hAnsi="B Lotus" w:cs="B Lotus" w:eastAsia="B Lotus"/>
          <w:b w:val="0"/>
          <w:i w:val="0"/>
          <w:sz w:val="28"/>
          <w:szCs w:val="28"/>
        </w:rPr>
        <w:t xml:space="preserve"> نکته حقوقی‌اش: اساسنامه رم حقِ خروج با اطلاعِ قبلی را پیش‌بینی کرده؛ پس خروج‌ها در چارچوبِ سند بود و از نظرِ حقوقی «موجه» ـ هرچند از نظرِ سیاسی مناقشه‌برانگیز. درسش: حتی در حساس‌ترین حوزه‌ها (عدالت کیفری بین‌المللی) هم سازوکارِ خروجِ قانونی پیش‌بینی می‌شود؛ و همین، نشان می‌دهد که «حقِ خروجِ ضابطه‌مند» اصلی پذیرفته‌شده در حقوق بین‌الملل معاصر است، نه بدعتی که ما اختراع کرده باشیم.</w:t>
      </w:r>
    </w:p>
    <w:p>
      <w:pPr>
        <w:pStyle w:val="TH-Body"/>
        <w:widowControl/>
        <w:bidi w:val="1"/>
        <w:spacing w:before="0" w:after="200" w:line="336" w:lineRule="auto"/>
        <w:ind w:firstLine="283"/>
        <w:jc w:val="both"/>
      </w:pPr>
      <w:r>
        <w:rPr>
          <w:rFonts w:ascii="B Lotus" w:hAnsi="B Lotus" w:cs="B Lotus" w:eastAsia="B Lotus"/>
          <w:b w:val="0"/>
          <w:i w:val="0"/>
          <w:sz w:val="28"/>
          <w:szCs w:val="28"/>
        </w:rPr>
        <w:t>تجربه سوم، خروج بریتانیا از اتحادیه اروپا (برگزیت، ۲۰۲۰) است: بریتانیا با استناد به حقِ خروجِ پیش‌بینی‌شده در معاهده لیسبون و پس از همه‌پرسیِ داخلی، از اتحادیه خارج شد ـ فرایندی که سال‌ها مذاکره و توافقِ خروج را در پی داشت.</w:t>
      </w:r>
      <w:r>
        <w:rPr>
          <w:rFonts w:ascii="B Lotus" w:hAnsi="B Lotus" w:cs="B Lotus" w:eastAsia="B Lotus"/>
          <w:b w:val="0"/>
          <w:i w:val="0"/>
          <w:sz w:val="28"/>
          <w:szCs w:val="28"/>
          <w:vertAlign w:val="superscript"/>
        </w:rPr>
        <w:footnoteReference w:id="119"/>
      </w:r>
      <w:r>
        <w:rPr>
          <w:rFonts w:ascii="B Lotus" w:hAnsi="B Lotus" w:cs="B Lotus" w:eastAsia="B Lotus"/>
          <w:b w:val="0"/>
          <w:i w:val="0"/>
          <w:sz w:val="28"/>
          <w:szCs w:val="28"/>
        </w:rPr>
        <w:t xml:space="preserve"> درس‌هایش برای ما سه‌تاست: یکم، حتی پیچیده‌ترین خروج‌ها (خروج از اتحادیه‌ای با هزاران مقرره) با «مذاکره و توافق» مدیریت می‌شود، نه با اقدامِ یک‌جانبه غافلگیرانه ـ و این، مؤیدِ راهبردِ چهارمِ من (مذاکره مقدم است). دوم، «مشارکتِ داخلی» (همه‌پرسی و تصویبِ پارلمان) به تصمیمِ خروج، وجاهت و استحکام می‌دهد ـ و این، مؤیدِ توصیه من به همراهیِ مجلس است. و سوم، «دوره گذار» نشان می‌دهد که خروجِ عاقلانه، تدریجی و مدیریت‌شده است، نه دفعی و آشوبناک ـ و این، مؤیدِ ضابطه پنجمِ من (موقت و تدریجی بودن) است. برگزیت ـ با همه جنجالش ـ از نظرِ «تکنیکِ خروج» یک الگویِ آموزشی است؛ و چه اشکالی دارد که از آن بیاموزیم؟</w:t>
      </w:r>
    </w:p>
    <w:p>
      <w:pPr>
        <w:pStyle w:val="TH-Body"/>
        <w:widowControl/>
        <w:bidi w:val="1"/>
        <w:spacing w:before="0" w:after="200" w:line="336" w:lineRule="auto"/>
        <w:ind w:firstLine="283"/>
        <w:jc w:val="both"/>
      </w:pPr>
      <w:r>
        <w:rPr>
          <w:rFonts w:ascii="B Lotus" w:hAnsi="B Lotus" w:cs="B Lotus" w:eastAsia="B Lotus"/>
          <w:b w:val="0"/>
          <w:i w:val="0"/>
          <w:sz w:val="28"/>
          <w:szCs w:val="28"/>
        </w:rPr>
        <w:t>از مجموعِ این سه تجربه، یک نتیجه کلی می‌گیرم که هم به نفعِ چارچوبِ من است هم به نفعِ تصمیم‌گیرِ ایرانی: «خروجِ ضابطه‌مند از تعهدات، در حقوق و عملِ بین‌المللی پذیرفته شده است»؛ به شرطِ این‌که در قالبِ حقوقی بریزد، با مذاکره همراه باشد، تدریجی و اعلام‌شده باشد، و آثارش مدیریت شود ـ یعنی دقیقاً همان چیزی که ضوابطِ هشت‌گانه و راهبردهای پنج‌گانه من می‌گویند. پس چارچوبِ این رساله، نه ایده‌آلیستیِ رویاپردازانه است، نه انقلابیِ ساختارشکنانه؛ بلکه ترجمه فقهیِ همان عقلانیتی است که عملِ دولت‌های جهان ـ دوست و دشمن ـ بر آن گواهی می‌دهد.</w:t>
      </w:r>
    </w:p>
    <w:p>
      <w:pPr>
        <w:pStyle w:val="TH-Goftar"/>
        <w:widowControl/>
        <w:bidi w:val="1"/>
        <w:spacing w:before="280" w:after="160" w:line="336" w:lineRule="auto"/>
        <w:jc w:val="right"/>
        <w:keepNext w:val="1"/>
        <w:shd w:val="clear" w:fill="EDEDED"/>
      </w:pPr>
      <w:bookmarkStart w:id="148" w:name="_Toc000148"/>
      <w:r>
        <w:rPr>
          <w:rFonts w:ascii="B Titr" w:hAnsi="B Titr" w:cs="B Titr" w:eastAsia="B Titr"/>
          <w:b/>
          <w:i w:val="0"/>
          <w:sz w:val="32"/>
          <w:szCs w:val="32"/>
          <w:rtl/>
        </w:rPr>
        <w:t>گفتار پنجم: جایگاه حقوق اساسی تصمیم ولی فقیه</w:t>
      </w:r>
      <w:bookmarkEnd w:id="148"/>
    </w:p>
    <w:p>
      <w:pPr>
        <w:pStyle w:val="TH-Band"/>
        <w:widowControl/>
        <w:bidi w:val="1"/>
        <w:spacing w:before="280" w:after="160" w:line="336" w:lineRule="auto"/>
        <w:jc w:val="right"/>
        <w:keepNext w:val="1"/>
      </w:pPr>
      <w:bookmarkStart w:id="149" w:name="_Toc000149"/>
      <w:r>
        <w:rPr>
          <w:rFonts w:ascii="B Traffic" w:hAnsi="B Traffic" w:cs="B Traffic" w:eastAsia="B Traffic"/>
          <w:b/>
          <w:i w:val="0"/>
          <w:sz w:val="28"/>
          <w:szCs w:val="28"/>
          <w:rtl/>
        </w:rPr>
        <w:t>بند اول: تحلیل اصول ۵، ۵۷، ۷۷، ۱۱۲ و ۱۲۵</w:t>
      </w:r>
      <w:bookmarkEnd w:id="149"/>
    </w:p>
    <w:p>
      <w:pPr>
        <w:pStyle w:val="TH-Body"/>
        <w:widowControl/>
        <w:bidi w:val="1"/>
        <w:spacing w:before="0" w:after="200" w:line="336" w:lineRule="auto"/>
        <w:jc w:val="both"/>
      </w:pPr>
      <w:r>
        <w:rPr>
          <w:rFonts w:ascii="B Lotus" w:hAnsi="B Lotus" w:cs="B Lotus" w:eastAsia="B Lotus"/>
          <w:b w:val="0"/>
          <w:i w:val="0"/>
          <w:sz w:val="28"/>
          <w:szCs w:val="28"/>
        </w:rPr>
        <w:t>در فصل دوم متن اصول مرتبط اجمالاً گذشت؛ این‌جا دلالت هرکدام بر مسئله ـ مستقیم یا غیرمستقیم ـ را تحلیل می‌کنم:</w:t>
      </w:r>
    </w:p>
    <w:p>
      <w:pPr>
        <w:pStyle w:val="TH-Body"/>
        <w:widowControl/>
        <w:bidi w:val="1"/>
        <w:spacing w:before="0" w:after="200" w:line="336" w:lineRule="auto"/>
        <w:ind w:firstLine="283"/>
        <w:jc w:val="both"/>
      </w:pPr>
      <w:r>
        <w:rPr>
          <w:rFonts w:ascii="B Lotus" w:hAnsi="B Lotus" w:cs="B Lotus" w:eastAsia="B Lotus"/>
          <w:b w:val="0"/>
          <w:i w:val="0"/>
          <w:sz w:val="28"/>
          <w:szCs w:val="28"/>
        </w:rPr>
        <w:t>اصل ۵: دلالتش «مبنایی» است: مستقیم در اثبات مرجعیت ولی فقیه، و غیرمستقیم در مسئله خاص معاهدات. این اصل با عبارت «در زمان غیبت … ولایت امر و امامت امت بر عهده فقیه عادل … است که طبق اصل یک‌صد و هفتم عهده‌دار آن می‌گردد»،</w:t>
      </w:r>
      <w:r>
        <w:rPr>
          <w:rFonts w:ascii="B Lotus" w:hAnsi="B Lotus" w:cs="B Lotus" w:eastAsia="B Lotus"/>
          <w:b w:val="0"/>
          <w:i w:val="0"/>
          <w:sz w:val="28"/>
          <w:szCs w:val="28"/>
          <w:vertAlign w:val="superscript"/>
        </w:rPr>
        <w:footnoteReference w:id="120"/>
      </w:r>
      <w:r>
        <w:rPr>
          <w:rFonts w:ascii="B Lotus" w:hAnsi="B Lotus" w:cs="B Lotus" w:eastAsia="B Lotus"/>
          <w:b w:val="0"/>
          <w:i w:val="0"/>
          <w:sz w:val="28"/>
          <w:szCs w:val="28"/>
        </w:rPr>
        <w:t xml:space="preserve"> مبنای قانون اساسی ولایت فقیه را تثبیت می‌کند و نشان می‌دهد که «ولی فقیه» موضوع این رساله، نهادی شناخته‌شده و رسمی در نظام حقوقی ایران است، نه مقامی بیرون از قانون. ولی این اصل درباره «گستره اختیارات» ساکت است و تفصیلش را به اصول دیگر (به‌ویژه ۵۷ و ۱۱۰) واگذار می‌کند؛ پس اثبات‌کننده «اصلِ مرجعیت» است، نه تعیین‌کننده «حدود» آن.</w:t>
      </w:r>
    </w:p>
    <w:p>
      <w:pPr>
        <w:pStyle w:val="TH-Body"/>
        <w:widowControl/>
        <w:bidi w:val="1"/>
        <w:spacing w:before="0" w:after="200" w:line="336" w:lineRule="auto"/>
        <w:ind w:firstLine="283"/>
        <w:jc w:val="both"/>
      </w:pPr>
      <w:r>
        <w:rPr>
          <w:rFonts w:ascii="B Lotus" w:hAnsi="B Lotus" w:cs="B Lotus" w:eastAsia="B Lotus"/>
          <w:b w:val="0"/>
          <w:i w:val="0"/>
          <w:sz w:val="28"/>
          <w:szCs w:val="28"/>
        </w:rPr>
        <w:t>اصل ۵۷: دلالتش هم «مبنایی و غیرمستقیم» است. با عبارت «زیر نظر ولایت مطلقه امر و امامت امت»، مرجعیت نهایی ولی فقیه بر همه قوا ـ از جمله مقننه (تصویب‌کننده معاهده) و مجریه (اجرا‌کننده آن) ـ را تثبیت می‌کند. ولی «شیوه اعمال» این مرجعیت در حوزه خاص معاهدات را نمی‌گوید؛ و قید «بر طبق اصول آینده این قانون» هم ـ چنان‌که در ادامه همین گفتار می‌آید ـ محل مناقشه است. پس اصل ۵۷ اثبات‌کننده «اصلِ مرجعیت» است، ولی تعیین‌کننده «صورتِ اعمال»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اصل ۷۷: دلالتش «غیرمستقیم» است: «تصویب» (ورود به التزام) را در صلاحیت مجلس می‌داند، ولی درباره «خروج از التزام» (تعلیق، خاتمه، خروج) ساکت است. از این سکوت دو استنباط رقیب شده که هر دو قابل تأمل‌اند و منصفانه هر دو را می‌گویم ـ چون روش من در این رساله، انصاف با طرف مقابل است، حتی وقتی با او مخالفم. استنباط اول (وحدت مجرا): آن مرجعی که صلاحیت ایجاد التزام را دارد (مجلس)، صلاحیت رفعش را هم دارد؛ پس خاتمه و خروج هم نیازمند تصویب مجلس است؛ وگرنه تصمیم یک مقام (رهبری) می‌تواند قانون مصوب مقام دیگر (مجلس) را بی‌اثر کند و این با استقلال قوا (ذیل اصل ۵۷) نمی‌سازد. استنباط دوم (تفکیک مجرا): سکوت قانون اساسی درباره خروج به معنای واگذاری آن به مقام بالاتر (ولی فقیه) یا به عرف اساسی است؛ چون اولاً خروج از التزام بین‌المللی تصمیمی حاکمیتی ـ امنیتی است نه تقنینی محض؛ ثانیاً منطق حکم حکومتی ـ چنان‌که در فصل چهارم گذشت ـ دقیقاً پوشش دادن مواردی است که مجرای عادی برایشان کافی نیست؛ و ثالثاً در شرایط فوق‌العاده (که موضوع این رساله است) تشریفات عادی پاسخ‌گو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داوری من: استنباط اول در فرض «خاتمه عادی و توافقی» (مثل پایان مدت معاهده یا توافق بر خاتمه) پذیرفتنی و بلکه لازم است؛ ولی در فرض «تصمیم حکومتی فوق‌العاده» (موضوع این رساله) استنباط دوم قوی‌تر است. با این حال ـ و این «با این حال» را جدی می‌گویم ـ در مقام عمل و حکمرانی مطلوب، همراهی مجلس (حتی در قالب اطلاع و هماهنگی یا تصویب بعدی) بر وجاهت و استحکام تصمیم می‌افزاید و از تنش‌های نهادی می‌کاهد؛ پس توصیه می‌شود؛ هرچند شرط صحت تصمیم حکومتی نیست. تصمیمِ خوب، تصمیمی است که هم مشروع باشد هم محکم؛ و همراهی مجلس، به استحکامش می‌افزاید.</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۱۱۲: دلالتش «غیرمستقیم و نهادی» است: با رسمیت دادن به «مجمع تشخیص مصلحت نظام» به‌عنوان نهاد تخصصی مصلحت‌سنجی، نشان می‌دهد که نظام قانون اساسی «مصلحت» را به‌عنوان مبنای تصمیم‌گیری فوق‌العاده پذیرفته و برای تشخیص کارشناسی‌اش نهادی در تراز عالی پیش‌بینی کرده. نسبتش با تشخیص شخص ولی فقیه ـ چنان‌که در ضابطه سوم گفتم ـ نسبت «کارشناسی تخصصی» به «تصمیم نهایی» است: مجمع مصلحت را کارشناسی می‌کند و ولی فقیه تصمیم نهایی را می‌گیرد. این تقسیم کار، به نظرم یکی از حکمت‌های قانون اساسی ماست؛ حکمتی که اگر درست فهمیده و درست اجرا شود، هم جلوِ خودسری را می‌گیرد هم جلوِ فلج تصمیم‌گیری را.</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۱۲۵: دلالتش هم «غیرمستقیم» است: «امضا» (اعلام التزام) را مال رئیس‌جمهور می‌داند و اسمی از رهبری نمی‌برد. طرفداران حصر اختیارات به همین سکوت استناد می‌کنند و می‌گویند اگر قانون‌گذار اساسی می‌خواست رهبری در حوزه معاهدات نقشی داشته باشد، این‌جا ذکرش می‌کرد. ولی جوابش به نظرم روشن است: اولاً سکوت درباره «امضا» (عمل تشریفاتی ـ اجراییِ بعد از تصویب) به معنای سکوت درباره «تصمیم کلانِ سرنوشت معاهده» نیست؛ چنان‌که در خودِ نظام قانون اساسی هم تصمیم‌های کلان (جنگ و صلح، سیاست‌های کلی) با رهبری است، هرچند اجرایشان با قوه مجریه است. مقایسه کنید: آیا کسی گفته چون اجرای سیاست‌های کلی با دولت است، پس تعیینشان هم با دولت است؟ طبعاً نه. ثانیاً این اصل ناظر به مرحله «ورود به التزام» است، نه مرحله «خروج از التزام»؛ و سکوت درباره مرحله دوم را باید با اصول دیگر (۵۷ و ۱۱۰) و مبانی فقهی پر کرد، نه با نفی اختیار. سکوت، دلیل نفی نیست؛ این، قاعده اول استنباط است و هرکس خلافش را بگوید، بار اثبات با اوست.</w:t>
      </w:r>
    </w:p>
    <w:p>
      <w:pPr>
        <w:pStyle w:val="TH-Band"/>
        <w:widowControl/>
        <w:bidi w:val="1"/>
        <w:spacing w:before="280" w:after="160" w:line="336" w:lineRule="auto"/>
        <w:jc w:val="right"/>
        <w:keepNext w:val="1"/>
      </w:pPr>
      <w:bookmarkStart w:id="150" w:name="_Toc000150"/>
      <w:r>
        <w:rPr>
          <w:rFonts w:ascii="B Traffic" w:hAnsi="B Traffic" w:cs="B Traffic" w:eastAsia="B Traffic"/>
          <w:b/>
          <w:i w:val="0"/>
          <w:sz w:val="28"/>
          <w:szCs w:val="28"/>
          <w:rtl/>
        </w:rPr>
        <w:t>بند دوم: اصول ۱۰۷ تا ۱۱۱؛ نصب، شرایط و نظارت</w:t>
      </w:r>
      <w:bookmarkEnd w:id="150"/>
    </w:p>
    <w:p>
      <w:pPr>
        <w:pStyle w:val="TH-Body"/>
        <w:widowControl/>
        <w:bidi w:val="1"/>
        <w:spacing w:before="0" w:after="200" w:line="336" w:lineRule="auto"/>
        <w:jc w:val="both"/>
      </w:pPr>
      <w:r>
        <w:rPr>
          <w:rFonts w:ascii="B Lotus" w:hAnsi="B Lotus" w:cs="B Lotus" w:eastAsia="B Lotus"/>
          <w:b w:val="0"/>
          <w:i w:val="0"/>
          <w:sz w:val="28"/>
          <w:szCs w:val="28"/>
        </w:rPr>
        <w:t>پیش از ورود به اصل ۱۱۰، باید سه اصلِ پیرامونی‌اش را هم دید؛ چون این اصول، «چارچوب نهادی» ولایت فقیه‌اند و تصمیمِ مورد بحث من در همین چارچوب معنا پیدا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۱۰۷، «نحوه تعیین» رهبری را مشخص می‌کند: پس از امام خمینی، تعیین رهبر با «خبرگان منتخب مردم» است؛ و خبرگان، رهبر را از میان فقهای واجد شرایط (موضوع اصول ۵ و ۱۰۹) انتخاب می‌کنند.</w:t>
      </w:r>
      <w:r>
        <w:rPr>
          <w:rFonts w:ascii="B Lotus" w:hAnsi="B Lotus" w:cs="B Lotus" w:eastAsia="B Lotus"/>
          <w:b w:val="0"/>
          <w:i w:val="0"/>
          <w:sz w:val="28"/>
          <w:szCs w:val="28"/>
          <w:vertAlign w:val="superscript"/>
        </w:rPr>
        <w:footnoteReference w:id="121"/>
      </w:r>
      <w:r>
        <w:rPr>
          <w:rFonts w:ascii="B Lotus" w:hAnsi="B Lotus" w:cs="B Lotus" w:eastAsia="B Lotus"/>
          <w:b w:val="0"/>
          <w:i w:val="0"/>
          <w:sz w:val="28"/>
          <w:szCs w:val="28"/>
        </w:rPr>
        <w:t xml:space="preserve"> اهمیتش برای مسئله من در این است که نشان می‌دهد رهبری در نظام ما، مقامی «نهادی و قانونی» است، نه شخصی و فراقانونی: کسی رهبر است که خبرگان ـ بر اساس قانون ـ او را شناخته و برگزیده باشند. پس تصمیمِ مورد بحث این رساله، تصمیمِ «مقام قانونیِ رهبری» است، نه تصمیمِ «شخصِ» رهبر؛ و همین نهادی بودن است که به آن وجاهت حقوقی می‌دهد و آن را از تصمیمِ شخصیِ مستبد متمایز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۱۰۹، «شرایط» رهبری را برمی‌شمرد: صلاحیت علمی (فقاهت) و تقوا و بینش سیاسی و اجتماعی و شجاعت و مدیریت و قدرت کافی برای رهبری.</w:t>
      </w:r>
      <w:r>
        <w:rPr>
          <w:rFonts w:ascii="B Lotus" w:hAnsi="B Lotus" w:cs="B Lotus" w:eastAsia="B Lotus"/>
          <w:b w:val="0"/>
          <w:i w:val="0"/>
          <w:sz w:val="28"/>
          <w:szCs w:val="28"/>
          <w:vertAlign w:val="superscript"/>
        </w:rPr>
        <w:footnoteReference w:id="122"/>
      </w:r>
      <w:r>
        <w:rPr>
          <w:rFonts w:ascii="B Lotus" w:hAnsi="B Lotus" w:cs="B Lotus" w:eastAsia="B Lotus"/>
          <w:b w:val="0"/>
          <w:i w:val="0"/>
          <w:sz w:val="28"/>
          <w:szCs w:val="28"/>
        </w:rPr>
        <w:t xml:space="preserve"> نسبتش با مسئله من مستقیم است: تصمیم درباره سرنوشت معاهده بین‌المللی ـ که هم بُعد فقهی دارد (جواز شرعی) هم بُعد سیاسی (آثار بین‌المللی) هم بُعد مدیریتی (اجرا) ـ دقیقاً همان جنس تصمیمی است که این شرایط برایش پیش‌بینی شده. به زبان دیگر: قانون‌گذار اساسی، رهبری را برای چنین تصمیم‌هایی «طراحی» کرده؛ و اگر قرار باشد کسی درباره عدول از تعهد بین‌المللی تصمیم بگیرد، شایسته‌ترین کس ـ به حکم همین اصل ـ کسی است که واجد این شرایط باشد. این، دلیل دیگری است بر مرجعیت ولی فقیه در مسئله ما؛ دلیلی از درونِ خودِ قانون اساسی.</w:t>
      </w:r>
    </w:p>
    <w:p>
      <w:pPr>
        <w:pStyle w:val="TH-Body"/>
        <w:widowControl/>
        <w:bidi w:val="1"/>
        <w:spacing w:before="0" w:after="200" w:line="336" w:lineRule="auto"/>
        <w:ind w:firstLine="283"/>
        <w:jc w:val="both"/>
      </w:pPr>
      <w:r>
        <w:rPr>
          <w:rFonts w:ascii="B Lotus" w:hAnsi="B Lotus" w:cs="B Lotus" w:eastAsia="B Lotus"/>
          <w:b w:val="0"/>
          <w:i w:val="0"/>
          <w:sz w:val="28"/>
          <w:szCs w:val="28"/>
        </w:rPr>
        <w:t>و اصل ۱۱۱، «نظارت» بر رهبری را پیش‌بینی می‌کند: هرگاه رهبر از انجام وظایف قانونی خود ناتوان شود یا فاقد شرایط شود، از مقامش برکنار می‌شود؛ و تشخیص این امر با خبرگان است.</w:t>
      </w:r>
      <w:r>
        <w:rPr>
          <w:rFonts w:ascii="B Lotus" w:hAnsi="B Lotus" w:cs="B Lotus" w:eastAsia="B Lotus"/>
          <w:b w:val="0"/>
          <w:i w:val="0"/>
          <w:sz w:val="28"/>
          <w:szCs w:val="28"/>
          <w:vertAlign w:val="superscript"/>
        </w:rPr>
        <w:footnoteReference w:id="123"/>
      </w:r>
      <w:r>
        <w:rPr>
          <w:rFonts w:ascii="B Lotus" w:hAnsi="B Lotus" w:cs="B Lotus" w:eastAsia="B Lotus"/>
          <w:b w:val="0"/>
          <w:i w:val="0"/>
          <w:sz w:val="28"/>
          <w:szCs w:val="28"/>
        </w:rPr>
        <w:t xml:space="preserve"> اهمیتش برای من در پاسخ به اشکالِ «خودسری» است (اشکال سومِ گفتار پنجمِ فصل چهارم): اختیار ولی فقیه ـ از جمله اختیارِ مورد بحث این رساله ـ بی‌نظارت نیست؛ بلکه نهادی (خبرگان) بر بقای شرایط و حسن انجام وظایف نظارت دارد. البته ـ انصافاً ـ نظارت خبرگان، نظارتِ «کلی و پسینی» است، نه نظارتِ «جزئی و پیشینی» بر تک‌تک تصمیم‌ها؛ و همین، هم نقطه قوتش است (چون حاکم را در تصمیم‌گیریِ روزمره فلج نمی‌کند) هم نقطه قابل‌بحثش (چون خطای یک تصمیمِ خاص را پیش از وقوع نمی‌گیرد). ولی ناگفته نماند که همین نظارتِ کلی، با ضوابط هشت‌گانه من (به‌ویژه کارشناسیِ پیشینی و شفافیت) تکمیل می‌شود و مجموعاً سازوکارِ مهاریِ قابل‌دفاعی می‌سازد.</w:t>
      </w:r>
    </w:p>
    <w:p>
      <w:pPr>
        <w:pStyle w:val="TH-Body"/>
        <w:widowControl/>
        <w:bidi w:val="1"/>
        <w:spacing w:before="0" w:after="200" w:line="336" w:lineRule="auto"/>
        <w:ind w:firstLine="283"/>
        <w:jc w:val="both"/>
      </w:pPr>
      <w:r>
        <w:rPr>
          <w:rFonts w:ascii="B Lotus" w:hAnsi="B Lotus" w:cs="B Lotus" w:eastAsia="B Lotus"/>
          <w:b w:val="0"/>
          <w:i w:val="0"/>
          <w:sz w:val="28"/>
          <w:szCs w:val="28"/>
        </w:rPr>
        <w:t>از مجموع این سه اصل، تصویرِ نهادیِ کاملی درمی‌آید: رهبری که «قانونی» نصب می‌شود (۱۰۷)، «واجد شرایط» است (۱۰۹)، «محدود به وظایف قانونی» است و بر او «نظارت» می‌شود (۱۱۱)، و در چارچوب همین نظام، از «اختیارات» (۱۱۰) برخوردار است. تصمیمِ مورد بحث من، در همین چارچوبِ چهارضلعی معنا پیدا می‌کند؛ نه بیرون از آن. و هر تحلیلی که یکی از این اضلاع را نادیده بگیرد ـ چه تحلیلِ توسعه‌گرایِ بی‌مهار، چه تحلیلِ حصرگرایِ فلج‌کننده ـ تحلیلی ناقص است.</w:t>
      </w:r>
    </w:p>
    <w:p>
      <w:pPr>
        <w:pStyle w:val="TH-Band"/>
        <w:widowControl/>
        <w:bidi w:val="1"/>
        <w:spacing w:before="280" w:after="160" w:line="336" w:lineRule="auto"/>
        <w:jc w:val="right"/>
        <w:keepNext w:val="1"/>
      </w:pPr>
      <w:bookmarkStart w:id="151" w:name="_Toc000151"/>
      <w:r>
        <w:rPr>
          <w:rFonts w:ascii="B Traffic" w:hAnsi="B Traffic" w:cs="B Traffic" w:eastAsia="B Traffic"/>
          <w:b/>
          <w:i w:val="0"/>
          <w:sz w:val="28"/>
          <w:szCs w:val="28"/>
          <w:rtl/>
        </w:rPr>
        <w:t>بند سوم: سیاست‌های کلی نظام؛ حلقه واسطِ رهبری و معاهدات</w:t>
      </w:r>
      <w:bookmarkEnd w:id="151"/>
    </w:p>
    <w:p>
      <w:pPr>
        <w:pStyle w:val="TH-Body"/>
        <w:widowControl/>
        <w:bidi w:val="1"/>
        <w:spacing w:before="0" w:after="200" w:line="336" w:lineRule="auto"/>
        <w:jc w:val="both"/>
      </w:pPr>
      <w:r>
        <w:rPr>
          <w:rFonts w:ascii="B Lotus" w:hAnsi="B Lotus" w:cs="B Lotus" w:eastAsia="B Lotus"/>
          <w:b w:val="0"/>
          <w:i w:val="0"/>
          <w:sz w:val="28"/>
          <w:szCs w:val="28"/>
        </w:rPr>
        <w:t>در میانِ بندهای یازده‌گانه اصل ۱۱۰، بندِ اول ـ «تعیینِ سیاست‌های کلیِ نظام» ـ برای مسئله من جایگاهِ ویژه‌ای دارد و شایسته تحلیلی جداگانه است؛ چون این بند، «حلقه واسط» میانِ رهبری و معاهدات است: رهبری سیاست‌های کلی را تعیین می‌کند، و همه قوا ـ از جمله دولت در مذاکره و انعقادِ معاهدات ـ موظف‌اند در چارچوبِ آن‌ها عمل کنند. پس اگر معاهده‌ای با سیاست‌های کلیِ ابلاغی ناسازگار شود، خودِ همین ناسازگاری، مبنایِ تصمیمِ حکومتی درباره سرنوشتِ آن معاهده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سازوکارِ این بند ـ چنان‌که در عملِ نظام شکل گرفته ـ سه‌مرحله‌ای است: مجمع تشخیص مصلحت نظام، پیش‌نویسِ سیاست‌ها را کارشناسی می‌کند؛ رهبری آن‌ها را بررسی و ابلاغ می‌کند؛ و قوا موظف به اجرا و رعایت‌اند. نمونه‌های ابلاغی‌اش هم فراوان است: سیاست‌های کلیِ اقتصاد مقاومتی، امنیت ملی، برنامه‌های توسعه، و…</w:t>
      </w:r>
      <w:r>
        <w:rPr>
          <w:rFonts w:ascii="B Lotus" w:hAnsi="B Lotus" w:cs="B Lotus" w:eastAsia="B Lotus"/>
          <w:b w:val="0"/>
          <w:i w:val="0"/>
          <w:sz w:val="28"/>
          <w:szCs w:val="28"/>
          <w:vertAlign w:val="superscript"/>
        </w:rPr>
        <w:footnoteReference w:id="124"/>
      </w:r>
      <w:r>
        <w:rPr>
          <w:rFonts w:ascii="B Lotus" w:hAnsi="B Lotus" w:cs="B Lotus" w:eastAsia="B Lotus"/>
          <w:b w:val="0"/>
          <w:i w:val="0"/>
          <w:sz w:val="28"/>
          <w:szCs w:val="28"/>
        </w:rPr>
        <w:t xml:space="preserve"> نسبتش با معاهدات در دو جهت است: جهتِ «پیشینی» ـ یعنی دولت هنگامِ مذاکره و انعقاد باید سیاست‌های کلی را رعایت کند و معاهده مغایر، از اول مشکل‌دار است؛ و جهتِ «پسینی» ـ یعنی اگر معاهده‌ای که روزگاری سازگار بود، با ابلاغِ سیاستِ جدیدی ناسازگار شود، همین ناسازگاریِ پسینی، جزئی از تزاحمِ مجوزِ عدول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این تحلیل در این است که به اختیارِ «ضمنیِ» رهبری در حوزه معاهدات (مرتبه دومِ تفکیکِ چهارگانه من) مستندِ قانونیِ محکم‌تری می‌دهد: رهبری که «تعیین‌کننده سیاست‌های کلی» است و معاهده باید در چارچوبِ آن‌ها باشد، به طریقِ اولی «تعیین‌کننده سرنوشتِ معاهده مغایر» هم هست؛ چون نمی‌شود مقننِ چارچوب بود ولی درباره نقضِ چارچوب اختیاری نداشت. این استدلال ـ که صورتِ دیگری از «وحدتِ مجرا»ست ـ قوی‌تر از استنادِ مجرد به بندِ ۸ (حل معضلات) است، چون ناظر به «روالِ عادیِ» نظام است، نه فقط «مواردِ فوق‌العاده». البته ـ چنان‌که در بندِ بعد می‌آید ـ بندِ ۸ هم سرِ جای خودش محکم است؛ ولی بندِ ۱، پایه روزمره‌تری دارد و برای طیفِ وسیع‌تری از موارد کاربرد دارد.</w:t>
      </w:r>
    </w:p>
    <w:p>
      <w:pPr>
        <w:pStyle w:val="TH-Band"/>
        <w:widowControl/>
        <w:bidi w:val="1"/>
        <w:spacing w:before="280" w:after="160" w:line="336" w:lineRule="auto"/>
        <w:jc w:val="right"/>
        <w:keepNext w:val="1"/>
      </w:pPr>
      <w:bookmarkStart w:id="152" w:name="_Toc000152"/>
      <w:r>
        <w:rPr>
          <w:rFonts w:ascii="B Traffic" w:hAnsi="B Traffic" w:cs="B Traffic" w:eastAsia="B Traffic"/>
          <w:b/>
          <w:i w:val="0"/>
          <w:sz w:val="28"/>
          <w:szCs w:val="28"/>
          <w:rtl/>
        </w:rPr>
        <w:t>بند چهارم: تحلیل اصل ۱۱۰؛ نقد ادعای حصر و تفکیک انواع اختیار</w:t>
      </w:r>
      <w:bookmarkEnd w:id="152"/>
    </w:p>
    <w:p>
      <w:pPr>
        <w:pStyle w:val="TH-Body"/>
        <w:widowControl/>
        <w:bidi w:val="1"/>
        <w:spacing w:before="0" w:after="200" w:line="336" w:lineRule="auto"/>
        <w:jc w:val="both"/>
      </w:pPr>
      <w:r>
        <w:rPr>
          <w:rFonts w:ascii="B Lotus" w:hAnsi="B Lotus" w:cs="B Lotus" w:eastAsia="B Lotus"/>
          <w:b w:val="0"/>
          <w:i w:val="0"/>
          <w:sz w:val="28"/>
          <w:szCs w:val="28"/>
        </w:rPr>
        <w:t>حالا می‌رسم به حساس‌ترین و مناقشه‌برانگیزترین گره حقوق اساسی این پژوهش: اصل ۱۱۰. چنان‌که در فصل دوم با صراحت ثبت کردم، در هیچ‌کدام از یازده بند این اصل، اختیاری درباره معاهدات بین‌المللی «به‌صراحت» نیامده. پس هر ادعای «ذکر صریح» چنین اختیاری در اصل ۱۱۰، خلاف واقعیت متنی است و باید اصلاح شود؛ و همین اصلاح، خودش یکی از دستاوردهای این رساله است ـ دستاوردی که شاید به مذاق بعضی خوش نیاید، ولی حقیقت است و حقیقت را باید گفت، حتی اگر تلخ باشد. پرسش صحیح ـ بعد از این اصلاح ـ این است: آیا اختیار رهبری در حوزه معاهدات را می‌شود از «بندهای عام» این اصل یا از «اصول دیگر» استنباط کرد؟ و آیا اختیارات رهبری «منحصر» در همین یازده بند است یا فراتر هم می‌رود؟</w:t>
      </w:r>
    </w:p>
    <w:p>
      <w:pPr>
        <w:pStyle w:val="TH-Body"/>
        <w:widowControl/>
        <w:bidi w:val="1"/>
        <w:spacing w:before="0" w:after="200" w:line="336" w:lineRule="auto"/>
        <w:ind w:firstLine="283"/>
        <w:jc w:val="both"/>
      </w:pPr>
      <w:r>
        <w:rPr>
          <w:rFonts w:ascii="B Lotus" w:hAnsi="B Lotus" w:cs="B Lotus" w:eastAsia="B Lotus"/>
          <w:b w:val="0"/>
          <w:i w:val="0"/>
          <w:sz w:val="28"/>
          <w:szCs w:val="28"/>
        </w:rPr>
        <w:t>درباره حصر یا عدم حصر، دو دیدگاه در ادبیات حقوق اساسی ما هست که هر دو طرفدار جدی دارند و هر دو را منصفانه نقل می‌کنم. دیدگاه اول (حصر): اختیارات رهبری منحصر در یازده بند اصل ۱۱۰ است؛ چون اصل ۵۷ اعمال قوا (و نظارت بر آن‌ها) را مقید به «بر طبق اصول آینده این قانون» کرده و این قید، اطلاق «ولایت مطلقه» را محدود می‌کند؛ و چون قانون اساسی رهبری را در فصل هشتم و در قالب اصل ۱۱۰ تعریف کرده، هر اختیاری بیرون از این اصل فاقد مستند قانونی است. دیدگاه دوم (عدم حصر): اختیارات رهبری فراتر از یازده بند است؛ چون اولاً «ولایت مطلقه» در اصل ۵۷ اطلاق دارد و قید «بر طبق اصول آینده» ناظر به «شیوه اعمال قوا»ست، نه نافی مرجعیت فراقانونی ولی فقیه در موارد فوق‌العاده؛ ثانیاً بند ۸ اصل ۱۱۰ («حل معضلات نظام که از طرق عادی قابل حل نیست») با عموم و اطلاق خودش، درِ اختیارات فوق‌العاده و پیش‌بینی‌نشده را باز گذاشته؛ و ثالثاً منطق حکم حکومتی ـ که در فقه پذیرفته شده ـ اقتضا می‌کند حاکم در موارد پیش‌بینی‌نشده هم اختیار داشته باشد، وگرنه نظام در برابر بحران‌های نوپدید فلج می‌شود.</w:t>
      </w:r>
      <w:r>
        <w:rPr>
          <w:rFonts w:ascii="B Lotus" w:hAnsi="B Lotus" w:cs="B Lotus" w:eastAsia="B Lotus"/>
          <w:b w:val="0"/>
          <w:i w:val="0"/>
          <w:sz w:val="28"/>
          <w:szCs w:val="28"/>
          <w:vertAlign w:val="superscript"/>
        </w:rPr>
        <w:footnoteReference w:id="125"/>
      </w:r>
    </w:p>
    <w:p>
      <w:pPr>
        <w:pStyle w:val="TH-Body"/>
        <w:widowControl/>
        <w:bidi w:val="1"/>
        <w:spacing w:before="0" w:after="200" w:line="336" w:lineRule="auto"/>
        <w:ind w:firstLine="283"/>
        <w:jc w:val="both"/>
      </w:pPr>
      <w:r>
        <w:rPr>
          <w:rFonts w:ascii="B Lotus" w:hAnsi="B Lotus" w:cs="B Lotus" w:eastAsia="B Lotus"/>
          <w:b w:val="0"/>
          <w:i w:val="0"/>
          <w:sz w:val="28"/>
          <w:szCs w:val="28"/>
        </w:rPr>
        <w:t>نقد و داوری منصفانه من این است که هر دو دیدگاه، وجهی از حقیقت را گرفته‌اند و در عین حال هر دو یک‌سونگرند. دیدگاه حصر، «ولایت مطلقه» را به مجموعه‌ای بسته و احصاشده از صلاحیت‌های اداری فرو می‌کاهد و با منطق حکم حکومتی (که ذاتاً فوق‌العاده و پیش‌بینی‌ناپذیر و فراقاعده‌ای است) نمی‌سازد؛ و اگر پذیرفته شود، نظام در برابر بحران‌های پیش‌بینی‌نشده بی‌پاسخ می‌ماند. تصورش را بکنید: بحرانی بیاید که هیچ بندی از اصل ۱۱۰ پوششش ندهد؛ آن‌وقت چه؟ نظام بنشیند و تماشا کند؟ این، نه عقل می‌پذیرد نه شرع. دیدگاه عدم حصرِ بی‌ضابطه هم راه را برای توسعه نامحدود و غیرپاسخ‌گوی اختیار باز می‌گذارد و با منطق «حکومت قانون» ـ که خودش از اهداف و افتخارات نظام اسلامی است ـ درگیر می‌شود؛ و اگر بدون مهار پذیرفته شود، به استبداد رأی می‌انجامد. و استبداد ـ هرچقدر هم که عنوانش مقدس باشد ـ استبداد است و با روح اسلام نمی‌سازد.</w:t>
      </w:r>
    </w:p>
    <w:p>
      <w:pPr>
        <w:pStyle w:val="TH-Body"/>
        <w:widowControl/>
        <w:bidi w:val="1"/>
        <w:spacing w:before="0" w:after="200" w:line="336" w:lineRule="auto"/>
        <w:ind w:firstLine="283"/>
        <w:jc w:val="both"/>
      </w:pPr>
      <w:r>
        <w:rPr>
          <w:rFonts w:ascii="B Lotus" w:hAnsi="B Lotus" w:cs="B Lotus" w:eastAsia="B Lotus"/>
          <w:b w:val="0"/>
          <w:i w:val="0"/>
          <w:sz w:val="28"/>
          <w:szCs w:val="28"/>
        </w:rPr>
        <w:t>راه میانه ـ که نظر مختار من است ـ «تفکیک انواع اختیار» است؛ تفکیکی چهارگانه که هم منطق ولایت را نگه می‌دارد هم منطق قانون را، و در فصل اول معرفی‌اش کردم:</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اول، «اختیار صریح»: آن‌چه در متن قانون اساسی (اصل ۱۱۰ و اصول دیگر) به‌صراحت آمده؛ مثل فرماندهی کل قوا و اعلان جنگ و صلح و نصب مقامات عالی. این‌ها نیازمند استنباط نیست و محل اتفاق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دوم، «اختیار ضمنی»: آن‌چه از اطلاق یا عموم بندهای اصل ۱۱۰ ـ به‌ویژه بندهای ۱ (سیاست‌های کلی) و ۵ (جنگ و صلح) و ۷ (تنظیم روابط قوا) و ۸ (حل معضلات) ـ استنباط می‌شود؛ مثل تصمیم درباره سرنوشت معاهده‌ای که با «سیاست‌های کلی نظام» ناسازگار شده یا به «معضل نظام» بدل گشته. اختیارِ مورد بحث این رساله دست‌کم در این مرتبه قرار دارد و مستند قانونیِ مستقیمش همین بندهاست. و دقت کنید: استناد به بند ۸ («حل معضلات نظام که از طرق عادی قابل حل نیست») در مسئله ما بسیار قوی است؛ چون معاهده زیان‌باری که مجرای عادی (مذاکره، اعمال حق مندرج) برای حلش کافی نیست، دقیقاً «معضل نظام» است و تصمیم درباره‌اش، دقیقاً «حل معضل از طریق غیرعادی»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سوم، «اختیار ولایی»: آن‌چه از «ولایت مطلقه» مذکور در اصل ۵۷ درمی‌آید و فراتر از نصوص خاص است؛ مثل تصمیم فوق‌العاده‌ای که هیچ بندی از اصل ۱۱۰ ـ حتی با تفسیر موسع ـ پوششش نمی‌دهد، ولی اداره نظام به آن وابسته است. این مرتبه، عرصه اعمال «ولایت» به معنای دقیق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مرتبه چهارم، «اختیار حکومتی»: آن‌چه از «حکم حکومتی» ولی فقیه در مقام تزاحم درمی‌آید (مبنای فصل چهارم) و صورتِ اعمالِ دو مرتبه پیشین است؛ یعنی سازوکاری که اختیار ضمنی و ولایی را به تصمیم مشخص و لازم‌الاتباع بدل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بر اساس این تفکیک چهارگانه، قانون اساسی «کف» اختیارات رهبری است نه «سقف» آن؛ ولی حرکت از کف به سقف «مقید» است: مقید به مصلحت واقعی و تزاحم واقعی و ضوابط هشت‌گانه فصل چهارم. در یک جمله ـ که دوست دارم جمله ماندگار این رساله باشد ـ: «عدم حصر» به معنای «عدم ضابطه» نیست؛ و همین جمع میان منطق ولایت و منطق قانون، جواب هر دو دیدگاه افراطی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پرسش پایانی این گفتار، نسبت «تصویب مجلس» (قانون عادی) با «حکم حکومتی» است: آیا حکم حکومتی ولی فقیه می‌تواند قانونِ تصویب‌کننده معاهده را ـ که مصوبه قوه مقننه است ـ کنار بزند یا معلق کند؟ جواب در منطق این رساله روشن است: حکم حکومتیِ مصلحت‌سنجیده در مقام تزاحم بر قانون عادی «مقدم» می‌شود (چنان‌که امام، حکومت را مقدم بر احکام فرعیه ـ و به طریق اولی بر قوانین عادی بشری ـ دانست)؛ ولی این تقدم «تعلیقی و موقت» است نه «نسخ دائم»؛ یعنی قانون اعتبارش را از دست نمی‌دهد، بلکه اجرایش موقتاً متوقف می‌شود و با رفع تزاحم برمی‌گردد. این تحلیل هم با منطق تزاحم (فصل چهارم) می‌سازد، هم با استقلال قوا (اصل ۵۷) ناسازگار نیست (چون قانون لغو نشده، بلکه موقتاً متوقف شده)، و هم با منطق تعلیق در حقوق بین‌الملل (ماده ۷۲ وین) هم‌خوان است. با این حال، در مقام حکمرانی مطلوب، هماهنگی با مجلس و اطلاع‌رسانی به آن را اکیداً توصیه می‌کنم؛ چون تصمیمی که پشتوانه نهادی داشته باشد، هم محکم‌تر است هم کم‌هزینه‌تر ـ و عاقل، راه محکم‌تر و کم‌هزینه‌تر را رها نمی‌کند.</w:t>
      </w:r>
    </w:p>
    <w:p>
      <w:pPr>
        <w:pStyle w:val="TH-Goftar"/>
        <w:widowControl/>
        <w:bidi w:val="1"/>
        <w:spacing w:before="280" w:after="160" w:line="336" w:lineRule="auto"/>
        <w:jc w:val="right"/>
        <w:keepNext w:val="1"/>
        <w:shd w:val="clear" w:fill="EDEDED"/>
      </w:pPr>
      <w:bookmarkStart w:id="153" w:name="_Toc000153"/>
      <w:r>
        <w:rPr>
          <w:rFonts w:ascii="B Titr" w:hAnsi="B Titr" w:cs="B Titr" w:eastAsia="B Titr"/>
          <w:b/>
          <w:i w:val="0"/>
          <w:sz w:val="32"/>
          <w:szCs w:val="32"/>
          <w:rtl/>
        </w:rPr>
        <w:t>حاصل فصل پنجم</w:t>
      </w:r>
      <w:bookmarkEnd w:id="153"/>
    </w:p>
    <w:p>
      <w:pPr>
        <w:pStyle w:val="TH-Body"/>
        <w:widowControl/>
        <w:bidi w:val="1"/>
        <w:spacing w:before="0" w:after="200" w:line="336" w:lineRule="auto"/>
        <w:jc w:val="both"/>
      </w:pPr>
      <w:r>
        <w:rPr>
          <w:rFonts w:ascii="B Lotus" w:hAnsi="B Lotus" w:cs="B Lotus" w:eastAsia="B Lotus"/>
          <w:b w:val="0"/>
          <w:i w:val="0"/>
          <w:sz w:val="28"/>
          <w:szCs w:val="28"/>
        </w:rPr>
        <w:t>حاصل این فصل، جواب سؤال فرعی اول و تکمیل جواب سؤال اصلی است و در چند جمله خلاصه‌اش می‌کنم: تصمیم ولی فقیه مبنی بر تعلیق یا نقض معاهده، بی‌تردید و چندلایه به دولت ایران «منتسب» می‌شود (ماده ۴ و تکمله‌هایش) و اگر رفتار با تعهد نخواند «نقض» به حساب می‌آید (ماده ۱۲)؛ و هیچ توجیه داخلی ـ از حکم حکومتی و مصلحت نظام و قانون اساسی تا احکام شرع ـ در سطح بین‌المللی پذیرفته نیست (ماده ۲۷ وین و ماده ۳۲ طرح). تنها راه رهایی از مسئولیت، گنجاندن رفتار در قالب نهادهای موجه (تعلیق/خاتمه موجه یا اسباب رافع) است که آستانه بسیار بالا و شرایط سختی دارند؛ وگرنه آثار مسئولیت (توقف، جبران، آثار دوره تعلیق) روی دولت آوار می‌شود. در سطح داخلی هم تصمیم ولی فقیه در چارچوب اختیار ضمنی و ولایی و حکومتی، معتبر و لازم‌الاتباع است؛ هرچند قانون اساسی درباره‌اش صراحتی ندارد و این اعتبار از بندهای عام و اصل ۵۷ استنباط می‌شود. پس تصویر نهایی، سه‌سطحی و روشن است: «جواز فقهیِ مقید»، «مشروعیت داخلیِ مشروط»، و «مسئولیت بین‌المللیِ بالقوه»؛ و هنر حکمرانی اسلامی، مدیریت هم‌زمان و عاقلانه هر سه سطح است. و این هنر، همان چیزی است که این رساله کوشیده راهش را نشان بدهد.</w:t>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154" w:name="_Toc000154"/>
      <w:r>
        <w:rPr>
          <w:rFonts w:ascii="B Titr" w:hAnsi="B Titr" w:cs="B Titr" w:eastAsia="B Titr"/>
          <w:b/>
          <w:i w:val="0"/>
          <w:sz w:val="44"/>
          <w:szCs w:val="44"/>
          <w:rtl/>
        </w:rPr>
        <w:t>نتیجه‌گیری</w:t>
      </w:r>
      <w:bookmarkEnd w:id="154"/>
    </w:p>
    <w:p>
      <w:pPr>
        <w:pStyle w:val="TH-Body"/>
        <w:widowControl/>
        <w:bidi w:val="1"/>
        <w:spacing w:before="0" w:after="200" w:line="336" w:lineRule="auto"/>
        <w:jc w:val="both"/>
      </w:pPr>
      <w:r>
        <w:rPr>
          <w:rFonts w:ascii="B Lotus" w:hAnsi="B Lotus" w:cs="B Lotus" w:eastAsia="B Lotus"/>
          <w:b w:val="0"/>
          <w:i w:val="0"/>
          <w:sz w:val="28"/>
          <w:szCs w:val="28"/>
        </w:rPr>
        <w:t>این رساله با یک پرسش صریح و بی‌پرده آغاز شد: اگر ادامه اجرای پیمانی بین‌المللی به ضرر کشور و نظام اسلامی بدل شود، آیا ولی فقیه می‌تواند از آن عدول کند؟ و اگر می‌تواند، با چه مبنایی و چه شرایطی و چه آثاری؟ حالا، پس از پنج فصل بحثِ قدم‌به‌قدم، می‌شود جواب را در پنج دستاورد خلاصه کرد؛ پنج جمله‌ای که اگر خواننده‌ای فقط همین صفحه پایانی را بخواند، باید جوهر کل رساله را دریافته باشد. بگذارید یک‌به‌یک بگویمشان ـ و بگویم که هرکدام در کدام فصل ثابت شد تا خواننده بداند ادعا بی‌سند نیست:</w:t>
      </w:r>
    </w:p>
    <w:p>
      <w:pPr>
        <w:pStyle w:val="TH-Goftar"/>
        <w:widowControl/>
        <w:bidi w:val="1"/>
        <w:spacing w:before="280" w:after="160" w:line="336" w:lineRule="auto"/>
        <w:jc w:val="right"/>
        <w:keepNext w:val="1"/>
        <w:shd w:val="clear" w:fill="EDEDED"/>
      </w:pPr>
      <w:bookmarkStart w:id="155" w:name="_Toc000155"/>
      <w:r>
        <w:rPr>
          <w:rFonts w:ascii="B Titr" w:hAnsi="B Titr" w:cs="B Titr" w:eastAsia="B Titr"/>
          <w:b/>
          <w:i w:val="0"/>
          <w:sz w:val="32"/>
          <w:szCs w:val="32"/>
          <w:rtl/>
        </w:rPr>
        <w:t>دستاورد اول: قاعده اولی، وجوب وفاست</w:t>
      </w:r>
      <w:bookmarkEnd w:id="155"/>
    </w:p>
    <w:p>
      <w:pPr>
        <w:pStyle w:val="TH-Body"/>
        <w:widowControl/>
        <w:bidi w:val="1"/>
        <w:spacing w:before="0" w:after="200" w:line="336" w:lineRule="auto"/>
        <w:jc w:val="both"/>
      </w:pPr>
      <w:r>
        <w:rPr>
          <w:rFonts w:ascii="B Lotus" w:hAnsi="B Lotus" w:cs="B Lotus" w:eastAsia="B Lotus"/>
          <w:b w:val="0"/>
          <w:i w:val="0"/>
          <w:sz w:val="28"/>
          <w:szCs w:val="28"/>
        </w:rPr>
        <w:t>قاعده اولی و اصل اولیه در تعهدات بین‌المللی دولت اسلامی، «وجوب وفا»ست؛ و این وجوب را در فصل سوم با پنج آیه عام (مائده/۱، نحل/۹۱ـ۹۲، اسراء/۳۴، رعد/۲۰ـ۲۵ و مؤمنون/۸) و آیات خاص جهاد (توبه/۴ و ۷، انفال/۵۸ و ۷۲) و روایات متعدد (به‌ویژه حدیث شروط و عهدنامه مالک) و سیره پیامبر و امیرالمؤمنین (حدیبیه، برائت، صفین) و دلیل عقل و بنای عقلا و قواعد فقهی مؤید (لزوم، حرمت غدر، نفی سبیل) و واژه‌شناسی قرآنی (عهد، عقد، میثاق) اثبات کردم. این قاعده «مسلّم» است و در اصلش میان فقهای ما اختلافی نیست؛ اختلاف ـ اگر باشد ـ در استثناها و مرزهاست، نه در خودِ قاعده. هرکس بخواهد از این قاعده بیرون برود، بار اثبات با اوست؛ و این رساله دقیقاً همین بار را بر دوش کشید و نشان داد چه وقت و با چه شرایطی می‌شود بیرون رفت ـ و چه وقت نمی‌شود.</w:t>
      </w:r>
    </w:p>
    <w:p>
      <w:pPr>
        <w:pStyle w:val="TH-Goftar"/>
        <w:widowControl/>
        <w:bidi w:val="1"/>
        <w:spacing w:before="280" w:after="160" w:line="336" w:lineRule="auto"/>
        <w:jc w:val="right"/>
        <w:keepNext w:val="1"/>
        <w:shd w:val="clear" w:fill="EDEDED"/>
      </w:pPr>
      <w:bookmarkStart w:id="156" w:name="_Toc000156"/>
      <w:r>
        <w:rPr>
          <w:rFonts w:ascii="B Titr" w:hAnsi="B Titr" w:cs="B Titr" w:eastAsia="B Titr"/>
          <w:b/>
          <w:i w:val="0"/>
          <w:sz w:val="32"/>
          <w:szCs w:val="32"/>
          <w:rtl/>
        </w:rPr>
        <w:t>دستاورد دوم: استثنای ضابطه‌مند، عدول حکومتی است</w:t>
      </w:r>
      <w:bookmarkEnd w:id="156"/>
    </w:p>
    <w:p>
      <w:pPr>
        <w:pStyle w:val="TH-Body"/>
        <w:widowControl/>
        <w:bidi w:val="1"/>
        <w:spacing w:before="0" w:after="200" w:line="336" w:lineRule="auto"/>
        <w:jc w:val="both"/>
      </w:pPr>
      <w:r>
        <w:rPr>
          <w:rFonts w:ascii="B Lotus" w:hAnsi="B Lotus" w:cs="B Lotus" w:eastAsia="B Lotus"/>
          <w:b w:val="0"/>
          <w:i w:val="0"/>
          <w:sz w:val="28"/>
          <w:szCs w:val="28"/>
        </w:rPr>
        <w:t>خروج از قاعده وجوب وفا ـ یعنی عدول از تعهد ـ فقط در یک صورت جایز است: «تصمیم حکومتی ولی فقیه در مقام تزاحم مصلحتی، با رعایت ضوابط هشت‌گانه». این جواز را در فصل چهارم با چهار مبنای مستقل اثبات کردم: قاعده تزاحم و تقدیم اهم (که نسبت وجوب وفا و وجوب حفظ نظام، تزاحمی است نه تعارضی)؛ نظریه حکم حکومتی امام خمینی (که اداره نظام و مصلحت اهم را بر احکام فرعیه ـ و به طریق اولی بر التزام به معاهده ـ مقدم می‌دارد)؛ قاعده لاضرر و لاحرج (که اضرار به نظام و امت و حرج اداره کشور را برمی‌دارد)؛ و اصل اوجبیت حفظ نظام (که عدول را در فرض خطر، بلکه واجب می‌کند). هرکدام از این مبانی به‌تنهایی برای اثبات جواز کافی است؛ و اجتماعشان، اطمینان را به حداکثر می‌رساند. و سیره حکومتی پیامبر و امیرالمؤمنین ـ حدیبیه و برائت و حکمیت ـ هم مؤید عملیِ همین جواز است؛ نشانی بر این‌که این استدلال، صرفِ ذهن‌بافی نیست و ریشه در عمل معصومان دارد.</w:t>
      </w:r>
    </w:p>
    <w:p>
      <w:pPr>
        <w:pStyle w:val="TH-Goftar"/>
        <w:widowControl/>
        <w:bidi w:val="1"/>
        <w:spacing w:before="280" w:after="160" w:line="336" w:lineRule="auto"/>
        <w:jc w:val="right"/>
        <w:keepNext w:val="1"/>
        <w:shd w:val="clear" w:fill="EDEDED"/>
      </w:pPr>
      <w:bookmarkStart w:id="157" w:name="_Toc000157"/>
      <w:r>
        <w:rPr>
          <w:rFonts w:ascii="B Titr" w:hAnsi="B Titr" w:cs="B Titr" w:eastAsia="B Titr"/>
          <w:b/>
          <w:i w:val="0"/>
          <w:sz w:val="32"/>
          <w:szCs w:val="32"/>
          <w:rtl/>
        </w:rPr>
        <w:t>دستاورد سوم: ضوابط هشت‌گانه، مهار جواز است</w:t>
      </w:r>
      <w:bookmarkEnd w:id="157"/>
    </w:p>
    <w:p>
      <w:pPr>
        <w:pStyle w:val="TH-Body"/>
        <w:widowControl/>
        <w:bidi w:val="1"/>
        <w:spacing w:before="0" w:after="200" w:line="336" w:lineRule="auto"/>
        <w:jc w:val="both"/>
      </w:pPr>
      <w:r>
        <w:rPr>
          <w:rFonts w:ascii="B Lotus" w:hAnsi="B Lotus" w:cs="B Lotus" w:eastAsia="B Lotus"/>
          <w:b w:val="0"/>
          <w:i w:val="0"/>
          <w:sz w:val="28"/>
          <w:szCs w:val="28"/>
        </w:rPr>
        <w:t>جواز عدول «بی‌ضابطه» نیست؛ و اگر بود، با استبداد رأی فرقی نداشت و این رساله به جای خدمت، خیانت کرده بود. هشت ضابطه‌ای که در فصل چهارم استخراج کردم ـ احراز تزاحم واقعی، تقدم راه‌های حقوقی مندرج، تشخیص ولی فقیه با پشتوانه کارشناسی، تناسب، موقت بودن، انباذ علی سواء، عدم مخالفت با قواعد آمره، و لحاظ آثار در محاسبه مصلحت ـ مجموعاً «مهار» جواز است و جلوی سوءاستفاده را می‌گیرد. هر عدولی که واجد این هشت ضابطه باشد مشروع است؛ و هر عدولی که فاقد حتی یکی از ارکانش باشد، از دایره جواز بیرون است ـ هرچقدر هم که مدعی‌اش فریاد «مصلحت» و «حفظ نظام» سر بدهد. این ضوابط را می‌شود به‌مثابه «دستورالعمل عملی» تصمیم‌گیر خواند؛ چیزی شبیه چک‌لیستی که قبل از هر تصمیمی باید یک‌به‌یک تیک بخورد ـ و من همین چک‌لیست را در پیوست اول، عملیاتی و قدم‌به‌قدم آورده‌ام.</w:t>
      </w:r>
    </w:p>
    <w:p>
      <w:pPr>
        <w:pStyle w:val="TH-Goftar"/>
        <w:widowControl/>
        <w:bidi w:val="1"/>
        <w:spacing w:before="280" w:after="160" w:line="336" w:lineRule="auto"/>
        <w:jc w:val="right"/>
        <w:keepNext w:val="1"/>
        <w:shd w:val="clear" w:fill="EDEDED"/>
      </w:pPr>
      <w:bookmarkStart w:id="158" w:name="_Toc000158"/>
      <w:r>
        <w:rPr>
          <w:rFonts w:ascii="B Titr" w:hAnsi="B Titr" w:cs="B Titr" w:eastAsia="B Titr"/>
          <w:b/>
          <w:i w:val="0"/>
          <w:sz w:val="32"/>
          <w:szCs w:val="32"/>
          <w:rtl/>
        </w:rPr>
        <w:t>دستاورد چهارم: سه سطح را قاطی نکنیم</w:t>
      </w:r>
      <w:bookmarkEnd w:id="158"/>
    </w:p>
    <w:p>
      <w:pPr>
        <w:pStyle w:val="TH-Body"/>
        <w:widowControl/>
        <w:bidi w:val="1"/>
        <w:spacing w:before="0" w:after="200" w:line="336" w:lineRule="auto"/>
        <w:jc w:val="both"/>
      </w:pPr>
      <w:r>
        <w:rPr>
          <w:rFonts w:ascii="B Lotus" w:hAnsi="B Lotus" w:cs="B Lotus" w:eastAsia="B Lotus"/>
          <w:b w:val="0"/>
          <w:i w:val="0"/>
          <w:sz w:val="28"/>
          <w:szCs w:val="28"/>
        </w:rPr>
        <w:t>مهم‌ترین دستاورد نظری این رساله ـ اگر از من بپرسند ـ تفکیک سه‌گانه سطوح تحلیل است که در فصل پنجم صورت‌بندی شد: «جواز فقهی» (که مرجعش فقه و ولی فقیه است)، «مشروعیت داخلی» (که مرجعش قانون اساسی و نهادهاست)، و «مسئولیت بین‌المللی» (که مرجعش حقوق بین‌الملل و مراجع بین‌المللی است). این سه سطح «مستقل‌اند»: تصمیم ولی فقیه ممکن است هم‌زمان شرعاً جایز، قانوناً معتبر، و بین‌المللاً مسئولیت‌آور باشد؛ و هیچ‌کدام از این سه، دو تای دیگر را نفی یا اثبات نمی‌کند. هرکس این سه را قاطی کند ـ چه آن‌کس که از جواز شرعی، بی‌هزینگی بین‌المللی نتیجه بگیرد و بعد غافلگیر شود، چه آن‌کس که از مسئولیت بین‌المللی، ناروایی شرعی نتیجه بگیرد و حکمی واجب را زیر سؤال ببرد ـ دچار خطای تحلیلی شده؛ و این خطا در مقام تصمیم‌گیری می‌تواند فاجعه‌بار باشد. هنر حکمرانی اسلامی، مدیریت هم‌زمان و عاقلانه هر سه سطح است ـ و این هنر، همان «عقلانیت حکومتی» است که کل این رساله در پی تبیینش بود.</w:t>
      </w:r>
    </w:p>
    <w:p>
      <w:pPr>
        <w:pStyle w:val="TH-Goftar"/>
        <w:widowControl/>
        <w:bidi w:val="1"/>
        <w:spacing w:before="280" w:after="160" w:line="336" w:lineRule="auto"/>
        <w:jc w:val="right"/>
        <w:keepNext w:val="1"/>
        <w:shd w:val="clear" w:fill="EDEDED"/>
      </w:pPr>
      <w:bookmarkStart w:id="159" w:name="_Toc000159"/>
      <w:r>
        <w:rPr>
          <w:rFonts w:ascii="B Titr" w:hAnsi="B Titr" w:cs="B Titr" w:eastAsia="B Titr"/>
          <w:b/>
          <w:i w:val="0"/>
          <w:sz w:val="32"/>
          <w:szCs w:val="32"/>
          <w:rtl/>
        </w:rPr>
        <w:t>دستاورد پنجم: قانون اساسی کف است نه سقف</w:t>
      </w:r>
      <w:bookmarkEnd w:id="159"/>
    </w:p>
    <w:p>
      <w:pPr>
        <w:pStyle w:val="TH-Body"/>
        <w:widowControl/>
        <w:bidi w:val="1"/>
        <w:spacing w:before="0" w:after="200" w:line="336" w:lineRule="auto"/>
        <w:jc w:val="both"/>
      </w:pPr>
      <w:r>
        <w:rPr>
          <w:rFonts w:ascii="B Lotus" w:hAnsi="B Lotus" w:cs="B Lotus" w:eastAsia="B Lotus"/>
          <w:b w:val="0"/>
          <w:i w:val="0"/>
          <w:sz w:val="28"/>
          <w:szCs w:val="28"/>
        </w:rPr>
        <w:t>در حقوق اساسی، اختیار ولی فقیه درباره سرنوشت معاهدات «صریح» نیست؛ یعنی در هیچ بندی از اصل ۱۱۰ ذکر نشده و هر ادعای خلافی، خلاف واقعیت متنی است ـ واقعیتی که در فصل پنجم با صراحت ثبت کردم، هرچند می‌دانم به مذاق بعضی خوش نمی‌آید. ولی این اختیار از نوع «ضمنی و ولایی» است: از بندهای عام اصل ۱۱۰ (به‌ویژه بندهای ۱، ۵، ۷ و ۸ ـ و به‌طور خاص بند ۸ درباره حل معضلات نظام) و اصل ۵۷ (ولایت مطلقه) استنباط می‌شود؛ و صورتِ اعمالش «حکم حکومتی» است. تفکیک چهارگانه مراتب اختیار (صریح، ضمنی، ولایی، حکومتی) راه میانه‌ای است میان دو افراط: حصرگراییِ فلج‌کننده‌ای که نظام را در برابر بحران‌های نوپدید بی‌پاسخ می‌گذارد، و توسعه بی‌ضابطه‌ای که با حکومت قانون نمی‌سازد. قانون اساسی «کف» اختیارات است نه «سقف» آن؛ ولی حرکت از کف به سقف، مقید به ضوابط هشت‌گانه است. «عدم حصر» به معنای «عدم ضابطه» نیست ـ و همین یک جمله، جوهر کل رساله است.</w:t>
      </w:r>
    </w:p>
    <w:p>
      <w:pPr>
        <w:pStyle w:val="TH-Goftar"/>
        <w:widowControl/>
        <w:bidi w:val="1"/>
        <w:spacing w:before="280" w:after="160" w:line="336" w:lineRule="auto"/>
        <w:jc w:val="right"/>
        <w:keepNext w:val="1"/>
        <w:shd w:val="clear" w:fill="EDEDED"/>
      </w:pPr>
      <w:bookmarkStart w:id="160" w:name="_Toc000160"/>
      <w:r>
        <w:rPr>
          <w:rFonts w:ascii="B Titr" w:hAnsi="B Titr" w:cs="B Titr" w:eastAsia="B Titr"/>
          <w:b/>
          <w:i w:val="0"/>
          <w:sz w:val="32"/>
          <w:szCs w:val="32"/>
          <w:rtl/>
        </w:rPr>
        <w:t>نوآوری‌ها و پیشنهادها</w:t>
      </w:r>
      <w:bookmarkEnd w:id="160"/>
    </w:p>
    <w:p>
      <w:pPr>
        <w:pStyle w:val="TH-Body"/>
        <w:widowControl/>
        <w:bidi w:val="1"/>
        <w:spacing w:before="0" w:after="200" w:line="336" w:lineRule="auto"/>
        <w:jc w:val="both"/>
      </w:pPr>
      <w:r>
        <w:rPr>
          <w:rFonts w:ascii="B Lotus" w:hAnsi="B Lotus" w:cs="B Lotus" w:eastAsia="B Lotus"/>
          <w:b w:val="0"/>
          <w:i w:val="0"/>
          <w:sz w:val="28"/>
          <w:szCs w:val="28"/>
        </w:rPr>
        <w:t>نوآوری‌های این رساله را در هشت بند می‌شود شمرد ـ و هرکدام را متن رساله گواهی می‌دهد، نه ادعای من: صورت‌بندی سه‌سطحی مسئله و تحلیل تفکیک‌شده هر سه با هم؛ استخراج ضوابط هشت‌گانه عملی برای عدول حکومتی؛ نقد مستند ادعای اختیار صریح در اصل ۱۱۰ و ارائه تفکیک چهارگانه مراتب اختیار؛ تمایز تزاحم از تخصیص در مسئله وفا و ارائه تحلیل فنیِ نسبت ادله؛ طیف پنج‌صورتِ عدول (از سبز تا قرمز) به‌مثابه ابزار تصمیم‌گیری؛ نسبت‌سنجی «ضرورت» ماده ۲۵ طرح با «مصلحت» فقهی و اثبات عموم و خصوص من‌وجه؛ تحلیل ماده ۶۲ وین و نسبت تغییر بنیادین اوضاع با تزاحم مصلحتی؛ و ارائه راهبردهای پنج‌گانه مدیریت حقوقی عدول از مرحله انعقاد تا پسااجرا.</w:t>
      </w:r>
    </w:p>
    <w:p>
      <w:pPr>
        <w:pStyle w:val="TH-Body"/>
        <w:widowControl/>
        <w:bidi w:val="1"/>
        <w:spacing w:before="0" w:after="200" w:line="336" w:lineRule="auto"/>
        <w:ind w:firstLine="283"/>
        <w:jc w:val="both"/>
      </w:pPr>
      <w:r>
        <w:rPr>
          <w:rFonts w:ascii="B Lotus" w:hAnsi="B Lotus" w:cs="B Lotus" w:eastAsia="B Lotus"/>
          <w:b w:val="0"/>
          <w:i w:val="0"/>
          <w:sz w:val="28"/>
          <w:szCs w:val="28"/>
        </w:rPr>
        <w:t>و برای پژوهش‌های بعدی شش پیشنهاد دارم ـ پیشنهادهایی که هرکدام می‌تواند موضوع یک رساله مستقل باشد: پژوهش تطبیقی میان مکتب‌های فقهی (امامیه، حنفیه، مالکیه و دیگران) در باب عهدنامه‌های امروزی؛ تحلیل موردیِ اسنادیِ تجربه‌های معاصر ایران (الجزایر، برجام، و دیگران) در چارچوب ضوابط هشت‌گانه؛ پژوهش مستقل درباره نسبت «قواعد آمره» بین‌المللی با «احکام ثابت» شرعی؛ بررسی فقهی ـ حقوقی «حق شرط» و «اعلامیه تفسیری» به‌مثابه ابزار پیشگیرانه؛ پژوهش درباره سازوکار نهادیِ پیشنهادیِ «ستاد مصلحت‌سنجی تعهدات بین‌المللی»؛ و دست آخر، ترجمه و شرح فارسیِ روانِ کنوانسیون وین و طرح مسئولیت برای طلاب و دانشجویان فقه بین‌الملل ـ کاری که جای خالی‌اش در کتابخانه حوزه به‌شدت احساس می‌شود.</w:t>
      </w:r>
    </w:p>
    <w:p>
      <w:pPr>
        <w:pStyle w:val="TH-Goftar"/>
        <w:widowControl/>
        <w:bidi w:val="1"/>
        <w:spacing w:before="280" w:after="160" w:line="336" w:lineRule="auto"/>
        <w:jc w:val="right"/>
        <w:keepNext w:val="1"/>
        <w:shd w:val="clear" w:fill="EDEDED"/>
      </w:pPr>
      <w:bookmarkStart w:id="161" w:name="_Toc000161"/>
      <w:r>
        <w:rPr>
          <w:rFonts w:ascii="B Titr" w:hAnsi="B Titr" w:cs="B Titr" w:eastAsia="B Titr"/>
          <w:b/>
          <w:i w:val="0"/>
          <w:sz w:val="32"/>
          <w:szCs w:val="32"/>
          <w:rtl/>
        </w:rPr>
        <w:t>پاسخ کوتاه به سؤال‌های فرعی؛ جمع‌بندی برای دفاع</w:t>
      </w:r>
      <w:bookmarkEnd w:id="161"/>
    </w:p>
    <w:p>
      <w:pPr>
        <w:pStyle w:val="TH-Body"/>
        <w:widowControl/>
        <w:bidi w:val="1"/>
        <w:spacing w:before="0" w:after="200" w:line="336" w:lineRule="auto"/>
        <w:jc w:val="both"/>
      </w:pPr>
      <w:r>
        <w:rPr>
          <w:rFonts w:ascii="B Lotus" w:hAnsi="B Lotus" w:cs="B Lotus" w:eastAsia="B Lotus"/>
          <w:b w:val="0"/>
          <w:i w:val="0"/>
          <w:sz w:val="28"/>
          <w:szCs w:val="28"/>
        </w:rPr>
        <w:t>خواننده‌ای که تا این‌جا آمده، جوابِ سؤالِ اصلی را دریافته؛ ولی برای کامل شدنِ تصویر ـ و برای جلسه دفاع که معمولاً سؤال‌به‌سؤال پیش می‌رود ـ جوابِ کوتاهِ هر هفت سؤالِ فرعی را هم این‌جا یک‌جا می‌آورم:</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اول (مسئولیت بین‌المللی): تصمیمِ ولی فقیه به دولت منتسب می‌شود (ماده ۴ طرح) و اگر بدونِ مجوز باشد، مسئولیت می‌آورد (مواد ۱۲ و ۳۱)؛ ولی این مسئولیت مانعِ جوازِ شرعی نیست، بلکه هزینه‌ای است که باید در محاسبه مصلحت لحاظ شود ـ و با راهبردهای پنج‌گانه می‌شود آن را به حداقل رساند.</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دوم (سازوکارهای تعلیق و خاتمه): وین، راه‌های متعددی پیش‌بینی کرده ـ از اعمالِ حقِ مندرج و توافقِ اطراف تا نقضِ اساسیِ طرف و تغییرِ بنیادینِ اوضاع و آیینِ ادعا؛ و منطقِ مشترکِ همه‌شان این است که خروج باید ضابطه‌مند و اعلام‌شده باشد ـ همان منطقی که ضوابطِ هشت‌گانه من به زبانِ فقه می‌گویند.</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سوم (ادله وفا): پنج آیه عام و آیاتِ خاصِ جهاد و روایات و سیره و عقل و بنای عقلا، مجموعاً قاعده وجوبِ وفا را اثبات می‌کنند؛ ولی دلالتشان منصرف به شرایطِ عادی است و شاملِ تزاحمِ مصلحتی نمی‌شود ـ نه با تخصیص، بلکه با تحلیلِ تزاحمی.</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چهارم (حکم حکومتی و تزاحم): نسبتِ وجوبِ وفا و وجوبِ حفظِ نظام، تزاحمی است و مرجعِ حلش ولی فقیه است با ابزارِ حکمِ حکومتی؛ و این جواز با چهار مبنای مستقل (تزاحم، حکم حکومتی، لاضرر و لاحرج، اوجبیتِ حفظِ نظام) و هشت ضابطه مهارشده.</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پنجم (قانون اساسی): اختیارِ ولی فقیه در این حوزه «ضمنی و ولایی» است، نه صریح ـ مستند به بندهای عامِ اصل ۱۱۰ (به‌ویژه بندهای ۱ و ۸) و اصل ۵۷؛ و قانون اساسی «کفِ» اختیارات است، نه «سقفِ» آن ـ ولی حرکت از کف به سقف، مقید به ضوابط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ششم (سیره): از حدیبیه (وفای صبورانه) و برائت (عدولِ واکنشیِ اعلام‌شده) و میثاقِ مدینه و نجران و صلحِ امام حسن (مصلحت‌سنجیِ حکومتی در بزرگ‌ترین مقیاس) سه الگو درمی‌آید که عیناً منطبق بر طیفِ پنج‌صورت و ضوابطِ هشت‌گانه من‌اند ـ نشانی بر این‌که چارچوبم ریشه در عملِ معصومان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و سؤالِ فرعیِ هفتم (آثار عملی): آثار در سه سطح‌اند ـ داخلی (تعلیقِ موقتِ قانونِ تصویب‌کننده، بدونِ نسخ)، بین‌المللی (توقف و جبران و آثارِ دوره تعلیق)، و حیثیتی (اعتبارِ کشور و اسلام)؛ و مدیریتِ هر سه، با چک‌لیستِ هشت‌قدمِ پیوستِ اول انجام می‌شود ـ قدم‌به‌قدم و بدونِ شتاب‌زدگی.</w:t>
      </w:r>
    </w:p>
    <w:p>
      <w:pPr>
        <w:pStyle w:val="TH-Goftar"/>
        <w:widowControl/>
        <w:bidi w:val="1"/>
        <w:spacing w:before="280" w:after="160" w:line="336" w:lineRule="auto"/>
        <w:jc w:val="right"/>
        <w:keepNext w:val="1"/>
        <w:shd w:val="clear" w:fill="EDEDED"/>
      </w:pPr>
      <w:bookmarkStart w:id="162" w:name="_Toc000162"/>
      <w:r>
        <w:rPr>
          <w:rFonts w:ascii="B Titr" w:hAnsi="B Titr" w:cs="B Titr" w:eastAsia="B Titr"/>
          <w:b/>
          <w:i w:val="0"/>
          <w:sz w:val="32"/>
          <w:szCs w:val="32"/>
          <w:rtl/>
        </w:rPr>
        <w:t>مسیر آینده؛ از رساله تا نظام‌سازی</w:t>
      </w:r>
      <w:bookmarkEnd w:id="162"/>
    </w:p>
    <w:p>
      <w:pPr>
        <w:pStyle w:val="TH-Body"/>
        <w:widowControl/>
        <w:bidi w:val="1"/>
        <w:spacing w:before="0" w:after="200" w:line="336" w:lineRule="auto"/>
        <w:jc w:val="both"/>
      </w:pPr>
      <w:r>
        <w:rPr>
          <w:rFonts w:ascii="B Lotus" w:hAnsi="B Lotus" w:cs="B Lotus" w:eastAsia="B Lotus"/>
          <w:b w:val="0"/>
          <w:i w:val="0"/>
          <w:sz w:val="28"/>
          <w:szCs w:val="28"/>
        </w:rPr>
        <w:t>پیش از سخن آخر، بگذارید افقِ پیشِ رو را ترسیم کنم؛ چون این رساله ـ چنان‌که گفتم ـ گامِ اول است، نه گامِ آخر. سه مسیرِ پژوهشیِ بعدی را ضروری می‌دانم: یکم، «فقهِ معاهداتِ امروزی» باید به‌صورتِ نظام‌مند تدوین شود؛ یعنی همان کاری که فقهای ما در بابِ بیع و اجاره کرده‌اند، باید در بابِ معاهده هم بشود: تعریف، ارکان، شرایط، احکام، خیارات و آثار ـ همه با ادله و با زبانِ امروز. دوم، «حقوقِ اساسیِ سیاست خارجی» باید از پراکندگی درآید؛ یعنی نسبتِ مجلس و دولت و رهبری و شورای عالی امنیت ملی در چرخه کاملِ معاهده (از مذاکره تا تصویب تا اجرا تا خروج) باید شفاف و مدون شود ـ چه با قانون عادی، چه با رویه تفسیریِ شورای نگهبان. و سوم، «آموزشِ میان‌رشته‌ای» باید جدی گرفته شود: طلبه‌ای که حقوق بین‌الملل نداند، نمی‌تواند فقیهِ سیاست خارجی باشد؛ و حقوق‌دانی که فقه نداند، نمی‌تواند مشاورِ نظامِ اسلامی باشد. پیشنهادِ مشخصِ من، طراحیِ درسِ «فقهِ روابط بین‌الملل» در سطحِ خارجِ حوزه و درسِ «مبانیِ فقهیِ سیاست خارجی» در دانشکده‌های حقوق است. اگر این سه مسیر پیموده شود، این رساله ـ که امروز گامی تنهاست ـ فردا حلقه‌ای از زنجیره‌ای بزرگ خواهد بود.</w:t>
      </w:r>
    </w:p>
    <w:p>
      <w:pPr>
        <w:pStyle w:val="TH-Body"/>
        <w:widowControl/>
        <w:bidi w:val="1"/>
        <w:spacing w:before="0" w:after="200" w:line="336" w:lineRule="auto"/>
        <w:ind w:firstLine="283"/>
        <w:jc w:val="both"/>
      </w:pPr>
      <w:r>
        <w:rPr>
          <w:rFonts w:ascii="B Lotus" w:hAnsi="B Lotus" w:cs="B Lotus" w:eastAsia="B Lotus"/>
          <w:b w:val="0"/>
          <w:i w:val="0"/>
          <w:sz w:val="28"/>
          <w:szCs w:val="28"/>
        </w:rPr>
        <w:t>سخن آخر را با اعتراف به کاستی‌ها تمام می‌کنم؛ چون کار علمیِ بی‌نقد، کار مرده است. این رساله ـ مثل هر کار بشری ـ کامل نیست: دسترسی نداشتن به اسناد محرمانه، کم‌کاری ادبیات فقهی در این باب، و اختلاف تفاسیر حقوقی، هر سه مرزهای این پژوهش‌اند ـ مرزهایی که صادقانه در مقدمه گفتم و این‌جا تکرار می‌کنم. ولی اگر همین رساله توانسته باشد گرهی را که در مقدمه توصیف کردم ـ دست‌کم به‌اندازه گامی ـ باز کند و چارچوبی به دست تصمیم‌گیر بدهد که با آن، هم شرع را نگه دارد هم قانون را هم مصلحت کشور را، آن‌وقت زحمتی که کشیده شده بی‌ثمر نمانده. و اگر هم نتوانسته، دست‌کم راه را برای آیندگان هموارتر کرده؛ که علم، بنای نسل‌هاست و هر نسلی آجری می‌نهد. والحمد لله اولاً و آخراً، و صلی الله علی محمد و آله الطاهرین.</w:t>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163" w:name="_Toc000163"/>
      <w:r>
        <w:rPr>
          <w:rFonts w:ascii="B Titr" w:hAnsi="B Titr" w:cs="B Titr" w:eastAsia="B Titr"/>
          <w:b/>
          <w:i w:val="0"/>
          <w:sz w:val="44"/>
          <w:szCs w:val="44"/>
          <w:rtl/>
        </w:rPr>
        <w:t>فهرست منابع</w:t>
      </w:r>
      <w:bookmarkEnd w:id="163"/>
    </w:p>
    <w:p>
      <w:pPr>
        <w:pStyle w:val="TH-Body"/>
        <w:widowControl/>
        <w:bidi w:val="1"/>
        <w:spacing w:before="0" w:after="200" w:line="336" w:lineRule="auto"/>
        <w:jc w:val="both"/>
      </w:pPr>
      <w:r>
        <w:rPr>
          <w:rFonts w:ascii="B Lotus" w:hAnsi="B Lotus" w:cs="B Lotus" w:eastAsia="B Lotus"/>
          <w:b w:val="0"/>
          <w:i w:val="0"/>
          <w:sz w:val="28"/>
          <w:szCs w:val="28"/>
        </w:rPr>
        <w:t>منابع این پژوهش در هشت دسته سامان یافته: قرآن و تفاسیر؛ جوامع حدیثی؛ کتب فقهی و اصولی؛ آثار فقه سیاسی و حکومتی؛ قانون اساسی و اسناد حقوقی داخلی؛ اسناد بین‌المللی؛ کتب و مقالات حقوقی؛ و پایگاه‌های اینترنتی. در هر دسته منابع را به‌ترتیب اهمیت آورده‌ام و مشخصات هرکدام را تا آن‌جا که در دسترسم بوده ثبت کرده‌ام؛ هرجا مشخصه‌ای (چاپ، ناشر، سال یا صفحه) نیازمند بازبینی بوده، صادقانه قید «نیازمند بررسی منبع اصلی» زده‌ام. دلیلش را هم بگویم: امانت علمی اقتضا می‌کند چیزی را که ندیده‌ام به‌قطع نسبت ندهم؛ و بهتر است خواننده بداند کدام نشانی‌ها قطعی‌اند و کدام نیازمند بازبینی، تا خودش تحقیق کند. این قید، نه نشانه سستی کار، که نشانه صداقت آن است.</w:t>
      </w:r>
    </w:p>
    <w:p>
      <w:pPr>
        <w:pStyle w:val="TH-Goftar"/>
        <w:widowControl/>
        <w:bidi w:val="1"/>
        <w:spacing w:before="280" w:after="160" w:line="336" w:lineRule="auto"/>
        <w:jc w:val="right"/>
        <w:keepNext w:val="1"/>
        <w:shd w:val="clear" w:fill="EDEDED"/>
      </w:pPr>
      <w:bookmarkStart w:id="164" w:name="_Toc000164"/>
      <w:r>
        <w:rPr>
          <w:rFonts w:ascii="B Titr" w:hAnsi="B Titr" w:cs="B Titr" w:eastAsia="B Titr"/>
          <w:b/>
          <w:i w:val="0"/>
          <w:sz w:val="32"/>
          <w:szCs w:val="32"/>
          <w:rtl/>
        </w:rPr>
        <w:t>قرآن کریم و تفاسیر</w:t>
      </w:r>
      <w:bookmarkEnd w:id="164"/>
    </w:p>
    <w:p>
      <w:pPr>
        <w:pStyle w:val="TH-Body"/>
        <w:widowControl/>
        <w:bidi w:val="1"/>
        <w:spacing w:before="0" w:after="200" w:line="336" w:lineRule="auto"/>
        <w:jc w:val="both"/>
      </w:pPr>
      <w:r>
        <w:rPr>
          <w:rFonts w:ascii="B Lotus" w:hAnsi="B Lotus" w:cs="B Lotus" w:eastAsia="B Lotus"/>
          <w:b w:val="0"/>
          <w:i w:val="0"/>
          <w:sz w:val="28"/>
          <w:szCs w:val="28"/>
        </w:rPr>
        <w:t>قرآن کریم. ترجمه‌های فارسی مورد استفاده: ترجمه فولادوند و ترجمه مکارم شیرازی (در موارد اختلافی، مبنا متن عربی است ـ چون ترجمه، تفسیر است و حجت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طوسی، محمد بن حسن، التبیان فی تفسیر القرآن، بیروت، دار احیاء التراث العربی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طبرسی، فضل بن حسن، مجمع البیان فی تفسیر القرآن، تهران، انتشارات ناصر خسرو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علامه طباطبایی، سیدمحمدحسین، المیزان فی تفسیر القرآن،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فخر رازی، محمد بن عمر، مفاتیح الغیب (التفسیر الکبیر)، بیروت، دار احیاء التراث العربی (مشخصات چاپ، نیازمند بررسی منبع اصلی است).</w:t>
      </w:r>
    </w:p>
    <w:p>
      <w:pPr>
        <w:pStyle w:val="TH-Goftar"/>
        <w:widowControl/>
        <w:bidi w:val="1"/>
        <w:spacing w:before="280" w:after="160" w:line="336" w:lineRule="auto"/>
        <w:jc w:val="right"/>
        <w:keepNext w:val="1"/>
        <w:shd w:val="clear" w:fill="EDEDED"/>
      </w:pPr>
      <w:bookmarkStart w:id="165" w:name="_Toc000165"/>
      <w:r>
        <w:rPr>
          <w:rFonts w:ascii="B Titr" w:hAnsi="B Titr" w:cs="B Titr" w:eastAsia="B Titr"/>
          <w:b/>
          <w:i w:val="0"/>
          <w:sz w:val="32"/>
          <w:szCs w:val="32"/>
          <w:rtl/>
        </w:rPr>
        <w:t>جوامع حدیثی و نهج‌البلاغه</w:t>
      </w:r>
      <w:bookmarkEnd w:id="165"/>
    </w:p>
    <w:p>
      <w:pPr>
        <w:pStyle w:val="TH-Body"/>
        <w:widowControl/>
        <w:bidi w:val="1"/>
        <w:spacing w:before="0" w:after="200" w:line="336" w:lineRule="auto"/>
        <w:jc w:val="both"/>
      </w:pPr>
      <w:r>
        <w:rPr>
          <w:rFonts w:ascii="B Lotus" w:hAnsi="B Lotus" w:cs="B Lotus" w:eastAsia="B Lotus"/>
          <w:b w:val="0"/>
          <w:i w:val="0"/>
          <w:sz w:val="28"/>
          <w:szCs w:val="28"/>
        </w:rPr>
        <w:t>کلینی، محمد بن یعقوب، الکافی، تهران، دار الکتب الاسلامیه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صدوق، محمد بن علی، من لایحضره الفقیه،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صدوق، محمد بن علی، الخصال،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طوسی، محمد بن حسن، تهذیب الاحکام، تهران، دار الکتب الاسلامیه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حر عاملی، محمد بن حسن، وسائل الشیعه، قم، مؤسسه آل‌البیت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مجلسی، محمدباقر، بحار الانوار الجامعة لدرر اخبار الائمة الاطهار، بیروت، دار احیاء التراث العربی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سید رضی، محمد بن حسین، نهج‌البلاغه، ضبط و شرح: فیض‌الاسلام (مشخصات چاپ، نیازمند بررسی منبع اصلی است).</w:t>
      </w:r>
    </w:p>
    <w:p>
      <w:pPr>
        <w:pStyle w:val="TH-Goftar"/>
        <w:widowControl/>
        <w:bidi w:val="1"/>
        <w:spacing w:before="280" w:after="160" w:line="336" w:lineRule="auto"/>
        <w:jc w:val="right"/>
        <w:keepNext w:val="1"/>
        <w:shd w:val="clear" w:fill="EDEDED"/>
      </w:pPr>
      <w:bookmarkStart w:id="166" w:name="_Toc000166"/>
      <w:r>
        <w:rPr>
          <w:rFonts w:ascii="B Titr" w:hAnsi="B Titr" w:cs="B Titr" w:eastAsia="B Titr"/>
          <w:b/>
          <w:i w:val="0"/>
          <w:sz w:val="32"/>
          <w:szCs w:val="32"/>
          <w:rtl/>
        </w:rPr>
        <w:t>کتب فقهی و اصولی</w:t>
      </w:r>
      <w:bookmarkEnd w:id="166"/>
    </w:p>
    <w:p>
      <w:pPr>
        <w:pStyle w:val="TH-Body"/>
        <w:widowControl/>
        <w:bidi w:val="1"/>
        <w:spacing w:before="0" w:after="200" w:line="336" w:lineRule="auto"/>
        <w:jc w:val="both"/>
      </w:pPr>
      <w:r>
        <w:rPr>
          <w:rFonts w:ascii="B Lotus" w:hAnsi="B Lotus" w:cs="B Lotus" w:eastAsia="B Lotus"/>
          <w:b w:val="0"/>
          <w:i w:val="0"/>
          <w:sz w:val="28"/>
          <w:szCs w:val="28"/>
        </w:rPr>
        <w:t>شیخ انصاری، مرتضی، المکاسب (کتاب التجاره)،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انصاری، مرتضی، فرائد الاصول (الرسائل)،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میرزای نائینی، محمدحسین، منیة الطالب فی حاشیة المکاسب، تهران، کتابخانه محمدی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میرزای نائینی، محمدحسین، فوائد الاصول (تقریر کاظمی)،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آخوند خراسانی، محمدکاظم، کفایة الاصول، قم، مؤسسه آل‌البیت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نجفی، محمدحسن (صاحب جواهر)، جواهر الکلام فی شرح شرائع الاسلام، بیروت، دار احیاء التراث العربی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بجنوردی، سیدمحمدحسن، القواعد الفقهیه، قم، نشر الهادی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سیدروح‌الله، تحریر الوسیله،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سیدروح‌الله، المکاسب المحرمه، قم، مؤسسه تنظیم و نشر آثار امام خمینی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سیدروح‌الله، الرسائل (از جمله رساله قاعده لاضرر)، قم، مؤسسه تنظیم و نشر آثار امام خمینی (مشخصات چاپ، نیازمند بررسی منبع اصلی است).</w:t>
      </w:r>
    </w:p>
    <w:p>
      <w:pPr>
        <w:pStyle w:val="TH-Goftar"/>
        <w:widowControl/>
        <w:bidi w:val="1"/>
        <w:spacing w:before="280" w:after="160" w:line="336" w:lineRule="auto"/>
        <w:jc w:val="right"/>
        <w:keepNext w:val="1"/>
        <w:shd w:val="clear" w:fill="EDEDED"/>
      </w:pPr>
      <w:bookmarkStart w:id="167" w:name="_Toc000167"/>
      <w:r>
        <w:rPr>
          <w:rFonts w:ascii="B Titr" w:hAnsi="B Titr" w:cs="B Titr" w:eastAsia="B Titr"/>
          <w:b/>
          <w:i w:val="0"/>
          <w:sz w:val="32"/>
          <w:szCs w:val="32"/>
          <w:rtl/>
        </w:rPr>
        <w:t>فقه سیاسی، ولایت فقیه و حکومت اسلامی</w:t>
      </w:r>
      <w:bookmarkEnd w:id="167"/>
    </w:p>
    <w:p>
      <w:pPr>
        <w:pStyle w:val="TH-Body"/>
        <w:widowControl/>
        <w:bidi w:val="1"/>
        <w:spacing w:before="0" w:after="200" w:line="336" w:lineRule="auto"/>
        <w:jc w:val="both"/>
      </w:pPr>
      <w:r>
        <w:rPr>
          <w:rFonts w:ascii="B Lotus" w:hAnsi="B Lotus" w:cs="B Lotus" w:eastAsia="B Lotus"/>
          <w:b w:val="0"/>
          <w:i w:val="0"/>
          <w:sz w:val="28"/>
          <w:szCs w:val="28"/>
        </w:rPr>
        <w:t>امام خمینی، سیدروح‌الله، ولایت فقیه (حکومت اسلامی)، تهران، مؤسسه تنظیم و نشر آثار امام خمینی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سیدروح‌الله، صحیفه امام (به‌ویژه نامه به حجت‌الاسلام قدیری درباره تقدم حکومت بر احکام فرعیه)، تهران، مؤسسه تنظیم و نشر آثار امام خمینی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منتظری، حسینعلی، دراسات فی ولایة الفقیه و فقه الدولة الاسلامیه، قم، نشر تفکر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منتظری، حسینعلی، شئون و اختیارات ولایت فقیه (ترجمه فارسی محمود صلواتی)، تهران، نشر…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جوادی آملی، عبدالله، ولایت فقیه: ولایت فقاهت و عدالت، قم، مرکز نشر اسراء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جوادی آملی، عبدالله، فقه سیاسی (کتاب‌های درسی خارج فقه)، قم، مرکز نشر اسراء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آیت‌الله خامنه‌ای، سیدعلی، اجوبة الاستفتائات (پاسخ به استفتائات)، تهران، انتشارات…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عمید زنجانی، عباسعلی، فقه سیاسی، تهران، انتشارات امیرکبیر (مشخصات چاپ، نیازمند بررسی منبع اصلی است).</w:t>
      </w:r>
    </w:p>
    <w:p>
      <w:pPr>
        <w:pStyle w:val="TH-Goftar"/>
        <w:widowControl/>
        <w:bidi w:val="1"/>
        <w:spacing w:before="280" w:after="160" w:line="336" w:lineRule="auto"/>
        <w:jc w:val="right"/>
        <w:keepNext w:val="1"/>
        <w:shd w:val="clear" w:fill="EDEDED"/>
      </w:pPr>
      <w:bookmarkStart w:id="168" w:name="_Toc000168"/>
      <w:r>
        <w:rPr>
          <w:rFonts w:ascii="B Titr" w:hAnsi="B Titr" w:cs="B Titr" w:eastAsia="B Titr"/>
          <w:b/>
          <w:i w:val="0"/>
          <w:sz w:val="32"/>
          <w:szCs w:val="32"/>
          <w:rtl/>
        </w:rPr>
        <w:t>قانون اساسی و اسناد حقوقی داخلی</w:t>
      </w:r>
      <w:bookmarkEnd w:id="168"/>
    </w:p>
    <w:p>
      <w:pPr>
        <w:pStyle w:val="TH-Body"/>
        <w:widowControl/>
        <w:bidi w:val="1"/>
        <w:spacing w:before="0" w:after="200" w:line="336" w:lineRule="auto"/>
        <w:jc w:val="both"/>
      </w:pPr>
      <w:r>
        <w:rPr>
          <w:rFonts w:ascii="B Lotus" w:hAnsi="B Lotus" w:cs="B Lotus" w:eastAsia="B Lotus"/>
          <w:b w:val="0"/>
          <w:i w:val="0"/>
          <w:sz w:val="28"/>
          <w:szCs w:val="28"/>
        </w:rPr>
        <w:t>قانون اساسی جمهوری اسلامی ایران (مصوب ۱۳۵۸ با اصلاحات ۱۳۶۸)، تهران، انتشارات مجلس شورای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مشروح مذاکرات مجلس بررسی نهایی قانون اساسی جمهوری اسلامی ایران، تهران، اداره کل امور فرهنگی و روابط عمومی مجلس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قاضی شریعت‌پناهی، سیدابوالفضل، حقوق اساسی و نهادهای سیاسی، تهران، نشر میزان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هاشمی، سیدمحمد، حقوق اساسی جمهوری اسلامی ایران، تهران، نشر میزان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نظرات تفسیری شورای نگهبان درباره اصول قانون اساسی (به‌ویژه تفسیر اصل ۱۱۲)، تهران، پژوهشکده شورای نگهبان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قانون آیین‌نامه داخلی مجلس شورای اسلامی (مواد مربوط به بررسی عهدنامه‌ها و مقاوله‌نامه‌های بین‌المللی).</w:t>
      </w:r>
    </w:p>
    <w:p>
      <w:pPr>
        <w:pStyle w:val="TH-Goftar"/>
        <w:widowControl/>
        <w:bidi w:val="1"/>
        <w:spacing w:before="280" w:after="160" w:line="336" w:lineRule="auto"/>
        <w:jc w:val="right"/>
        <w:keepNext w:val="1"/>
        <w:shd w:val="clear" w:fill="EDEDED"/>
      </w:pPr>
      <w:bookmarkStart w:id="169" w:name="_Toc000169"/>
      <w:r>
        <w:rPr>
          <w:rFonts w:ascii="B Titr" w:hAnsi="B Titr" w:cs="B Titr" w:eastAsia="B Titr"/>
          <w:b/>
          <w:i w:val="0"/>
          <w:sz w:val="32"/>
          <w:szCs w:val="32"/>
          <w:rtl/>
        </w:rPr>
        <w:t>اسناد بین‌المللی</w:t>
      </w:r>
      <w:bookmarkEnd w:id="169"/>
    </w:p>
    <w:p>
      <w:pPr>
        <w:pStyle w:val="TH-Body"/>
        <w:widowControl/>
        <w:bidi w:val="1"/>
        <w:spacing w:before="0" w:after="200" w:line="336" w:lineRule="auto"/>
        <w:jc w:val="both"/>
      </w:pPr>
      <w:r>
        <w:rPr>
          <w:rFonts w:ascii="B Lotus" w:hAnsi="B Lotus" w:cs="B Lotus" w:eastAsia="B Lotus"/>
          <w:b w:val="0"/>
          <w:i w:val="0"/>
          <w:sz w:val="28"/>
          <w:szCs w:val="28"/>
        </w:rPr>
        <w:t>منشور سازمان ملل متحد (۱۹۴۵)، سانفرانسیسکو (متن فارسی رسمی،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اساسنامه دیوان بین‌المللی دادگستری (۱۹۴۵)، ضمیمه منشور سازمان ملل.</w:t>
      </w:r>
    </w:p>
    <w:p>
      <w:pPr>
        <w:pStyle w:val="TH-Body"/>
        <w:widowControl/>
        <w:bidi w:val="1"/>
        <w:spacing w:before="0" w:after="200" w:line="336" w:lineRule="auto"/>
        <w:ind w:firstLine="283"/>
        <w:jc w:val="both"/>
      </w:pPr>
      <w:r>
        <w:rPr>
          <w:rFonts w:ascii="B Lotus" w:hAnsi="B Lotus" w:cs="B Lotus" w:eastAsia="B Lotus"/>
          <w:b w:val="0"/>
          <w:i w:val="0"/>
          <w:sz w:val="28"/>
          <w:szCs w:val="28"/>
        </w:rPr>
        <w:t>کنوانسیون وین حقوق معاهدات (۱۹۶۹)، وین (متن انگلیسی و ترجمه‌های فارسی موجود؛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کنوانسیون وین حقوق معاهدات میان دولت‌ها و سازمان‌های بین‌المللی یا میان سازمان‌های بین‌المللی (۱۹۸۶)، وین.</w:t>
      </w:r>
    </w:p>
    <w:p>
      <w:pPr>
        <w:pStyle w:val="TH-Body"/>
        <w:widowControl/>
        <w:bidi w:val="1"/>
        <w:spacing w:before="0" w:after="200" w:line="336" w:lineRule="auto"/>
        <w:ind w:firstLine="283"/>
        <w:jc w:val="both"/>
      </w:pPr>
      <w:r>
        <w:rPr>
          <w:rFonts w:ascii="B Lotus" w:hAnsi="B Lotus" w:cs="B Lotus" w:eastAsia="B Lotus"/>
          <w:b w:val="0"/>
          <w:i w:val="0"/>
          <w:sz w:val="28"/>
          <w:szCs w:val="28"/>
        </w:rPr>
        <w:t>طرح مواد کمیسیون حقوق بین‌الملل درباره مسئولیت بین‌المللی دولت‌ها (۲۰۰۱)، ضمیمه قطعنامه مجمع عمومی سازمان ملل.</w:t>
      </w:r>
    </w:p>
    <w:p>
      <w:pPr>
        <w:pStyle w:val="TH-Body"/>
        <w:widowControl/>
        <w:bidi w:val="1"/>
        <w:spacing w:before="0" w:after="200" w:line="336" w:lineRule="auto"/>
        <w:ind w:firstLine="283"/>
        <w:jc w:val="both"/>
      </w:pPr>
      <w:r>
        <w:rPr>
          <w:rFonts w:ascii="B Lotus" w:hAnsi="B Lotus" w:cs="B Lotus" w:eastAsia="B Lotus"/>
          <w:b w:val="0"/>
          <w:i w:val="0"/>
          <w:sz w:val="28"/>
          <w:szCs w:val="28"/>
        </w:rPr>
        <w:t>آرای دیوان بین‌المللی دادگستری: قضیه کارکنان دیپلماتیک آمریکا در تهران (۱۹۸۰)، قضیه گابچیکوو ـ ناگیماروش (۱۹۹۷)، و قضیه نیکاراگوئه (۱۹۸۶).</w:t>
      </w:r>
    </w:p>
    <w:p>
      <w:pPr>
        <w:pStyle w:val="TH-Body"/>
        <w:widowControl/>
        <w:bidi w:val="1"/>
        <w:spacing w:before="0" w:after="200" w:line="336" w:lineRule="auto"/>
        <w:ind w:firstLine="283"/>
        <w:jc w:val="both"/>
      </w:pPr>
      <w:r>
        <w:rPr>
          <w:rFonts w:ascii="B Lotus" w:hAnsi="B Lotus" w:cs="B Lotus" w:eastAsia="B Lotus"/>
          <w:b w:val="0"/>
          <w:i w:val="0"/>
          <w:sz w:val="28"/>
          <w:szCs w:val="28"/>
        </w:rPr>
        <w:t>قطعنامه ۲۲۳۱ شورای امنیت سازمان ملل متحد (۲۰۱۵) درباره برنامه جامع اقدام مشترک (برجام).</w:t>
      </w:r>
    </w:p>
    <w:p>
      <w:pPr>
        <w:pStyle w:val="TH-Body"/>
        <w:widowControl/>
        <w:bidi w:val="1"/>
        <w:spacing w:before="0" w:after="200" w:line="336" w:lineRule="auto"/>
        <w:ind w:firstLine="283"/>
        <w:jc w:val="both"/>
      </w:pPr>
      <w:r>
        <w:rPr>
          <w:rFonts w:ascii="B Lotus" w:hAnsi="B Lotus" w:cs="B Lotus" w:eastAsia="B Lotus"/>
          <w:b w:val="0"/>
          <w:i w:val="0"/>
          <w:sz w:val="28"/>
          <w:szCs w:val="28"/>
        </w:rPr>
        <w:t>برنامه جامع اقدام مشترک (برجام، ۲۰۱۵)، وین (متن رسمی،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عهدنامه الجزایر (۱۹۸۱) میان ایران و آمریکا درباره حل قضیه گروگان‌ها.</w:t>
      </w:r>
    </w:p>
    <w:p>
      <w:pPr>
        <w:pStyle w:val="TH-Goftar"/>
        <w:widowControl/>
        <w:bidi w:val="1"/>
        <w:spacing w:before="280" w:after="160" w:line="336" w:lineRule="auto"/>
        <w:jc w:val="right"/>
        <w:keepNext w:val="1"/>
        <w:shd w:val="clear" w:fill="EDEDED"/>
      </w:pPr>
      <w:bookmarkStart w:id="170" w:name="_Toc000170"/>
      <w:r>
        <w:rPr>
          <w:rFonts w:ascii="B Titr" w:hAnsi="B Titr" w:cs="B Titr" w:eastAsia="B Titr"/>
          <w:b/>
          <w:i w:val="0"/>
          <w:sz w:val="32"/>
          <w:szCs w:val="32"/>
          <w:rtl/>
        </w:rPr>
        <w:t>کتب و مقالات حقوقی (فارسی و عربی)</w:t>
      </w:r>
      <w:bookmarkEnd w:id="170"/>
    </w:p>
    <w:p>
      <w:pPr>
        <w:pStyle w:val="TH-Body"/>
        <w:widowControl/>
        <w:bidi w:val="1"/>
        <w:spacing w:before="0" w:after="200" w:line="336" w:lineRule="auto"/>
        <w:jc w:val="both"/>
      </w:pPr>
      <w:r>
        <w:rPr>
          <w:rFonts w:ascii="B Lotus" w:hAnsi="B Lotus" w:cs="B Lotus" w:eastAsia="B Lotus"/>
          <w:b w:val="0"/>
          <w:i w:val="0"/>
          <w:sz w:val="28"/>
          <w:szCs w:val="28"/>
        </w:rPr>
        <w:t>ضیایی بیگدلی، محمدرضا، حقوق معاهدات بین‌المللی، تهران، انتشارات گنج دانش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صفری، محسن، حقوق بین‌الملل عمومی، تهران، انتشارات…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مقالات پایگاه حوزه درباره «ولایت مطلقه فقیه در قانون اساسی» و «مفهوم ولایت مطلقه فقیه در قانون اساسی جمهوری اسلامی ایران» (به نشانی‌های یادشده در متن).</w:t>
      </w:r>
    </w:p>
    <w:p>
      <w:pPr>
        <w:pStyle w:val="TH-Body"/>
        <w:widowControl/>
        <w:bidi w:val="1"/>
        <w:spacing w:before="0" w:after="200" w:line="336" w:lineRule="auto"/>
        <w:ind w:firstLine="283"/>
        <w:jc w:val="both"/>
      </w:pPr>
      <w:r>
        <w:rPr>
          <w:rFonts w:ascii="B Lotus" w:hAnsi="B Lotus" w:cs="B Lotus" w:eastAsia="B Lotus"/>
          <w:b w:val="0"/>
          <w:i w:val="0"/>
          <w:sz w:val="28"/>
          <w:szCs w:val="28"/>
        </w:rPr>
        <w:t>مقاله «حق شرط در معاهدات بین‌المللی»، پایگاه حوزه (نشانی دقیق،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مقاله «قراردادهای بین‌المللی در اسلام»، پایگاه انسان‌شناسی و فرهنگ… (نشانی دقیق، نیازمند بررسی منبع اصلی است).</w:t>
      </w:r>
    </w:p>
    <w:p>
      <w:pPr>
        <w:pStyle w:val="TH-Goftar"/>
        <w:widowControl/>
        <w:bidi w:val="1"/>
        <w:spacing w:before="280" w:after="160" w:line="336" w:lineRule="auto"/>
        <w:jc w:val="right"/>
        <w:keepNext w:val="1"/>
        <w:shd w:val="clear" w:fill="EDEDED"/>
      </w:pPr>
      <w:bookmarkStart w:id="171" w:name="_Toc000171"/>
      <w:r>
        <w:rPr>
          <w:rFonts w:ascii="B Titr" w:hAnsi="B Titr" w:cs="B Titr" w:eastAsia="B Titr"/>
          <w:b/>
          <w:i w:val="0"/>
          <w:sz w:val="32"/>
          <w:szCs w:val="32"/>
          <w:rtl/>
        </w:rPr>
        <w:t>یادداشت‌های کتاب‌شناختی؛ راهنمای خواننده</w:t>
      </w:r>
      <w:bookmarkEnd w:id="171"/>
    </w:p>
    <w:p>
      <w:pPr>
        <w:pStyle w:val="TH-Body"/>
        <w:widowControl/>
        <w:bidi w:val="1"/>
        <w:spacing w:before="0" w:after="200" w:line="336" w:lineRule="auto"/>
        <w:jc w:val="both"/>
      </w:pPr>
      <w:r>
        <w:rPr>
          <w:rFonts w:ascii="B Lotus" w:hAnsi="B Lotus" w:cs="B Lotus" w:eastAsia="B Lotus"/>
          <w:b w:val="0"/>
          <w:i w:val="0"/>
          <w:sz w:val="28"/>
          <w:szCs w:val="28"/>
        </w:rPr>
        <w:t>فهرست بالا، فهرستِ خشکِ منابع است؛ ولی خواننده‌ای که بخواهد راه این پژوهش را ادامه بدهد، نیازمند «نقشه» هم هست: این‌که از کجا شروع کند، کدام منبع برای کدام بحث، و ترتیبِ پیشنهادیِ مطالعه چیست. این یادداشت‌ها را از این جهت می‌آورم که رساله‌ام فقط پاسخ نباشد، بلکه راهنمایِ پرسش‌های بعدی هم باشد.</w:t>
      </w:r>
    </w:p>
    <w:p>
      <w:pPr>
        <w:pStyle w:val="TH-Body"/>
        <w:widowControl/>
        <w:bidi w:val="1"/>
        <w:spacing w:before="0" w:after="200" w:line="336" w:lineRule="auto"/>
        <w:ind w:firstLine="283"/>
        <w:jc w:val="both"/>
      </w:pPr>
      <w:r>
        <w:rPr>
          <w:rFonts w:ascii="B Lotus" w:hAnsi="B Lotus" w:cs="B Lotus" w:eastAsia="B Lotus"/>
          <w:b w:val="0"/>
          <w:i w:val="0"/>
          <w:sz w:val="28"/>
          <w:szCs w:val="28"/>
        </w:rPr>
        <w:t>برای «مبانی فقهی وفا»، نقطه شروع، خودِ قرآن است: سوره‌های مائده و نحل و اسراء و رعد و توبه و انفال ـ با تفسیر المیزان که عمیق‌ترین تحلیل‌ها را از آیات عهد دارد. بعد از آن، وسائل الشیعه (ابواب جهاد و ابواب احکام عقود) برای روایات، و نهج‌البلاغه (نامه ۵۳) برای منشور حکومتی. و برای فهمِ فقاهتیِ این ادله، جواهر الکلام (کتاب الجهاد) و القواعد الفقهیه بجنوردی (قاعده لزوم) و المکاسب شیخ انصاری، سه ستونِ اصلی‌اند.</w:t>
      </w:r>
    </w:p>
    <w:p>
      <w:pPr>
        <w:pStyle w:val="TH-Body"/>
        <w:widowControl/>
        <w:bidi w:val="1"/>
        <w:spacing w:before="0" w:after="200" w:line="336" w:lineRule="auto"/>
        <w:ind w:firstLine="283"/>
        <w:jc w:val="both"/>
      </w:pPr>
      <w:r>
        <w:rPr>
          <w:rFonts w:ascii="B Lotus" w:hAnsi="B Lotus" w:cs="B Lotus" w:eastAsia="B Lotus"/>
          <w:b w:val="0"/>
          <w:i w:val="0"/>
          <w:sz w:val="28"/>
          <w:szCs w:val="28"/>
        </w:rPr>
        <w:t>برای «حکم حکومتی و تزاحم»، ترتیبِ پیشنهادیِ من تاریخی است: اول عوائد نراقی (برای ریشه‌ها)، بعد تنبیه الامه نائینی (برای پیوند با دولت مدرن)، بعد ولایت فقیه و صحیفه امام (برای صورت‌بندیِ کامل)، و هم‌زمان کفایه و فوائد الاصول (برای فنِ تزاحم). کسی که این مسیر را بپیماید، هم مبنا را فهمیده هم تکاملش را.</w:t>
      </w:r>
    </w:p>
    <w:p>
      <w:pPr>
        <w:pStyle w:val="TH-Body"/>
        <w:widowControl/>
        <w:bidi w:val="1"/>
        <w:spacing w:before="0" w:after="200" w:line="336" w:lineRule="auto"/>
        <w:ind w:firstLine="283"/>
        <w:jc w:val="both"/>
      </w:pPr>
      <w:r>
        <w:rPr>
          <w:rFonts w:ascii="B Lotus" w:hAnsi="B Lotus" w:cs="B Lotus" w:eastAsia="B Lotus"/>
          <w:b w:val="0"/>
          <w:i w:val="0"/>
          <w:sz w:val="28"/>
          <w:szCs w:val="28"/>
        </w:rPr>
        <w:t>برای «حقوق بین‌الملل»، نقطه شروع، متنِ خودِ کنوانسیون وین و طرح مواد مسئولیت است ـ نه شروحشان؛ چون فهمِ دست‌اول از متن، جایگزین‌ناپذیر است. بعد از آن، آرای دیوان (گابچیکوو، گروگان‌ها، نیکاراگوئه، کورزو) برای دیدنِ کاربردِ عملیِ قواعد. و بعد شروح (شاو و کرافورد) برای عمق. و در فارسی، حقوق معاهدات ضیایی بیگدلی، بهترین نقطه ورود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برای «حقوق اساسی»، نقطه شروع، متنِ خودِ قانون اساسی است (با صورت مشروح مذاکرات برای فهمِ مقصودِ واضعان)، بعد تفاسیر (هاشمی و قاضی شریعت‌پناهی)، و بعد مقالاتِ تخصصی (مثل تحلیل‌های پایگاه حوزه درباره اصل ۵۷). و برای تجربه عملی، مصوبات شورای عالی امنیت ملی و مجلس در قضایای معاصر ـ تا آن‌جا که علنی است ـ بهترین آزمایشگاه است.</w:t>
      </w:r>
    </w:p>
    <w:p>
      <w:pPr>
        <w:pStyle w:val="TH-Goftar"/>
        <w:widowControl/>
        <w:bidi w:val="1"/>
        <w:spacing w:before="280" w:after="160" w:line="336" w:lineRule="auto"/>
        <w:jc w:val="right"/>
        <w:keepNext w:val="1"/>
        <w:shd w:val="clear" w:fill="EDEDED"/>
      </w:pPr>
      <w:bookmarkStart w:id="172" w:name="_Toc000172"/>
      <w:r>
        <w:rPr>
          <w:rFonts w:ascii="B Titr" w:hAnsi="B Titr" w:cs="B Titr" w:eastAsia="B Titr"/>
          <w:b/>
          <w:i w:val="0"/>
          <w:sz w:val="32"/>
          <w:szCs w:val="32"/>
          <w:rtl/>
        </w:rPr>
        <w:t>پایگاه‌های اینترنتی</w:t>
      </w:r>
      <w:bookmarkEnd w:id="172"/>
    </w:p>
    <w:p>
      <w:pPr>
        <w:pStyle w:val="TH-Body"/>
        <w:widowControl/>
        <w:bidi w:val="1"/>
        <w:spacing w:before="0" w:after="200" w:line="336" w:lineRule="auto"/>
        <w:jc w:val="both"/>
      </w:pPr>
      <w:r>
        <w:rPr>
          <w:rFonts w:ascii="B Lotus" w:hAnsi="B Lotus" w:cs="B Lotus" w:eastAsia="B Lotus"/>
          <w:b w:val="0"/>
          <w:i w:val="0"/>
          <w:sz w:val="28"/>
          <w:szCs w:val="28"/>
        </w:rPr>
        <w:t>پایگاه اطلاع‌رسانی حوزه (hawzah.net): مقالات اصول ۵۷ و ۱۱۰ و حق شرط در معاهدات.</w:t>
      </w:r>
    </w:p>
    <w:p>
      <w:pPr>
        <w:pStyle w:val="TH-Body"/>
        <w:widowControl/>
        <w:bidi w:val="1"/>
        <w:spacing w:before="0" w:after="200" w:line="336" w:lineRule="auto"/>
        <w:ind w:firstLine="283"/>
        <w:jc w:val="both"/>
      </w:pPr>
      <w:r>
        <w:rPr>
          <w:rFonts w:ascii="B Lotus" w:hAnsi="B Lotus" w:cs="B Lotus" w:eastAsia="B Lotus"/>
          <w:b w:val="0"/>
          <w:i w:val="0"/>
          <w:sz w:val="28"/>
          <w:szCs w:val="28"/>
        </w:rPr>
        <w:t>پایگاه پژوهشکده شورای نگهبان (shora-gc.ir): متن رسمی قانون اساسی و نظرات تفسیری.</w:t>
      </w:r>
    </w:p>
    <w:p>
      <w:pPr>
        <w:pStyle w:val="TH-Body"/>
        <w:widowControl/>
        <w:bidi w:val="1"/>
        <w:spacing w:before="0" w:after="200" w:line="336" w:lineRule="auto"/>
        <w:ind w:firstLine="283"/>
        <w:jc w:val="both"/>
      </w:pPr>
      <w:r>
        <w:rPr>
          <w:rFonts w:ascii="B Lotus" w:hAnsi="B Lotus" w:cs="B Lotus" w:eastAsia="B Lotus"/>
          <w:b w:val="0"/>
          <w:i w:val="0"/>
          <w:sz w:val="28"/>
          <w:szCs w:val="28"/>
        </w:rPr>
        <w:t>پایگاه امامت‌پدیا (fa.imamatpedia.com): مدخل «وفای به عهد در نهج‌البلاغه».</w:t>
      </w:r>
    </w:p>
    <w:p>
      <w:pPr>
        <w:pStyle w:val="TH-Body"/>
        <w:widowControl/>
        <w:bidi w:val="1"/>
        <w:spacing w:before="0" w:after="200" w:line="336" w:lineRule="auto"/>
        <w:ind w:firstLine="283"/>
        <w:jc w:val="both"/>
      </w:pPr>
      <w:r>
        <w:rPr>
          <w:rFonts w:ascii="B Lotus" w:hAnsi="B Lotus" w:cs="B Lotus" w:eastAsia="B Lotus"/>
          <w:b w:val="0"/>
          <w:i w:val="0"/>
          <w:sz w:val="28"/>
          <w:szCs w:val="28"/>
        </w:rPr>
        <w:t>سامانه قوانین (مرکز پژوهش‌های مجلس): متن قوانین و آیین‌نامه‌های داخلی.</w:t>
      </w:r>
    </w:p>
    <w:p>
      <w:pPr>
        <w:pStyle w:val="TH-Body"/>
        <w:widowControl/>
        <w:bidi w:val="1"/>
        <w:spacing w:before="0" w:after="200" w:line="336" w:lineRule="auto"/>
        <w:ind w:firstLine="283"/>
        <w:jc w:val="both"/>
      </w:pPr>
      <w:r>
        <w:rPr>
          <w:rFonts w:ascii="B Lotus" w:hAnsi="B Lotus" w:cs="B Lotus" w:eastAsia="B Lotus"/>
          <w:b w:val="0"/>
          <w:i w:val="0"/>
          <w:sz w:val="28"/>
          <w:szCs w:val="28"/>
        </w:rPr>
        <w:t>پایگاه سازمان ملل (un.org) و کمیسیون حقوق بین‌الملل (legal.un.org/ilc): متن کنوانسیون وین و طرح مواد مسئولیت.</w:t>
      </w:r>
    </w:p>
    <w:p>
      <w:r>
        <w:br w:type="page"/>
      </w:r>
    </w:p>
    <w:p/>
    <w:p/>
    <w:p>
      <w:pPr>
        <w:pStyle w:val="TH-Fasl"/>
        <w:widowControl/>
        <w:bidi w:val="1"/>
        <w:spacing w:before="120" w:after="240" w:line="336" w:lineRule="auto"/>
        <w:jc w:val="right"/>
        <w:pBdr>
          <w:top w:val="single" w:sz="12" w:space="8" w:color="1F3864"/>
          <w:bottom w:val="single" w:sz="12" w:space="8" w:color="1F3864"/>
        </w:pBdr>
        <w:keepNext w:val="1"/>
      </w:pPr>
      <w:bookmarkStart w:id="173" w:name="_Toc000173"/>
      <w:r>
        <w:rPr>
          <w:rFonts w:ascii="B Titr" w:hAnsi="B Titr" w:cs="B Titr" w:eastAsia="B Titr"/>
          <w:b/>
          <w:i w:val="0"/>
          <w:sz w:val="44"/>
          <w:szCs w:val="44"/>
          <w:rtl/>
        </w:rPr>
        <w:t>پیوست‌ها</w:t>
      </w:r>
      <w:bookmarkEnd w:id="173"/>
    </w:p>
    <w:p>
      <w:pPr>
        <w:pStyle w:val="TH-Body"/>
        <w:widowControl/>
        <w:bidi w:val="1"/>
        <w:spacing w:before="0" w:after="200" w:line="336" w:lineRule="auto"/>
        <w:jc w:val="both"/>
      </w:pPr>
      <w:r>
        <w:rPr>
          <w:rFonts w:ascii="B Lotus" w:hAnsi="B Lotus" w:cs="B Lotus" w:eastAsia="B Lotus"/>
          <w:b w:val="0"/>
          <w:i w:val="0"/>
          <w:sz w:val="28"/>
          <w:szCs w:val="28"/>
        </w:rPr>
        <w:t>آن‌چه در ادامه می‌آید شش پیوست تکمیلی است: ابزارهایی عملی و متن‌هایی مرجع که خواننده ـ به‌ویژه تصمیم‌گیر و مشاور ـ می‌تواند مستقل از متن رساله هم از آن‌ها استفاده کند. پیوست اول چک‌لیست تصمیم است (خلاصه عملیاتی کل رساله)؛ پیوست دوم متن اصول قانون اساسی؛ پیوست سوم متن مواد کلیدی وین؛ پیوست چهارم گاه‌شمار؛ پیوست پنجم گزیده عهدنامه مالک اشتر؛ و پیوست ششم واژه‌نامه. توصیه‌ام این است که تصمیم‌گیر، پیوست اول را چاپ کند و روی میزش نگه دارد؛ چون در لحظه تصمیم، فرصت ورق زدنِ کل رساله نیست.</w:t>
      </w:r>
    </w:p>
    <w:p>
      <w:pPr>
        <w:pStyle w:val="TH-Goftar"/>
        <w:widowControl/>
        <w:bidi w:val="1"/>
        <w:spacing w:before="280" w:after="160" w:line="336" w:lineRule="auto"/>
        <w:jc w:val="right"/>
        <w:keepNext w:val="1"/>
        <w:shd w:val="clear" w:fill="EDEDED"/>
      </w:pPr>
      <w:bookmarkStart w:id="174" w:name="_Toc000174"/>
      <w:r>
        <w:rPr>
          <w:rFonts w:ascii="B Titr" w:hAnsi="B Titr" w:cs="B Titr" w:eastAsia="B Titr"/>
          <w:b/>
          <w:i w:val="0"/>
          <w:sz w:val="32"/>
          <w:szCs w:val="32"/>
          <w:rtl/>
        </w:rPr>
        <w:t>پیوست اول: چک‌لیست عملی تصمیم‌گیری درباره عدول از تعهد بین‌المللی</w:t>
      </w:r>
      <w:bookmarkEnd w:id="174"/>
    </w:p>
    <w:p>
      <w:pPr>
        <w:pStyle w:val="TH-Body"/>
        <w:widowControl/>
        <w:bidi w:val="1"/>
        <w:spacing w:before="0" w:after="200" w:line="336" w:lineRule="auto"/>
        <w:jc w:val="both"/>
      </w:pPr>
      <w:r>
        <w:rPr>
          <w:rFonts w:ascii="B Lotus" w:hAnsi="B Lotus" w:cs="B Lotus" w:eastAsia="B Lotus"/>
          <w:b w:val="0"/>
          <w:i w:val="0"/>
          <w:sz w:val="28"/>
          <w:szCs w:val="28"/>
        </w:rPr>
        <w:t>این چک‌لیست خلاصه عملیاتیِ ضوابط هشت‌گانه فصل چهارم و راهبردهای فصل پنجم است؛ به‌ترتیبی که در جلسه تصمیم‌گیری باید پیموده شود. قاعده‌اش ساده است: هر بندی که جوابش «نه» باشد، تصمیم باید متوقف شود و برگردد به مرحله قبل؛ و فقط وقتی همه بندها «بله» باشند، تصمیم نهایی صادر می‌شود. این نظمِ قدم‌به‌قدم، جلوِ شتاب‌زدگی و تصمیم‌های احساسی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قدم اول، احراز مسئله: آیا ادامه اجرا واقعاً با مصلحت اهمی در تزاحم است، یا فقط «ناخوشایند» و «پرهزینه» است؟ (اگر تزاحم واقعی نیست، پرونده بسته است و عدول منتفی. ناخوشایند بودن، مجوز عدول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قدم دوم، راه‌های حقوقی: آیا متن معاهده راهی برای خروج یا تعلیق یا بازنگری پیش‌بینی کرده؟ آیا با مذاکره و توافق می‌شود مسئله را حل کرد؟ (اگر بله، آن راه مقدم است و عدول یک‌جانبه منتفی. آخرین راه، اول امتحان نمی‌شود.)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قدم سوم، کارشناسی: آیا نظر کارشناسیِ مکتوبِ نهادهای ذی‌ربط (وزارت خارجه، شورای عالی امنیت ملی، مجمع تشخیص، معاونت حقوقی) اخذ شده؟ آیا برآورد هزینه ـ فایده (شامل هزینه‌های بین‌المللی) انجام شده؟ (تصمیمِ بی‌کارشناسی، قمار است نه تدبیر.)</w:t>
      </w:r>
    </w:p>
    <w:p>
      <w:pPr>
        <w:pStyle w:val="TH-Body"/>
        <w:widowControl/>
        <w:bidi w:val="1"/>
        <w:spacing w:before="0" w:after="200" w:line="336" w:lineRule="auto"/>
        <w:ind w:firstLine="283"/>
        <w:jc w:val="both"/>
      </w:pPr>
      <w:r>
        <w:rPr>
          <w:rFonts w:ascii="B Lotus" w:hAnsi="B Lotus" w:cs="B Lotus" w:eastAsia="B Lotus"/>
          <w:b w:val="0"/>
          <w:i w:val="0"/>
          <w:sz w:val="28"/>
          <w:szCs w:val="28"/>
        </w:rPr>
        <w:t>قدم چهارم، تشخیص ولی فقیه: آیا موضوع با ادله و مستندات به ولی فقیه عرضه شده و تشخیص نهاییِ او اخذ شده؟ (نه کارشناسیِ بی‌تصمیم، نه تصمیمِ بی‌کارشناسی؛ بلکه تصمیمِ مبتنی بر کارشناسی.)</w:t>
      </w:r>
    </w:p>
    <w:p>
      <w:pPr>
        <w:pStyle w:val="TH-Body"/>
        <w:widowControl/>
        <w:bidi w:val="1"/>
        <w:spacing w:before="0" w:after="200" w:line="336" w:lineRule="auto"/>
        <w:ind w:firstLine="283"/>
        <w:jc w:val="both"/>
      </w:pPr>
      <w:r>
        <w:rPr>
          <w:rFonts w:ascii="B Lotus" w:hAnsi="B Lotus" w:cs="B Lotus" w:eastAsia="B Lotus"/>
          <w:b w:val="0"/>
          <w:i w:val="0"/>
          <w:sz w:val="28"/>
          <w:szCs w:val="28"/>
        </w:rPr>
        <w:t>قدم پنجم، تناسب و موقت بودن: آیا کم‌هزینه‌ترین صورت عدول انتخاب شده؟ آیا بازه زمانی و شرط بازگشت مشخص شده؟ (به‌اندازه ضرورت، نه بیشتر؛ و موقت، نه دائم.)</w:t>
      </w:r>
    </w:p>
    <w:p>
      <w:pPr>
        <w:pStyle w:val="TH-Body"/>
        <w:widowControl/>
        <w:bidi w:val="1"/>
        <w:spacing w:before="0" w:after="200" w:line="336" w:lineRule="auto"/>
        <w:ind w:firstLine="283"/>
        <w:jc w:val="both"/>
      </w:pPr>
      <w:r>
        <w:rPr>
          <w:rFonts w:ascii="B Lotus" w:hAnsi="B Lotus" w:cs="B Lotus" w:eastAsia="B Lotus"/>
          <w:b w:val="0"/>
          <w:i w:val="0"/>
          <w:sz w:val="28"/>
          <w:szCs w:val="28"/>
        </w:rPr>
        <w:t>قدم ششم، سقف: آیا رفتارِ مورد نظر با هیچ‌یک از قواعد آمره (منع تجاوز، نسل‌کشی، جنایت علیه بشریت) برخورد ندارد؟ (اگر برخورد دارد، عدول به این صورت مطلقاً منتفی است ـ هیچ مصلحتی مجوز جنایت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قدم هفتم، اعلام: آیا متن اعلامیه رسمی (با استناد به مبانی حقوقی و شرعی) آماده شده و مجرای ابلاغ به طرف مقابل و ثبت نزد دبیرکل مشخص شده؟ (عدولِ پنهانی، خیانت است؛ انباذ علی سواء.)</w:t>
      </w:r>
    </w:p>
    <w:p>
      <w:pPr>
        <w:pStyle w:val="TH-Body"/>
        <w:widowControl/>
        <w:bidi w:val="1"/>
        <w:spacing w:before="0" w:after="200" w:line="336" w:lineRule="auto"/>
        <w:ind w:firstLine="283"/>
        <w:jc w:val="both"/>
      </w:pPr>
      <w:r>
        <w:rPr>
          <w:rFonts w:ascii="B Lotus" w:hAnsi="B Lotus" w:cs="B Lotus" w:eastAsia="B Lotus"/>
          <w:b w:val="0"/>
          <w:i w:val="0"/>
          <w:sz w:val="28"/>
          <w:szCs w:val="28"/>
        </w:rPr>
        <w:t>و قدم هشتم، مدیریت پسااجرا: آیا سناریوهای واکنش طرف مقابل و مراجع بین‌المللی پیش‌بینی و برای هرکدام برنامه (دفاع حقوقی، مذاکره، سازش، بازگشت) آماده شده؟ (عاقل، قبل از قدم اول، قدم‌های بعدی را هم طراحی کرده.)</w:t>
      </w:r>
    </w:p>
    <w:p>
      <w:pPr>
        <w:pStyle w:val="TH-Goftar"/>
        <w:widowControl/>
        <w:bidi w:val="1"/>
        <w:spacing w:before="280" w:after="160" w:line="336" w:lineRule="auto"/>
        <w:jc w:val="right"/>
        <w:keepNext w:val="1"/>
        <w:shd w:val="clear" w:fill="EDEDED"/>
      </w:pPr>
      <w:bookmarkStart w:id="175" w:name="_Toc000175"/>
      <w:r>
        <w:rPr>
          <w:rFonts w:ascii="B Titr" w:hAnsi="B Titr" w:cs="B Titr" w:eastAsia="B Titr"/>
          <w:b/>
          <w:i w:val="0"/>
          <w:sz w:val="32"/>
          <w:szCs w:val="32"/>
          <w:rtl/>
        </w:rPr>
        <w:t>پیوست دوم: متن اصول قانون اساسی مرتبط</w:t>
      </w:r>
      <w:bookmarkEnd w:id="175"/>
    </w:p>
    <w:p>
      <w:pPr>
        <w:pStyle w:val="TH-Body"/>
        <w:widowControl/>
        <w:bidi w:val="1"/>
        <w:spacing w:before="0" w:after="200" w:line="336" w:lineRule="auto"/>
        <w:jc w:val="both"/>
      </w:pPr>
      <w:r>
        <w:rPr>
          <w:rFonts w:ascii="B Lotus" w:hAnsi="B Lotus" w:cs="B Lotus" w:eastAsia="B Lotus"/>
          <w:b w:val="0"/>
          <w:i w:val="0"/>
          <w:sz w:val="28"/>
          <w:szCs w:val="28"/>
        </w:rPr>
        <w:t>اصل ۵: «در زمان غیبت حضرت ولی عصر (عجل الله تعالی فرجه) در جمهوری اسلامی ایران ولایت امر و امامت امت بر عهده فقیه عادل و باتقوی، آگاه به زمان، شجاع، مدیر و مدبر است که طبق اصل یک‌صد و هفتم عهده‌دار آن می‌گردد.»</w:t>
      </w:r>
      <w:r>
        <w:rPr>
          <w:rFonts w:ascii="B Lotus" w:hAnsi="B Lotus" w:cs="B Lotus" w:eastAsia="B Lotus"/>
          <w:b w:val="0"/>
          <w:i w:val="0"/>
          <w:sz w:val="28"/>
          <w:szCs w:val="28"/>
          <w:vertAlign w:val="superscript"/>
        </w:rPr>
        <w:footnoteReference w:id="126"/>
      </w:r>
    </w:p>
    <w:p>
      <w:pPr>
        <w:pStyle w:val="TH-Body"/>
        <w:widowControl/>
        <w:bidi w:val="1"/>
        <w:spacing w:before="0" w:after="200" w:line="336" w:lineRule="auto"/>
        <w:ind w:firstLine="283"/>
        <w:jc w:val="both"/>
      </w:pPr>
      <w:r>
        <w:rPr>
          <w:rFonts w:ascii="B Lotus" w:hAnsi="B Lotus" w:cs="B Lotus" w:eastAsia="B Lotus"/>
          <w:b w:val="0"/>
          <w:i w:val="0"/>
          <w:sz w:val="28"/>
          <w:szCs w:val="28"/>
        </w:rPr>
        <w:t>اصل ۵۷ (صدر): «قوای حاکم در جمهوری اسلامی ایران عبارتند از: قوه مقننه، قوه مجریه و قوه قضائیه که زیر نظر ولایت مطلقه امر و امامت امت بر طبق اصول آینده این قانون اعمال می‌گردند…»</w:t>
      </w:r>
      <w:r>
        <w:rPr>
          <w:rFonts w:ascii="B Lotus" w:hAnsi="B Lotus" w:cs="B Lotus" w:eastAsia="B Lotus"/>
          <w:b w:val="0"/>
          <w:i w:val="0"/>
          <w:sz w:val="28"/>
          <w:szCs w:val="28"/>
          <w:vertAlign w:val="superscript"/>
        </w:rPr>
        <w:footnoteReference w:id="127"/>
      </w:r>
    </w:p>
    <w:p>
      <w:pPr>
        <w:pStyle w:val="TH-Body"/>
        <w:widowControl/>
        <w:bidi w:val="1"/>
        <w:spacing w:before="0" w:after="200" w:line="336" w:lineRule="auto"/>
        <w:ind w:firstLine="283"/>
        <w:jc w:val="both"/>
      </w:pPr>
      <w:r>
        <w:rPr>
          <w:rFonts w:ascii="B Lotus" w:hAnsi="B Lotus" w:cs="B Lotus" w:eastAsia="B Lotus"/>
          <w:b w:val="0"/>
          <w:i w:val="0"/>
          <w:sz w:val="28"/>
          <w:szCs w:val="28"/>
        </w:rPr>
        <w:t>اصل ۷۷: «عهدنامه‌ها، مقاوله‌نامه‌ها، قراردادها و موافقت‌نامه‌های بین‌المللی باید به تصویب مجلس شورای اسلامی برسد.»</w:t>
      </w:r>
      <w:r>
        <w:rPr>
          <w:rFonts w:ascii="B Lotus" w:hAnsi="B Lotus" w:cs="B Lotus" w:eastAsia="B Lotus"/>
          <w:b w:val="0"/>
          <w:i w:val="0"/>
          <w:sz w:val="28"/>
          <w:szCs w:val="28"/>
          <w:vertAlign w:val="superscript"/>
        </w:rPr>
        <w:footnoteReference w:id="128"/>
      </w:r>
    </w:p>
    <w:p>
      <w:pPr>
        <w:pStyle w:val="TH-Body"/>
        <w:widowControl/>
        <w:bidi w:val="1"/>
        <w:spacing w:before="0" w:after="200" w:line="336" w:lineRule="auto"/>
        <w:ind w:firstLine="283"/>
        <w:jc w:val="both"/>
      </w:pPr>
      <w:r>
        <w:rPr>
          <w:rFonts w:ascii="B Lotus" w:hAnsi="B Lotus" w:cs="B Lotus" w:eastAsia="B Lotus"/>
          <w:b w:val="0"/>
          <w:i w:val="0"/>
          <w:sz w:val="28"/>
          <w:szCs w:val="28"/>
        </w:rPr>
        <w:t>اصل ۱۱۰: وظایف و اختیارات رهبری در یازده بند: تعیین سیاست‌های کلی نظام؛ نظارت بر حسن اجرای آن‌ها؛ فرمان همه‌پرسی؛ فرماندهی کل نیروهای مسلح؛ اعلان جنگ و صلح و بسیج نیروها؛ نصب و عزل و قبول استعفای مقامات عالی (فقها، رئیس قوه قضائیه، رئیس صداوسیما، رئیس ستاد مشترک، فرمانده کل سپاه و فرماندهان عالی نیروهای نظامی و انتظامی)؛ حل اختلاف و تنظیم روابط قوای سه‌گانه؛ حل معضلات نظام که از طرق عادی قابل حل نیست از طریق مجمع تشخیص مصلحت نظام؛ امضای حکم ریاست جمهوری پس از انتخاب مردم؛ عزل رئیس‌جمهور با در نظر گرفتن مصالح کشور پس از رأی دیوان عالی کشور به تخلف وی از وظایف قانونی یا رأی مجلس به عدم کفایت وی؛ و عفو یا تخفیف مجازات محکومین در حدود موازین اسلامی پس از پیشنهاد رئیس قوه قضائیه.</w:t>
      </w:r>
      <w:r>
        <w:rPr>
          <w:rFonts w:ascii="B Lotus" w:hAnsi="B Lotus" w:cs="B Lotus" w:eastAsia="B Lotus"/>
          <w:b w:val="0"/>
          <w:i w:val="0"/>
          <w:sz w:val="28"/>
          <w:szCs w:val="28"/>
          <w:vertAlign w:val="superscript"/>
        </w:rPr>
        <w:footnoteReference w:id="129"/>
      </w:r>
    </w:p>
    <w:p>
      <w:pPr>
        <w:pStyle w:val="TH-Body"/>
        <w:widowControl/>
        <w:bidi w:val="1"/>
        <w:spacing w:before="0" w:after="200" w:line="336" w:lineRule="auto"/>
        <w:ind w:firstLine="283"/>
        <w:jc w:val="both"/>
      </w:pPr>
      <w:r>
        <w:rPr>
          <w:rFonts w:ascii="B Lotus" w:hAnsi="B Lotus" w:cs="B Lotus" w:eastAsia="B Lotus"/>
          <w:b w:val="0"/>
          <w:i w:val="0"/>
          <w:sz w:val="28"/>
          <w:szCs w:val="28"/>
        </w:rPr>
        <w:t>اصل ۱۱۲ (صدر): «مجمع تشخیص مصلحت نظام برای تشخیص مصلحت در مواردی که نظر مجلس شورای اسلامی را شورای نگهبان خلاف موازین شرع و یا قانون اساسی بداند و مجلس با در نظر گرفتن مصلحت نظام نظر شورای نگهبان را تامین نکند و مشاوره در اموری که رهبری به آنان ارجاع می‌دهد و سایر وظایفی که در این قانون ذکر شده است به دستور رهبری تشکیل می‌شود…»</w:t>
      </w:r>
      <w:r>
        <w:rPr>
          <w:rFonts w:ascii="B Lotus" w:hAnsi="B Lotus" w:cs="B Lotus" w:eastAsia="B Lotus"/>
          <w:b w:val="0"/>
          <w:i w:val="0"/>
          <w:sz w:val="28"/>
          <w:szCs w:val="28"/>
          <w:vertAlign w:val="superscript"/>
        </w:rPr>
        <w:footnoteReference w:id="130"/>
      </w:r>
    </w:p>
    <w:p>
      <w:pPr>
        <w:pStyle w:val="TH-Body"/>
        <w:widowControl/>
        <w:bidi w:val="1"/>
        <w:spacing w:before="0" w:after="200" w:line="336" w:lineRule="auto"/>
        <w:ind w:firstLine="283"/>
        <w:jc w:val="both"/>
      </w:pPr>
      <w:r>
        <w:rPr>
          <w:rFonts w:ascii="B Lotus" w:hAnsi="B Lotus" w:cs="B Lotus" w:eastAsia="B Lotus"/>
          <w:b w:val="0"/>
          <w:i w:val="0"/>
          <w:sz w:val="28"/>
          <w:szCs w:val="28"/>
        </w:rPr>
        <w:t>اصل ۱۲۵: «امضا عهدنامه‌ها، مقاوله‌نامه‌ها، موافقت‌نامه‌ها و قراردادهای دولت ایران با سایر دولت‌ها و همچنین امضا پیمانهای مربوط به اتحادیه‌های بین‌المللی پس از تصویب مجلس شورای اسلامی با رئیس جمهور یا نماینده قانونی اوست.»</w:t>
      </w:r>
      <w:r>
        <w:rPr>
          <w:rFonts w:ascii="B Lotus" w:hAnsi="B Lotus" w:cs="B Lotus" w:eastAsia="B Lotus"/>
          <w:b w:val="0"/>
          <w:i w:val="0"/>
          <w:sz w:val="28"/>
          <w:szCs w:val="28"/>
          <w:vertAlign w:val="superscript"/>
        </w:rPr>
        <w:footnoteReference w:id="131"/>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۱۵۲ (صدر): «سیاست خارجی جمهوری اسلامی ایران بر اساس نفی هرگونه سلطه‌جویی و سلطه‌پذیری، حفظ استقلال همه‌جانبه و تمامیت ارضی کشور، دفاع از حقوق همه مسلمانان و عدم تعهد در برابر قدرت‌های سلطه‌گر و روابط صلح‌آمیز متقابل با دول غیرمحارب استوار است.»</w:t>
      </w:r>
      <w:r>
        <w:rPr>
          <w:rFonts w:ascii="B Lotus" w:hAnsi="B Lotus" w:cs="B Lotus" w:eastAsia="B Lotus"/>
          <w:b w:val="0"/>
          <w:i w:val="0"/>
          <w:sz w:val="28"/>
          <w:szCs w:val="28"/>
          <w:vertAlign w:val="superscript"/>
        </w:rPr>
        <w:footnoteReference w:id="132"/>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۱۵۳: «هرگونه قرارداد که موجب سلطه بیگانه بر منابع طبیعی و اقتصادی، فرهنگ، ارتش و دیگر شئون کشور گردد، ممنوع است.»</w:t>
      </w:r>
      <w:r>
        <w:rPr>
          <w:rFonts w:ascii="B Lotus" w:hAnsi="B Lotus" w:cs="B Lotus" w:eastAsia="B Lotus"/>
          <w:b w:val="0"/>
          <w:i w:val="0"/>
          <w:sz w:val="28"/>
          <w:szCs w:val="28"/>
          <w:vertAlign w:val="superscript"/>
        </w:rPr>
        <w:footnoteReference w:id="133"/>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۱۵۴ (صدر): «جمهوری اسلامی ایران سعادت انسان در کل جامعه بشری را آرمان خود می‌داند و استقلال و آزادی و حکومت حق و عدل را حق همه مردم جهان می‌شناسد…»</w:t>
      </w:r>
      <w:r>
        <w:rPr>
          <w:rFonts w:ascii="B Lotus" w:hAnsi="B Lotus" w:cs="B Lotus" w:eastAsia="B Lotus"/>
          <w:b w:val="0"/>
          <w:i w:val="0"/>
          <w:sz w:val="28"/>
          <w:szCs w:val="28"/>
          <w:vertAlign w:val="superscript"/>
        </w:rPr>
        <w:footnoteReference w:id="134"/>
      </w:r>
    </w:p>
    <w:p>
      <w:pPr>
        <w:pStyle w:val="TH-Body"/>
        <w:widowControl/>
        <w:bidi w:val="1"/>
        <w:spacing w:before="0" w:after="200" w:line="336" w:lineRule="auto"/>
        <w:ind w:firstLine="283"/>
        <w:jc w:val="both"/>
      </w:pPr>
      <w:r>
        <w:rPr>
          <w:rFonts w:ascii="B Lotus" w:hAnsi="B Lotus" w:cs="B Lotus" w:eastAsia="B Lotus"/>
          <w:b w:val="0"/>
          <w:i w:val="0"/>
          <w:sz w:val="28"/>
          <w:szCs w:val="28"/>
        </w:rPr>
        <w:t>اصل ۱۷۶ (مربوط به شورای عالی امنیت ملی): ترکیب و وظایف شورا در سیاست‌گذاری دفاعی ـ امنیتی و هماهنگی فعالیت‌ها در چارچوب سیاست‌های کلی نظام.</w:t>
      </w:r>
      <w:r>
        <w:rPr>
          <w:rFonts w:ascii="B Lotus" w:hAnsi="B Lotus" w:cs="B Lotus" w:eastAsia="B Lotus"/>
          <w:b w:val="0"/>
          <w:i w:val="0"/>
          <w:sz w:val="28"/>
          <w:szCs w:val="28"/>
          <w:vertAlign w:val="superscript"/>
        </w:rPr>
        <w:footnoteReference w:id="135"/>
      </w:r>
    </w:p>
    <w:p>
      <w:pPr>
        <w:pStyle w:val="TH-Goftar"/>
        <w:widowControl/>
        <w:bidi w:val="1"/>
        <w:spacing w:before="280" w:after="160" w:line="336" w:lineRule="auto"/>
        <w:jc w:val="right"/>
        <w:keepNext w:val="1"/>
        <w:shd w:val="clear" w:fill="EDEDED"/>
      </w:pPr>
      <w:bookmarkStart w:id="176" w:name="_Toc000176"/>
      <w:r>
        <w:rPr>
          <w:rFonts w:ascii="B Titr" w:hAnsi="B Titr" w:cs="B Titr" w:eastAsia="B Titr"/>
          <w:b/>
          <w:i w:val="0"/>
          <w:sz w:val="32"/>
          <w:szCs w:val="32"/>
          <w:rtl/>
        </w:rPr>
        <w:t>پیوست سوم: متن مواد کلیدی کنوانسیون وین (ترجمه فارسی)</w:t>
      </w:r>
      <w:bookmarkEnd w:id="176"/>
    </w:p>
    <w:p>
      <w:pPr>
        <w:pStyle w:val="TH-Body"/>
        <w:widowControl/>
        <w:bidi w:val="1"/>
        <w:spacing w:before="0" w:after="200" w:line="336" w:lineRule="auto"/>
        <w:jc w:val="both"/>
      </w:pPr>
      <w:r>
        <w:rPr>
          <w:rFonts w:ascii="B Lotus" w:hAnsi="B Lotus" w:cs="B Lotus" w:eastAsia="B Lotus"/>
          <w:b w:val="0"/>
          <w:i w:val="0"/>
          <w:sz w:val="28"/>
          <w:szCs w:val="28"/>
        </w:rPr>
        <w:t>ماده ۱ (دامنه): این کنوانسیون ناظر به معاهدات میان دولت‌هاست.</w:t>
      </w:r>
      <w:r>
        <w:rPr>
          <w:rFonts w:ascii="B Lotus" w:hAnsi="B Lotus" w:cs="B Lotus" w:eastAsia="B Lotus"/>
          <w:b w:val="0"/>
          <w:i w:val="0"/>
          <w:sz w:val="28"/>
          <w:szCs w:val="28"/>
          <w:vertAlign w:val="superscript"/>
        </w:rPr>
        <w:footnoteReference w:id="136"/>
      </w:r>
    </w:p>
    <w:p>
      <w:pPr>
        <w:pStyle w:val="TH-Body"/>
        <w:widowControl/>
        <w:bidi w:val="1"/>
        <w:spacing w:before="0" w:after="200" w:line="336" w:lineRule="auto"/>
        <w:ind w:firstLine="283"/>
        <w:jc w:val="both"/>
      </w:pPr>
      <w:r>
        <w:rPr>
          <w:rFonts w:ascii="B Lotus" w:hAnsi="B Lotus" w:cs="B Lotus" w:eastAsia="B Lotus"/>
          <w:b w:val="0"/>
          <w:i w:val="0"/>
          <w:sz w:val="28"/>
          <w:szCs w:val="28"/>
        </w:rPr>
        <w:t>ماده ۲ (تعاریف): معاهده یعنی توافق بین‌المللیِ کتبیِ میان دولت‌ها که تابع حقوق بین‌الملل باشد، خواه در سندی واحد خواه در چند سند مرتبط، و با هر عنوانی.</w:t>
      </w:r>
      <w:r>
        <w:rPr>
          <w:rFonts w:ascii="B Lotus" w:hAnsi="B Lotus" w:cs="B Lotus" w:eastAsia="B Lotus"/>
          <w:b w:val="0"/>
          <w:i w:val="0"/>
          <w:sz w:val="28"/>
          <w:szCs w:val="28"/>
          <w:vertAlign w:val="superscript"/>
        </w:rPr>
        <w:footnoteReference w:id="137"/>
      </w:r>
    </w:p>
    <w:p>
      <w:pPr>
        <w:pStyle w:val="TH-Body"/>
        <w:widowControl/>
        <w:bidi w:val="1"/>
        <w:spacing w:before="0" w:after="200" w:line="336" w:lineRule="auto"/>
        <w:ind w:firstLine="283"/>
        <w:jc w:val="both"/>
      </w:pPr>
      <w:r>
        <w:rPr>
          <w:rFonts w:ascii="B Lotus" w:hAnsi="B Lotus" w:cs="B Lotus" w:eastAsia="B Lotus"/>
          <w:b w:val="0"/>
          <w:i w:val="0"/>
          <w:sz w:val="28"/>
          <w:szCs w:val="28"/>
        </w:rPr>
        <w:t>ماده ۲۶ (پاکتا سونت سرواندا): هر معاهده لازم‌الاجرایی اطراف آن را متعهد می‌کند و باید با حسن نیت اجرا شود.</w:t>
      </w:r>
      <w:r>
        <w:rPr>
          <w:rFonts w:ascii="B Lotus" w:hAnsi="B Lotus" w:cs="B Lotus" w:eastAsia="B Lotus"/>
          <w:b w:val="0"/>
          <w:i w:val="0"/>
          <w:sz w:val="28"/>
          <w:szCs w:val="28"/>
          <w:vertAlign w:val="superscript"/>
        </w:rPr>
        <w:footnoteReference w:id="138"/>
      </w:r>
    </w:p>
    <w:p>
      <w:pPr>
        <w:pStyle w:val="TH-Body"/>
        <w:widowControl/>
        <w:bidi w:val="1"/>
        <w:spacing w:before="0" w:after="200" w:line="336" w:lineRule="auto"/>
        <w:ind w:firstLine="283"/>
        <w:jc w:val="both"/>
      </w:pPr>
      <w:r>
        <w:rPr>
          <w:rFonts w:ascii="B Lotus" w:hAnsi="B Lotus" w:cs="B Lotus" w:eastAsia="B Lotus"/>
          <w:b w:val="0"/>
          <w:i w:val="0"/>
          <w:sz w:val="28"/>
          <w:szCs w:val="28"/>
        </w:rPr>
        <w:t>ماده ۲۷ (حقوق داخلی): هیچ طرفی نمی‌تواند به مقررات حقوق داخلی خود به‌عنوان توجیهی برای عدم اجرای معاهده استناد کند.</w:t>
      </w:r>
      <w:r>
        <w:rPr>
          <w:rFonts w:ascii="B Lotus" w:hAnsi="B Lotus" w:cs="B Lotus" w:eastAsia="B Lotus"/>
          <w:b w:val="0"/>
          <w:i w:val="0"/>
          <w:sz w:val="28"/>
          <w:szCs w:val="28"/>
          <w:vertAlign w:val="superscript"/>
        </w:rPr>
        <w:footnoteReference w:id="139"/>
      </w:r>
    </w:p>
    <w:p>
      <w:pPr>
        <w:pStyle w:val="TH-Body"/>
        <w:widowControl/>
        <w:bidi w:val="1"/>
        <w:spacing w:before="0" w:after="200" w:line="336" w:lineRule="auto"/>
        <w:ind w:firstLine="283"/>
        <w:jc w:val="both"/>
      </w:pPr>
      <w:r>
        <w:rPr>
          <w:rFonts w:ascii="B Lotus" w:hAnsi="B Lotus" w:cs="B Lotus" w:eastAsia="B Lotus"/>
          <w:b w:val="0"/>
          <w:i w:val="0"/>
          <w:sz w:val="28"/>
          <w:szCs w:val="28"/>
        </w:rPr>
        <w:t>ماده ۴۶ (صلاحیت داخلی): دولت نمی‌تواند این واقعیت را که رضایتش به التزام در برابر معاهده با نقض مقررات حقوق داخلی‌اش درباره صلاحیت انعقاد ابراز شده، به‌عنوان مبنای بی‌اعتباری رضایتش مطرح کند، مگر این‌که نقض آشکار باشد و به قاعده بنیادین حقوق داخلی مربوط شود.</w:t>
      </w:r>
      <w:r>
        <w:rPr>
          <w:rFonts w:ascii="B Lotus" w:hAnsi="B Lotus" w:cs="B Lotus" w:eastAsia="B Lotus"/>
          <w:b w:val="0"/>
          <w:i w:val="0"/>
          <w:sz w:val="28"/>
          <w:szCs w:val="28"/>
          <w:vertAlign w:val="superscript"/>
        </w:rPr>
        <w:footnoteReference w:id="140"/>
      </w:r>
    </w:p>
    <w:p>
      <w:pPr>
        <w:pStyle w:val="TH-Body"/>
        <w:widowControl/>
        <w:bidi w:val="1"/>
        <w:spacing w:before="0" w:after="200" w:line="336" w:lineRule="auto"/>
        <w:ind w:firstLine="283"/>
        <w:jc w:val="both"/>
      </w:pPr>
      <w:r>
        <w:rPr>
          <w:rFonts w:ascii="B Lotus" w:hAnsi="B Lotus" w:cs="B Lotus" w:eastAsia="B Lotus"/>
          <w:b w:val="0"/>
          <w:i w:val="0"/>
          <w:sz w:val="28"/>
          <w:szCs w:val="28"/>
        </w:rPr>
        <w:t>ماده ۵۳ (قواعد آمره): معاهده‌ای که با قاعده آمره حقوق بین‌الملل عام در تعارض باشد، باطل است.</w:t>
      </w:r>
      <w:r>
        <w:rPr>
          <w:rFonts w:ascii="B Lotus" w:hAnsi="B Lotus" w:cs="B Lotus" w:eastAsia="B Lotus"/>
          <w:b w:val="0"/>
          <w:i w:val="0"/>
          <w:sz w:val="28"/>
          <w:szCs w:val="28"/>
          <w:vertAlign w:val="superscript"/>
        </w:rPr>
        <w:footnoteReference w:id="141"/>
      </w:r>
    </w:p>
    <w:p>
      <w:pPr>
        <w:pStyle w:val="TH-Body"/>
        <w:widowControl/>
        <w:bidi w:val="1"/>
        <w:spacing w:before="0" w:after="200" w:line="336" w:lineRule="auto"/>
        <w:ind w:firstLine="283"/>
        <w:jc w:val="both"/>
      </w:pPr>
      <w:r>
        <w:rPr>
          <w:rFonts w:ascii="B Lotus" w:hAnsi="B Lotus" w:cs="B Lotus" w:eastAsia="B Lotus"/>
          <w:b w:val="0"/>
          <w:i w:val="0"/>
          <w:sz w:val="28"/>
          <w:szCs w:val="28"/>
        </w:rPr>
        <w:t>مواد ۵۴ تا ۶۴ (خاتمه و تعلیق): خاتمه و تعلیق فقط بر اساس مقررات معاهده یا کنوانسیون ممکن است؛ از جمله توافق اطراف، نقض اساسی توسط یک طرف (ماده ۶۰)، عدم امکان اجرای بعدی (ماده ۶۱)، تغییر بنیادین اوضاع (ماده ۶۲)، و قطع روابط دیپلماتیک یا کنسولی (ماده ۶۳، که به‌خودیِ خود بر روابط معاهده‌ای اثر نمی‌گذارد).</w:t>
      </w:r>
      <w:r>
        <w:rPr>
          <w:rFonts w:ascii="B Lotus" w:hAnsi="B Lotus" w:cs="B Lotus" w:eastAsia="B Lotus"/>
          <w:b w:val="0"/>
          <w:i w:val="0"/>
          <w:sz w:val="28"/>
          <w:szCs w:val="28"/>
          <w:vertAlign w:val="superscript"/>
        </w:rPr>
        <w:footnoteReference w:id="142"/>
      </w:r>
    </w:p>
    <w:p>
      <w:pPr>
        <w:pStyle w:val="TH-Body"/>
        <w:widowControl/>
        <w:bidi w:val="1"/>
        <w:spacing w:before="0" w:after="200" w:line="336" w:lineRule="auto"/>
        <w:ind w:firstLine="283"/>
        <w:jc w:val="both"/>
      </w:pPr>
      <w:r>
        <w:rPr>
          <w:rFonts w:ascii="B Lotus" w:hAnsi="B Lotus" w:cs="B Lotus" w:eastAsia="B Lotus"/>
          <w:b w:val="0"/>
          <w:i w:val="0"/>
          <w:sz w:val="28"/>
          <w:szCs w:val="28"/>
        </w:rPr>
        <w:t>مواد ۶۵ تا ۶۸ (آیین): ادعای بطلان یا خاتمه یا تعلیق باید کتباً به اطلاع طرف مقابل برسد و مهلت اعتراض (کمتر از سه ماه، مگر در موارد فوری خاص) رعایت شود؛ و اعلامیه تا پیش از اثرگذاری قابل استرداد است.</w:t>
      </w:r>
      <w:r>
        <w:rPr>
          <w:rFonts w:ascii="B Lotus" w:hAnsi="B Lotus" w:cs="B Lotus" w:eastAsia="B Lotus"/>
          <w:b w:val="0"/>
          <w:i w:val="0"/>
          <w:sz w:val="28"/>
          <w:szCs w:val="28"/>
          <w:vertAlign w:val="superscript"/>
        </w:rPr>
        <w:footnoteReference w:id="143"/>
      </w:r>
    </w:p>
    <w:p>
      <w:pPr>
        <w:pStyle w:val="TH-Body"/>
        <w:widowControl/>
        <w:bidi w:val="1"/>
        <w:spacing w:before="0" w:after="200" w:line="336" w:lineRule="auto"/>
        <w:ind w:firstLine="283"/>
        <w:jc w:val="both"/>
      </w:pPr>
      <w:r>
        <w:rPr>
          <w:rFonts w:ascii="B Lotus" w:hAnsi="B Lotus" w:cs="B Lotus" w:eastAsia="B Lotus"/>
          <w:b w:val="0"/>
          <w:i w:val="0"/>
          <w:sz w:val="28"/>
          <w:szCs w:val="28"/>
        </w:rPr>
        <w:t>مواد ۷۰ و ۷۲ (آثار): خاتمه اطراف را از اجرای آتی معاف می‌کند ولی بر حقوق و وضعیت‌های پیش از خاتمه اثری ندارد؛ و در مدت تعلیق اطراف از اجرای متقابل معاف‌اند ولی باید از مانع‌تراشی در برابر ازسرگیری اجرا خودداری کنند.</w:t>
      </w:r>
      <w:r>
        <w:rPr>
          <w:rFonts w:ascii="B Lotus" w:hAnsi="B Lotus" w:cs="B Lotus" w:eastAsia="B Lotus"/>
          <w:b w:val="0"/>
          <w:i w:val="0"/>
          <w:sz w:val="28"/>
          <w:szCs w:val="28"/>
          <w:vertAlign w:val="superscript"/>
        </w:rPr>
        <w:footnoteReference w:id="144"/>
      </w:r>
    </w:p>
    <w:p>
      <w:pPr>
        <w:pStyle w:val="TH-Goftar"/>
        <w:widowControl/>
        <w:bidi w:val="1"/>
        <w:spacing w:before="280" w:after="160" w:line="336" w:lineRule="auto"/>
        <w:jc w:val="right"/>
        <w:keepNext w:val="1"/>
        <w:shd w:val="clear" w:fill="EDEDED"/>
      </w:pPr>
      <w:bookmarkStart w:id="177" w:name="_Toc000177"/>
      <w:r>
        <w:rPr>
          <w:rFonts w:ascii="B Titr" w:hAnsi="B Titr" w:cs="B Titr" w:eastAsia="B Titr"/>
          <w:b/>
          <w:i w:val="0"/>
          <w:sz w:val="32"/>
          <w:szCs w:val="32"/>
          <w:rtl/>
        </w:rPr>
        <w:t>پیوست چهارم: گاه‌شمار تحولات حقوق معاهدات و موضوع پژوهش</w:t>
      </w:r>
      <w:bookmarkEnd w:id="177"/>
    </w:p>
    <w:p>
      <w:pPr>
        <w:pStyle w:val="TH-Body"/>
        <w:widowControl/>
        <w:bidi w:val="1"/>
        <w:spacing w:before="0" w:after="200" w:line="336" w:lineRule="auto"/>
        <w:jc w:val="both"/>
      </w:pPr>
      <w:r>
        <w:rPr>
          <w:rFonts w:ascii="B Lotus" w:hAnsi="B Lotus" w:cs="B Lotus" w:eastAsia="B Lotus"/>
          <w:b w:val="0"/>
          <w:i w:val="0"/>
          <w:sz w:val="28"/>
          <w:szCs w:val="28"/>
        </w:rPr>
        <w:t>۱۹۴۵: تأسیس سازمان ملل و تصویب منشور (ماده ۱۰۲: ثبت معاهدات). ۱۹۴۹: آغاز کار کمیسیون حقوق بین‌الملل. دهه ۱۹۵۰ تا ۱۹۶۰: گزارش‌های گزارشگران ویژه (از جمله فیتزموریس و والداک) درباره حقوق معاهدات. ۱۹۶۹: تصویب کنوانسیون وین حقوق معاهدات. ۱۹۷۹: پیروزی انقلاب اسلامی و تصویب قانون اساسی جمهوری اسلامی ایران (اصول ۵، ۵۷، ۷۷، ۱۱۰، ۱۲۵ و دیگران). ۱۹۸۰: رأی دیوان در قضیه گروگان‌های تهران (انتساب رفتار به دولت). ۱۹۸۰: لازم‌الاجرا شدن کنوانسیون وین. ۱۹۸۱: عهدنامه الجزایر و حل قضیه گروگان‌ها. ۱۹۸۶: تصویب کنوانسیون وین درباره معاهدات سازمان‌های بین‌المللی. ۱۹۹۷: رأی دیوان در قضیه گابچیکوو (تفسیر مضیق ضرورت و تغییر بنیادین اوضاع). ۲۰۰۱: تصویب نهایی طرح مواد مسئولیت بین‌المللی دولت‌ها در کمیسیون حقوق بین‌الملل. ۲۰۱۵: برنامه جامع اقدام مشترک (برجام) و قطعنامه ۲۲۳۱ شورای امنیت. ۲۰۱۸: خروج یک‌جانبه آمریکا از برجام. ۲۰۱۹ به بعد: کاهش گام‌به‌گام تعهدات ایران. ۲۰۲۶: نگارش این رساله.</w:t>
      </w:r>
    </w:p>
    <w:p>
      <w:pPr>
        <w:pStyle w:val="TH-Goftar"/>
        <w:widowControl/>
        <w:bidi w:val="1"/>
        <w:spacing w:before="280" w:after="160" w:line="336" w:lineRule="auto"/>
        <w:jc w:val="right"/>
        <w:keepNext w:val="1"/>
        <w:shd w:val="clear" w:fill="EDEDED"/>
      </w:pPr>
      <w:bookmarkStart w:id="178" w:name="_Toc000178"/>
      <w:r>
        <w:rPr>
          <w:rFonts w:ascii="B Titr" w:hAnsi="B Titr" w:cs="B Titr" w:eastAsia="B Titr"/>
          <w:b/>
          <w:i w:val="0"/>
          <w:sz w:val="32"/>
          <w:szCs w:val="32"/>
          <w:rtl/>
        </w:rPr>
        <w:t>پیوست پنجم: گزیده عهدنامه مالک اشتر (متن و ترجمه)</w:t>
      </w:r>
      <w:bookmarkEnd w:id="178"/>
    </w:p>
    <w:p>
      <w:pPr>
        <w:pStyle w:val="TH-Body"/>
        <w:widowControl/>
        <w:bidi w:val="1"/>
        <w:spacing w:before="0" w:after="200" w:line="336" w:lineRule="auto"/>
        <w:jc w:val="both"/>
      </w:pPr>
      <w:r>
        <w:rPr>
          <w:rFonts w:ascii="B Lotus" w:hAnsi="B Lotus" w:cs="B Lotus" w:eastAsia="B Lotus"/>
          <w:b w:val="0"/>
          <w:i w:val="0"/>
          <w:sz w:val="28"/>
          <w:szCs w:val="28"/>
        </w:rPr>
        <w:t>عهدنامه مالک اشتر (نامه ۵۳ نهج‌البلاغه) مهم‌ترین سند حکومتیِ شیعه و از مستندات اصلیِ این رساله است. در این پیوست، فرازهای مرتبط با موضوع پژوهش ـ وفای به عهد، عدالت حکومتی و اخلاق زمامداری ـ را با ترجمه فارسی می‌آورم تا خواننده مستقیم با متن آشنا شود.</w:t>
      </w:r>
      <w:r>
        <w:rPr>
          <w:rFonts w:ascii="B Lotus" w:hAnsi="B Lotus" w:cs="B Lotus" w:eastAsia="B Lotus"/>
          <w:b w:val="0"/>
          <w:i w:val="0"/>
          <w:sz w:val="28"/>
          <w:szCs w:val="28"/>
          <w:vertAlign w:val="superscript"/>
        </w:rPr>
        <w:footnoteReference w:id="145"/>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وَأَشْعِرْ قَلْبَکَ الرَّحْمَةَ لِلرَّعِیَّةِ وَالْمَحَبَّةَ لَهُمْ وَاللُّطْفَ بِهِمْ</w:t>
      </w:r>
    </w:p>
    <w:p>
      <w:pPr>
        <w:pStyle w:val="TH-Body"/>
        <w:widowControl/>
        <w:bidi w:val="1"/>
        <w:spacing w:before="0" w:after="200" w:line="336" w:lineRule="auto"/>
        <w:jc w:val="both"/>
      </w:pPr>
      <w:r>
        <w:rPr>
          <w:rFonts w:ascii="B Lotus" w:hAnsi="B Lotus" w:cs="B Lotus" w:eastAsia="B Lotus"/>
          <w:b w:val="0"/>
          <w:i w:val="0"/>
          <w:sz w:val="28"/>
          <w:szCs w:val="28"/>
        </w:rPr>
        <w:t>«دلت را آکنده از مهر و محبت و لطف به رعیت کن» ـ این جمله، اصلِ نخستِ حکومتِ علوی است: حکومت، خدمتِ مهرآمیز است، نه سلطه بی‌رحمانه. و همین اصل است که در تصمیمِ عدول هم باید حاکم باشد: تصمیمی که از سر کینه و انتقام گرفته شود، تصمیمِ علوی نیست ـ هرچقدر هم که عنوانش شرعی باشد.</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فَإِنَّهُمْ صِنْفَانِ: إِمَّا أَخٌ لَکَ فِی الدِّینِ أَوْ نَظِیرٌ لَکَ فِی الْخَلْقِ</w:t>
      </w:r>
    </w:p>
    <w:p>
      <w:pPr>
        <w:pStyle w:val="TH-Body"/>
        <w:widowControl/>
        <w:bidi w:val="1"/>
        <w:spacing w:before="0" w:after="200" w:line="336" w:lineRule="auto"/>
        <w:jc w:val="both"/>
      </w:pPr>
      <w:r>
        <w:rPr>
          <w:rFonts w:ascii="B Lotus" w:hAnsi="B Lotus" w:cs="B Lotus" w:eastAsia="B Lotus"/>
          <w:b w:val="0"/>
          <w:i w:val="0"/>
          <w:sz w:val="28"/>
          <w:szCs w:val="28"/>
        </w:rPr>
        <w:t>«مردم دو گروه‌اند: یا برادر دینیِ تواَند یا همنوعِ تو در آفرینش» ـ این جمله مشهور، مبنای جهان‌شمولیِ اخلاقِ حکومتیِ اسلام است: حتی غیرمسلمان هم «هم‌نوع» است و حق دارد. و همین جهان‌شمولی است که وفای به عهد با دولتِ غیرمسلمان را هم واجب می‌کند؛ چون عهد، عهد است ـ طرفش هرکه می‌خواهد باشد.</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وَإِنْ عَقَدْتَ بَیْنَکَ وَبَیْنَ عَدُوِّکَ عُقْدَةً أَوْ أَلْبَسْتَهُ مِنْکَ ذِمَّةً فَحُطْ عَهْدَکَ بِالْوَفَاءِ وَارْعَ ذِمَّتَکَ بِالْأَمَانَةِ وَاجْعَلْ نَفْسَکَ جُنَّةً دُونَ مَا أَعْطَیْتَ</w:t>
      </w:r>
    </w:p>
    <w:p>
      <w:pPr>
        <w:pStyle w:val="TH-Body"/>
        <w:widowControl/>
        <w:bidi w:val="1"/>
        <w:spacing w:before="0" w:after="200" w:line="336" w:lineRule="auto"/>
        <w:jc w:val="both"/>
      </w:pPr>
      <w:r>
        <w:rPr>
          <w:rFonts w:ascii="B Lotus" w:hAnsi="B Lotus" w:cs="B Lotus" w:eastAsia="B Lotus"/>
          <w:b w:val="0"/>
          <w:i w:val="0"/>
          <w:sz w:val="28"/>
          <w:szCs w:val="28"/>
        </w:rPr>
        <w:t>«و اگر میان خود و دشمنت پیمانی بستی یا ذمه‌ای بر گردن گرفتی، عهدت را با وفا بپوشان و ذمه‌ات را با امانت رعایت کن و خودت را سپرِ آن‌چه داده‌ای قرار بده» ـ این فراز، چنان‌که در فصل سوم گفتم، مهم‌ترین نصِ رواییِ مسئله من است؛ و مخاطبش حاکم است، نه فرد عادی. تعبیر «سپر شدن» (جُنّة) نشان می‌دهد که وفای حاکم، حتی به قیمتِ ضررِ شخصی، واجب است.</w:t>
      </w:r>
    </w:p>
    <w:p>
      <w:pPr>
        <w:pStyle w:val="TH-Quote"/>
        <w:widowControl/>
        <w:bidi w:val="1"/>
        <w:spacing w:before="240" w:after="240" w:line="336" w:lineRule="auto"/>
        <w:ind w:right="567" w:left="567"/>
        <w:jc w:val="right"/>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إِیَّاکَ وَالدِّمَاءَ وَسَفْکَهَا بِغَیْرِ حِلِّهَا</w:t>
      </w:r>
    </w:p>
    <w:p>
      <w:pPr>
        <w:pStyle w:val="TH-Body"/>
        <w:widowControl/>
        <w:bidi w:val="1"/>
        <w:spacing w:before="0" w:after="200" w:line="336" w:lineRule="auto"/>
        <w:jc w:val="both"/>
      </w:pPr>
      <w:r>
        <w:rPr>
          <w:rFonts w:ascii="B Lotus" w:hAnsi="B Lotus" w:cs="B Lotus" w:eastAsia="B Lotus"/>
          <w:b w:val="0"/>
          <w:i w:val="0"/>
          <w:sz w:val="28"/>
          <w:szCs w:val="28"/>
        </w:rPr>
        <w:t>«بپرهیز از خون‌ها و ریختنِ ناحقِ آن‌ها» ـ این فراز، سقفِ اخلاقیِ هر تصمیمِ حکومتی است: هیچ مصلحتی ـ هرچقدر هم اهم ـ مجوزِ خونِ ناحق نیست. و همین منطق است که در ضابطه هفتم (عدم مخالفت با قواعد آمره) بازتاب یافته: مصلحت، سقف دارد و سقفش خونِ مردم و جنایت است.</w:t>
      </w:r>
    </w:p>
    <w:p>
      <w:pPr>
        <w:pStyle w:val="TH-Goftar"/>
        <w:widowControl/>
        <w:bidi w:val="1"/>
        <w:spacing w:before="280" w:after="160" w:line="336" w:lineRule="auto"/>
        <w:jc w:val="right"/>
        <w:keepNext w:val="1"/>
        <w:shd w:val="clear" w:fill="EDEDED"/>
      </w:pPr>
      <w:bookmarkStart w:id="179" w:name="_Toc000179"/>
      <w:r>
        <w:rPr>
          <w:rFonts w:ascii="B Titr" w:hAnsi="B Titr" w:cs="B Titr" w:eastAsia="B Titr"/>
          <w:b/>
          <w:i w:val="0"/>
          <w:sz w:val="32"/>
          <w:szCs w:val="32"/>
          <w:rtl/>
        </w:rPr>
        <w:t>پیوست ششم: واژه‌نامه فارسی ـ عربی ـ انگلیسی</w:t>
      </w:r>
      <w:bookmarkEnd w:id="179"/>
    </w:p>
    <w:p>
      <w:pPr>
        <w:pStyle w:val="TH-Body"/>
        <w:widowControl/>
        <w:bidi w:val="1"/>
        <w:spacing w:before="0" w:after="200" w:line="336" w:lineRule="auto"/>
        <w:jc w:val="both"/>
      </w:pPr>
      <w:r>
        <w:rPr>
          <w:rFonts w:ascii="B Lotus" w:hAnsi="B Lotus" w:cs="B Lotus" w:eastAsia="B Lotus"/>
          <w:b w:val="0"/>
          <w:i w:val="0"/>
          <w:sz w:val="28"/>
          <w:szCs w:val="28"/>
        </w:rPr>
        <w:t>معاهده (Treaty): توافق کتبی میان دولت‌ها تابع حقوق بین‌الملل. عهدنامه: برابرنهاد سنتی معاهده در ادبیات فقهی و تاریخی. ولی فقیه (Guardian Jurist): مقام رهبری در نظام جمهوری اسلامی. عدول (Withdrawal / Non-performance): تصمیم یک‌جانبه و فوق‌العاده حاکم بر توقف یا تعلیق اجرا. تعلیق (Suspension): توقف موقت اجرا با بقای رابطه معاهده‌ای. خاتمه (Termination): پایان رابطه معاهده‌ای. نقض اساسی (Material Breach): نقض مقرره اساسی برای تحقق موضوع و هدف معاهده. تغییر بنیادین اوضاع (Fundamental Change of Circumstances / Rebus sic stantibus): دگرگونی پیش‌بینی‌نشده مبنای رضایت. پاکتا سونت سرواندا (Pacta Sunt Servanda): اصل لزوم وفای به عهد. حسن نیت (Good Faith): اجرای صادقانه و منصفانه تعهد. حق شرط (Reservation): اعلام یک‌جانبه دولت برای تعدیل اثر بعضی مقررات نسبت به خود. اعلامیه تفسیری (Interpretive Declaration): اعلام فهم دولت از مقررات معاهده. انتساب (Attribution): نسبت دادن رفتار به دولت. ضرورت (Necessity): وضعیت اضطراریِ رافع وصف متخلفانه. فورس‌ماژور (Force Majeure): نیروی قاهره مانع اجرا. اقدام متقابل (Countermeasure): خودداری از اجرا در برابر نقض طرف مقابل. قواعد آمره (Jus Cogens / Peremptory Norms): قواعد تخلف‌ناپذیر حقوق بین‌الملل. تزاحم (Conflict of Interests): درگیری دو حکم در مقام امتثال با بقای هر دو در مقام جعل. حکم حکومتی (Governmental Ordinance): دستور حاکم در مقام اداره نظام بر مبنای مصلحت. مصلحت (Expediency / Public Interest): منفعت واقعی نوعی نظام و امت. انباذ علی سواء (Renunciation on Equal Footing): اعلام آشکار فسخ عهد به طرف مقابل. هدنه (Truce): آتش‌بس موقت با دشمن. امان (Safe Conduct): تأمین جانی یا مالی برای غیرمسلمان. ذمه (Dhimma): پیمان حمایت از اقلیت‌های دینی در برابر جزیه. جزیه (Jizya): مالیات سرانه اهل ذمه. خراج (Kharaj): مالیات ارضی. نفی سبیل (Negation of Domination): قاعده نفی هرگونه سلطه کافران بر مسلمانان.</w:t>
      </w:r>
    </w:p>
    <w:sectPr w:rsidR="00FC693F" w:rsidRPr="0006063C" w:rsidSect="00034616">
      <w:headerReference w:type="default" r:id="rId9"/>
      <w:footerReference w:type="default" r:id="rId10"/>
      <w:pgSz w:w="11906" w:h="16838"/>
      <w:pgMar w:top="1417" w:right="1701" w:bottom="1417" w:left="1134" w:header="680"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80" w:after="0" w:line="288" w:lineRule="auto"/>
      <w:jc w:val="right"/>
      <w:pBdr>
        <w:top w:val="single" w:sz="6" w:space="6" w:color="BFBFBF"/>
      </w:pBdr>
    </w:pPr>
    <w:r/>
    <w:r>
      <w:rPr>
        <w:rFonts w:ascii="B Lotus" w:hAnsi="B Lotus" w:cs="B Lotus" w:eastAsia="B Lotus"/>
        <w:b/>
        <w:i w:val="0"/>
        <w:sz w:val="22"/>
        <w:szCs w:val="22"/>
      </w:rPr>
      <w:t xml:space="preserve">صفحه </w:t>
    </w:r>
    <w:r>
      <w:rPr>
        <w:rFonts w:ascii="B Lotus" w:hAnsi="B Lotus" w:cs="B Lotus" w:eastAsia="B Lotus"/>
        <w:b/>
        <w:i w:val="0"/>
        <w:sz w:val="22"/>
        <w:szCs w:val="22"/>
      </w:rPr>
      <w:fldChar w:fldCharType="begin"/>
    </w:r>
    <w:r>
      <w:rPr>
        <w:rFonts w:ascii="B Lotus" w:hAnsi="B Lotus" w:cs="B Lotus" w:eastAsia="B Lotus"/>
        <w:b/>
        <w:i w:val="0"/>
        <w:sz w:val="22"/>
        <w:szCs w:val="22"/>
      </w:rPr>
      <w:instrText xml:space="preserve">PAGE \* MERGEFORMAT</w:instrText>
    </w:r>
    <w:r>
      <w:rPr>
        <w:rFonts w:ascii="B Lotus" w:hAnsi="B Lotus" w:cs="B Lotus" w:eastAsia="B Lotus"/>
        <w:b/>
        <w:i w:val="0"/>
        <w:sz w:val="22"/>
        <w:szCs w:val="22"/>
      </w:rPr>
      <w:fldChar w:fldCharType="end"/>
    </w:r>
  </w:p>
</w:ftr>
</file>

<file path=word/footnotes.xml><?xml version="1.0" encoding="utf-8"?>
<w:footnotes xmlns:w="http://schemas.openxmlformats.org/wordprocessingml/2006/main">
  <w:footnote w:id="0" w:type="separator">
    <w:p>
      <w:pPr>
        <w:bidi w:val="1"/>
        <w:jc w:val="right"/>
      </w:pPr>
      <w:r>
        <w:separator/>
      </w:r>
    </w:p>
  </w:footnote>
  <w:footnote w:id="1" w:type="continuationSeparator">
    <w:p>
      <w:r>
        <w:continuationSeparator/>
      </w:r>
    </w:p>
  </w:footnote>
  <w:footnote w:id="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مائده، آیه ۱.</w:t>
      </w:r>
    </w:p>
  </w:footnote>
  <w:footnote w:id="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زحیلی، وهبه، آثار الحرب فی الاسلام (مشخصات چاپ، نیازمند بررسی منبع اصلی است).</w:t>
      </w:r>
    </w:p>
  </w:footnote>
  <w:footnote w:id="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Malcolm Shaw, International Law; و James Crawford, The International Law Commission's Articles on State Responsibility (مشخصات چاپ، نیازمند بررسی منبع اصلی است).</w:t>
      </w:r>
    </w:p>
  </w:footnote>
  <w:footnote w:id="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خلیل بن احمد فراهیدی، کتاب العین، ماده «عهد»؛ و ابن‌منظور، لسان العرب، ماده «عهد» (مشخصات چاپ، نیازمند بررسی منبع اصلی است).</w:t>
      </w:r>
    </w:p>
  </w:footnote>
  <w:footnote w:id="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 بند ۱ (الف).</w:t>
      </w:r>
    </w:p>
  </w:footnote>
  <w:footnote w:id="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۳.</w:t>
      </w:r>
    </w:p>
  </w:footnote>
  <w:footnote w:id="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اصول ۵ و ۱۰۷.</w:t>
      </w:r>
    </w:p>
  </w:footnote>
  <w:footnote w:id="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ولایت فقیه (حکومت اسلامی)، تهران، مؤسسه تنظیم و نشر آثار امام خمینی (مشخصات چاپ، نیازمند بررسی منبع اصلی است).</w:t>
      </w:r>
    </w:p>
  </w:footnote>
  <w:footnote w:id="1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۵۸.</w:t>
      </w:r>
    </w:p>
  </w:footnote>
  <w:footnote w:id="1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ابن‌منظور، لسان العرب، ماده «صلح» (مشخصات چاپ، نیازمند بررسی منبع اصلی است).</w:t>
      </w:r>
    </w:p>
  </w:footnote>
  <w:footnote w:id="1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۲۵.</w:t>
      </w:r>
    </w:p>
  </w:footnote>
  <w:footnote w:id="1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نجفی، محمدحسن (صاحب جواهر)، جواهر الکلام، کتاب الجهاد، احکام هدنه (مشخصات چاپ و نشانی دقیق، نیازمند بررسی منبع اصلی است).</w:t>
      </w:r>
    </w:p>
  </w:footnote>
  <w:footnote w:id="1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نجفی، محمدحسن (صاحب جواهر)، جواهر الکلام، کتاب الجهاد (نشانی دقیق، نیازمند بررسی منبع اصلی است).</w:t>
      </w:r>
    </w:p>
  </w:footnote>
  <w:footnote w:id="1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امام خمینی، سیدروح‌الله، تحریر الوسیله، کتاب الجهاد، احکام امان (نشانی دقیق، نیازمند بررسی منبع اصلی است).</w:t>
      </w:r>
    </w:p>
  </w:footnote>
  <w:footnote w:id="1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نجفی، محمدحسن (صاحب جواهر)، جواهر الکلام، کتاب الجهاد، احکام ذمه و صلح (نشانی دقیق، نیازمند بررسی منبع اصلی است).</w:t>
      </w:r>
    </w:p>
  </w:footnote>
  <w:footnote w:id="1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مصوب ۱۹۶۹، لازم‌الاجرا از ۱۹۸۰.</w:t>
      </w:r>
    </w:p>
  </w:footnote>
  <w:footnote w:id="1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۲۶.</w:t>
      </w:r>
    </w:p>
  </w:footnote>
  <w:footnote w:id="1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۲۷.</w:t>
      </w:r>
    </w:p>
  </w:footnote>
  <w:footnote w:id="2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۴۶ (به‌اجمال).</w:t>
      </w:r>
    </w:p>
  </w:footnote>
  <w:footnote w:id="2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۵۴ و ۵۷ (به‌اجمال).</w:t>
      </w:r>
    </w:p>
  </w:footnote>
  <w:footnote w:id="2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۵۴ و ۵۹ (به‌اجمال).</w:t>
      </w:r>
    </w:p>
  </w:footnote>
  <w:footnote w:id="2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۶۰ (به‌اجمال).</w:t>
      </w:r>
    </w:p>
  </w:footnote>
  <w:footnote w:id="2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آیه ۷.</w:t>
      </w:r>
    </w:p>
  </w:footnote>
  <w:footnote w:id="2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۶۵ تا ۶۸ (به‌اجمال).</w:t>
      </w:r>
    </w:p>
  </w:footnote>
  <w:footnote w:id="2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۶۲ (به‌اجمال).</w:t>
      </w:r>
    </w:p>
  </w:footnote>
  <w:footnote w:id="2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گابچیکوو ـ ناگیماروش (مجارستان علیه اسلواکی)، رأی دیوان بین‌المللی دادگستری، ۱۹۹۷.</w:t>
      </w:r>
    </w:p>
  </w:footnote>
  <w:footnote w:id="2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۶۱ (به‌اجمال).</w:t>
      </w:r>
    </w:p>
  </w:footnote>
  <w:footnote w:id="2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۱۹ تا ۲۳ (به‌اجمال).</w:t>
      </w:r>
    </w:p>
  </w:footnote>
  <w:footnote w:id="3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۳۱ و ۳۲.</w:t>
      </w:r>
    </w:p>
  </w:footnote>
  <w:footnote w:id="3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۳۲.</w:t>
      </w:r>
    </w:p>
  </w:footnote>
  <w:footnote w:id="3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۶، ۷ و ۴۶ (به‌اجمال).</w:t>
      </w:r>
    </w:p>
  </w:footnote>
  <w:footnote w:id="3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۴۸ تا ۵۳ (به‌اجمال).</w:t>
      </w:r>
    </w:p>
  </w:footnote>
  <w:footnote w:id="3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منشور سازمان ملل متحد، ماده ۱۰۲.</w:t>
      </w:r>
    </w:p>
  </w:footnote>
  <w:footnote w:id="3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w:t>
      </w:r>
    </w:p>
  </w:footnote>
  <w:footnote w:id="3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۵۷.</w:t>
      </w:r>
    </w:p>
  </w:footnote>
  <w:footnote w:id="3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۷۷.</w:t>
      </w:r>
    </w:p>
  </w:footnote>
  <w:footnote w:id="3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۱۲۵.</w:t>
      </w:r>
    </w:p>
  </w:footnote>
  <w:footnote w:id="3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۱۱۰.</w:t>
      </w:r>
    </w:p>
  </w:footnote>
  <w:footnote w:id="4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۱۱۲ (به‌اجمال).</w:t>
      </w:r>
    </w:p>
  </w:footnote>
  <w:footnote w:id="4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۱۵۲.</w:t>
      </w:r>
    </w:p>
  </w:footnote>
  <w:footnote w:id="4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۱۵۳.</w:t>
      </w:r>
    </w:p>
  </w:footnote>
  <w:footnote w:id="4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۱۵۴ (به‌اجمال).</w:t>
      </w:r>
    </w:p>
  </w:footnote>
  <w:footnote w:id="4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۱۷۶ (به‌اجمال).</w:t>
      </w:r>
    </w:p>
  </w:footnote>
  <w:footnote w:id="4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مائده، آیه ۱.</w:t>
      </w:r>
    </w:p>
  </w:footnote>
  <w:footnote w:id="4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شیخ انصاری، مرتضی، المکاسب، کتاب البیع (مشخصات چاپ، نیازمند بررسی منبع اصلی است)؛ و بجنوردی، سیدمحمدحسن، القواعد الفقهیه، ج ۴، قاعده لزوم (مشخصات چاپ، نیازمند بررسی منبع اصلی است).</w:t>
      </w:r>
    </w:p>
  </w:footnote>
  <w:footnote w:id="4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نحل، آیات ۹۱ و ۹۲.</w:t>
      </w:r>
    </w:p>
  </w:footnote>
  <w:footnote w:id="4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علامه طباطبایی، سیدمحمدحسین، المیزان فی تفسیر القرآن، ذیل آیه ۹۱ نحل (مشخصات چاپ، نیازمند بررسی منبع اصلی است).</w:t>
      </w:r>
    </w:p>
  </w:footnote>
  <w:footnote w:id="4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اسراء، آیه ۳۴.</w:t>
      </w:r>
    </w:p>
  </w:footnote>
  <w:footnote w:id="5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رعد، آیات ۲۰ تا ۲۵.</w:t>
      </w:r>
    </w:p>
  </w:footnote>
  <w:footnote w:id="5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مؤمنون، آیه ۸؛ و نیز سوره معارج، آیه ۳۲.</w:t>
      </w:r>
    </w:p>
  </w:footnote>
  <w:footnote w:id="5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آیه ۴.</w:t>
      </w:r>
    </w:p>
  </w:footnote>
  <w:footnote w:id="5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آیه ۷.</w:t>
      </w:r>
    </w:p>
  </w:footnote>
  <w:footnote w:id="5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۵۸.</w:t>
      </w:r>
    </w:p>
  </w:footnote>
  <w:footnote w:id="5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۷۲.</w:t>
      </w:r>
    </w:p>
  </w:footnote>
  <w:footnote w:id="5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حر عاملی، محمد بن حسن، وسائل الشیعه، ابواب خیارات (مشخصات چاپ و نشانی دقیق، نیازمند بررسی منبع اصلی است).</w:t>
      </w:r>
    </w:p>
  </w:footnote>
  <w:footnote w:id="5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بررسی سندی، ر.ک: مجلسی، محمدباقر، بحار الانوار (نشانی دقیق، نیازمند بررسی منبع اصلی است).</w:t>
      </w:r>
    </w:p>
  </w:footnote>
  <w:footnote w:id="5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نهج‌البلاغه، نامه ۵۳ (عهدنامه مالک اشتر).</w:t>
      </w:r>
    </w:p>
  </w:footnote>
  <w:footnote w:id="5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کلینی، محمد بن یعقوب، الکافی (نشانی دقیق، نیازمند بررسی منبع اصلی است).</w:t>
      </w:r>
    </w:p>
  </w:footnote>
  <w:footnote w:id="6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حر عاملی، محمد بن حسن، وسائل الشیعه، ابواب جهاد و ابواب احکام عقود (نشانی دقیق، نیازمند بررسی منبع اصلی است).</w:t>
      </w:r>
    </w:p>
  </w:footnote>
  <w:footnote w:id="6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ابن‌هشام، السیرة النبویة، ماجرای حدیبیه (مشخصات چاپ، نیازمند بررسی منبع اصلی است).</w:t>
      </w:r>
    </w:p>
  </w:footnote>
  <w:footnote w:id="6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آیات ۱ تا ۴؛ و ر.ک: طبری، تاریخ الامم و الملوک، ماجرای فتح مکه (مشخصات چاپ، نیازمند بررسی منبع اصلی است).</w:t>
      </w:r>
    </w:p>
  </w:footnote>
  <w:footnote w:id="6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نهج‌البلاغه، خطبه‌ها و نامه‌های مربوط به صفین (نشانی دقیق، نیازمند بررسی منبع اصلی است).</w:t>
      </w:r>
    </w:p>
  </w:footnote>
  <w:footnote w:id="6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آخوند خراسانی، محمدکاظم، کفایة الاصول، مبحث ملازمه عقلیه (مشخصات چاپ، نیازمند بررسی منبع اصلی است).</w:t>
      </w:r>
    </w:p>
  </w:footnote>
  <w:footnote w:id="6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میرزای نائینی، محمدحسین، فوائد الاصول، مبحث بنای عقلا (مشخصات چاپ، نیازمند بررسی منبع اصلی است).</w:t>
      </w:r>
    </w:p>
  </w:footnote>
  <w:footnote w:id="6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بجنوردی، سیدمحمدحسن، القواعد الفقهیه، ج ۴، قاعده لزوم (مشخصات چاپ، نیازمند بررسی منبع اصلی است).</w:t>
      </w:r>
    </w:p>
  </w:footnote>
  <w:footnote w:id="6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۵۸.</w:t>
      </w:r>
    </w:p>
  </w:footnote>
  <w:footnote w:id="6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حر عاملی، محمد بن حسن، وسائل الشیعه، ابواب جهاد (نشانی دقیق، نیازمند بررسی منبع اصلی است).</w:t>
      </w:r>
    </w:p>
  </w:footnote>
  <w:footnote w:id="6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نساء، آیه ۱۴۱.</w:t>
      </w:r>
    </w:p>
  </w:footnote>
  <w:footnote w:id="7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نساء، آیه ۵۸.</w:t>
      </w:r>
    </w:p>
  </w:footnote>
  <w:footnote w:id="7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علامه طباطبایی، سیدمحمدحسین، المیزان فی تفسیر القرآن، ذیل آیه ۵۸ نساء (مشخصات چاپ، نیازمند بررسی منبع اصلی است).</w:t>
      </w:r>
    </w:p>
  </w:footnote>
  <w:footnote w:id="7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مائده، آیه ۸۹.</w:t>
      </w:r>
    </w:p>
  </w:footnote>
  <w:footnote w:id="7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شیخ صدوق، محمد بن علی، الخصال؛ و حر عاملی، محمد بن حسن، وسائل الشیعه (نشانی دقیق، نیازمند بررسی منبع اصلی است).</w:t>
      </w:r>
    </w:p>
  </w:footnote>
  <w:footnote w:id="7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ابن‌هشام، السیرة النبویة، ماجرای هجرت و میثاق مدینه (مشخصات چاپ، نیازمند بررسی منبع اصلی است).</w:t>
      </w:r>
    </w:p>
  </w:footnote>
  <w:footnote w:id="7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ابن‌هشام، السیرة النبویة، ماجرای نجران (مشخصات چاپ، نیازمند بررسی منبع اصلی است).</w:t>
      </w:r>
    </w:p>
  </w:footnote>
  <w:footnote w:id="7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نجفی، محمدحسن (صاحب جواهر)، جواهر الکلام، کتاب الجهاد، احکام هدنه (مشخصات چاپ و نشانی دقیق، نیازمند بررسی منبع اصلی است).</w:t>
      </w:r>
    </w:p>
  </w:footnote>
  <w:footnote w:id="7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تحریر الوسیله، کتاب الجهاد و الامر بالمعروف (نشانی دقیق، نیازمند بررسی منبع اصلی است).</w:t>
      </w:r>
    </w:p>
  </w:footnote>
  <w:footnote w:id="7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شیخ انصاری، مرتضی، المکاسب، کتاب البیع، مبحث لزوم (نشانی دقیق، نیازمند بررسی منبع اصلی است).</w:t>
      </w:r>
    </w:p>
  </w:footnote>
  <w:footnote w:id="7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راغب اصفهانی، حسین بن محمد، مفردات الفاظ القرآن، ماده «عهد» (مشخصات چاپ، نیازمند بررسی منبع اصلی است).</w:t>
      </w:r>
    </w:p>
  </w:footnote>
  <w:footnote w:id="8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راغب اصفهانی، حسین بن محمد، مفردات الفاظ القرآن، ماده «عقد» (مشخصات چاپ، نیازمند بررسی منبع اصلی است).</w:t>
      </w:r>
    </w:p>
  </w:footnote>
  <w:footnote w:id="8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راغب اصفهانی، حسین بن محمد، مفردات الفاظ القرآن، ماده «وثق» (مشخصات چاپ، نیازمند بررسی منبع اصلی است).</w:t>
      </w:r>
    </w:p>
  </w:footnote>
  <w:footnote w:id="8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آل‌عمران، آیه ۹.</w:t>
      </w:r>
    </w:p>
  </w:footnote>
  <w:footnote w:id="8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آخوند خراسانی، محمدکاظم، کفایة الاصول، مبحث تزاحم؛ و میرزای نائینی، محمدحسین، فوائد الاصول، مبحث تزاحم (مشخصات چاپ، نیازمند بررسی منبع اصلی است).</w:t>
      </w:r>
    </w:p>
  </w:footnote>
  <w:footnote w:id="8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صحیفه امام، نامه به حجت‌الاسلام قدیری (نشانی دقیق، نیازمند بررسی منبع اصلی است).</w:t>
      </w:r>
    </w:p>
  </w:footnote>
  <w:footnote w:id="8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شیخ صدوق، محمد بن علی، من لایحضره الفقیه؛ و کلینی، محمد بن یعقوب، الکافی (نشانی دقیق، نیازمند بررسی منبع اصلی است).</w:t>
      </w:r>
    </w:p>
  </w:footnote>
  <w:footnote w:id="8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حج، آیه ۷۸.</w:t>
      </w:r>
    </w:p>
  </w:footnote>
  <w:footnote w:id="8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صحیفه امام (نشانی دقیق، نیازمند بررسی منبع اصلی است).</w:t>
      </w:r>
    </w:p>
  </w:footnote>
  <w:footnote w:id="8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نراقی، ملا احمد، عوائد الایام، عائده ولایت فقیه (مشخصات چاپ و نشانی دقیق، نیازمند بررسی منبع اصلی است).</w:t>
      </w:r>
    </w:p>
  </w:footnote>
  <w:footnote w:id="8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میرزای نائینی، محمدحسین، تنبیه الامه و تنزیه المله، تهران (مشخصات چاپ، نیازمند بررسی منبع اصلی است).</w:t>
      </w:r>
    </w:p>
  </w:footnote>
  <w:footnote w:id="9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ولایت فقیه (حکومت اسلامی) (مشخصات چاپ، نیازمند بررسی منبع اصلی است).</w:t>
      </w:r>
    </w:p>
  </w:footnote>
  <w:footnote w:id="9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صحیفه امام، نامه به حجت‌الاسلام قدیری (نشانی دقیق، نیازمند بررسی منبع اصلی است).</w:t>
      </w:r>
    </w:p>
  </w:footnote>
  <w:footnote w:id="9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شیخ مفید، محمد بن محمد، الارشاد، احوال امام حسن؛ و طبری، محمد بن جریر، تاریخ الامم و الملوک، حوادث سال ۴۱ (مشخصات چاپ، نیازمند بررسی منبع اصلی است).</w:t>
      </w:r>
    </w:p>
  </w:footnote>
  <w:footnote w:id="9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آخوند خراسانی، محمدکاظم، کفایة الاصول، مبحث تزاحم؛ و میرزای نائینی، محمدحسین، فوائد الاصول، مبحث تزاحم (مشخصات چاپ، نیازمند بررسی منبع اصلی است).</w:t>
      </w:r>
    </w:p>
  </w:footnote>
  <w:footnote w:id="9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کمیسیون حقوق بین‌الملل درباره مسئولیت بین‌المللی دولت‌ها (۲۰۰۱). ر.ک: گزارش‌های کمیسیون حقوق بین‌الملل (نشانی دقیق، نیازمند بررسی منبع اصلی است).</w:t>
      </w:r>
    </w:p>
  </w:footnote>
  <w:footnote w:id="9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فعالیت‌های نظامی و شبه‌نظامی در نیکاراگوئه و علیه آن (نیکاراگوئه علیه ایالات متحده)، رأی دیوان بین‌المللی دادگستری، ۱۹۸۶.</w:t>
      </w:r>
    </w:p>
  </w:footnote>
  <w:footnote w:id="9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۱ و ۲.</w:t>
      </w:r>
    </w:p>
  </w:footnote>
  <w:footnote w:id="9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۴.</w:t>
      </w:r>
    </w:p>
  </w:footnote>
  <w:footnote w:id="9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۷.</w:t>
      </w:r>
    </w:p>
  </w:footnote>
  <w:footnote w:id="9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۸.</w:t>
      </w:r>
    </w:p>
  </w:footnote>
  <w:footnote w:id="10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۱۱.</w:t>
      </w:r>
    </w:p>
  </w:footnote>
  <w:footnote w:id="10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کارکنان دیپلماتیک و کنسولی ایالات متحده در تهران (ایالات متحده علیه ایران)، رأی دیوان بین‌المللی دادگستری، ۱۹۸۰.</w:t>
      </w:r>
    </w:p>
  </w:footnote>
  <w:footnote w:id="10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۱۲.</w:t>
      </w:r>
    </w:p>
  </w:footnote>
  <w:footnote w:id="10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۱۴ و ۱۵ (به‌اجمال).</w:t>
      </w:r>
    </w:p>
  </w:footnote>
  <w:footnote w:id="10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۳۲.</w:t>
      </w:r>
    </w:p>
  </w:footnote>
  <w:footnote w:id="10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۲۰ تا ۲۵.</w:t>
      </w:r>
    </w:p>
  </w:footnote>
  <w:footnote w:id="10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۲۵.</w:t>
      </w:r>
    </w:p>
  </w:footnote>
  <w:footnote w:id="10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۲۲ و ۴۹ تا ۵۴ (به‌اجمال).</w:t>
      </w:r>
    </w:p>
  </w:footnote>
  <w:footnote w:id="10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۲۳.</w:t>
      </w:r>
    </w:p>
  </w:footnote>
  <w:footnote w:id="10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۲۶.</w:t>
      </w:r>
    </w:p>
  </w:footnote>
  <w:footnote w:id="11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۳۰، ۳۱ و ۳۴ تا ۳۷.</w:t>
      </w:r>
    </w:p>
  </w:footnote>
  <w:footnote w:id="11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۷۰ و ۷۲.</w:t>
      </w:r>
    </w:p>
  </w:footnote>
  <w:footnote w:id="11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۱۹ تا ۲۳.</w:t>
      </w:r>
    </w:p>
  </w:footnote>
  <w:footnote w:id="11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۴۹ تا ۵۴ (به‌اجمال).</w:t>
      </w:r>
    </w:p>
  </w:footnote>
  <w:footnote w:id="11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کارخانه کورزو (آلمان علیه لهستان)، رأی دیوان دائمی دادگستری بین‌المللی، ۱۹۲۸ (نشانی دقیق، نیازمند بررسی منبع اصلی است).</w:t>
      </w:r>
    </w:p>
  </w:footnote>
  <w:footnote w:id="11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اساسنامه دیوان بین‌المللی دادگستری، ماده ۳۶ (به‌اجمال).</w:t>
      </w:r>
    </w:p>
  </w:footnote>
  <w:footnote w:id="11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منشور سازمان ملل متحد، فصل ششم و هفتم (به‌اجمال).</w:t>
      </w:r>
    </w:p>
  </w:footnote>
  <w:footnote w:id="11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اسناد و تاریخ‌های دقیق، نیازمند بررسی منبع اصلی است.</w:t>
      </w:r>
    </w:p>
  </w:footnote>
  <w:footnote w:id="11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اسناد و تاریخ‌های دقیق، نیازمند بررسی منبع اصلی است.</w:t>
      </w:r>
    </w:p>
  </w:footnote>
  <w:footnote w:id="11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اسناد و تاریخ‌های دقیق، نیازمند بررسی منبع اصلی است.</w:t>
      </w:r>
    </w:p>
  </w:footnote>
  <w:footnote w:id="12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w:t>
      </w:r>
    </w:p>
  </w:footnote>
  <w:footnote w:id="12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۱۰۷ (به‌اجمال).</w:t>
      </w:r>
    </w:p>
  </w:footnote>
  <w:footnote w:id="12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۱۰۹ (به‌اجمال).</w:t>
      </w:r>
    </w:p>
  </w:footnote>
  <w:footnote w:id="12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۱۱۱ (به‌اجمال).</w:t>
      </w:r>
    </w:p>
  </w:footnote>
  <w:footnote w:id="12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متنِ سیاست‌های ابلاغی، ر.ک: پایگاه اطلاع‌رسانی دفتر مقام معظم رهبری (نشانی دقیق، نیازمند بررسی منبع اصلی است).</w:t>
      </w:r>
    </w:p>
  </w:footnote>
  <w:footnote w:id="12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صورت‌بندی دو دیدگاه، ر.ک: «ولایت مطلقه فقیه در قانون اساسی» و «مفهوم ولایت مطلقه فقیه در قانون اساسی جمهوری اسلامی ایران»، پایگاه اطلاع‌رسانی حوزه، به نشانی‌های یادشده در پیشینه پژوهش. همچنین ر.ک: سیدابوالفضل قاضی شریعت‌پناهی، حقوق اساسی و نهادهای سیاسی؛ و سیدمحمد هاشمی، حقوق اساسی جمهوری اسلامی ایران.</w:t>
      </w:r>
    </w:p>
  </w:footnote>
  <w:footnote w:id="12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w:t>
      </w:r>
    </w:p>
  </w:footnote>
  <w:footnote w:id="12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۵۷.</w:t>
      </w:r>
    </w:p>
  </w:footnote>
  <w:footnote w:id="12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۷۷.</w:t>
      </w:r>
    </w:p>
  </w:footnote>
  <w:footnote w:id="12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۱۱۰.</w:t>
      </w:r>
    </w:p>
  </w:footnote>
  <w:footnote w:id="13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۱۱۲.</w:t>
      </w:r>
    </w:p>
  </w:footnote>
  <w:footnote w:id="13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۱۲۵.</w:t>
      </w:r>
    </w:p>
  </w:footnote>
  <w:footnote w:id="13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۱۵۲.</w:t>
      </w:r>
    </w:p>
  </w:footnote>
  <w:footnote w:id="13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۱۵۳.</w:t>
      </w:r>
    </w:p>
  </w:footnote>
  <w:footnote w:id="13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۱۵۴.</w:t>
      </w:r>
    </w:p>
  </w:footnote>
  <w:footnote w:id="13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۱۷۶ (به‌اجمال).</w:t>
      </w:r>
    </w:p>
  </w:footnote>
  <w:footnote w:id="13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۱.</w:t>
      </w:r>
    </w:p>
  </w:footnote>
  <w:footnote w:id="13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 (به‌اجمال).</w:t>
      </w:r>
    </w:p>
  </w:footnote>
  <w:footnote w:id="13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۲۶.</w:t>
      </w:r>
    </w:p>
  </w:footnote>
  <w:footnote w:id="13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۲۷.</w:t>
      </w:r>
    </w:p>
  </w:footnote>
  <w:footnote w:id="14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۴۶ (به‌اجمال).</w:t>
      </w:r>
    </w:p>
  </w:footnote>
  <w:footnote w:id="14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۵۳ (به‌اجمال).</w:t>
      </w:r>
    </w:p>
  </w:footnote>
  <w:footnote w:id="14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۵۴ تا ۶۴ (به‌اجمال).</w:t>
      </w:r>
    </w:p>
  </w:footnote>
  <w:footnote w:id="14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۶۵ تا ۶۸ (به‌اجمال).</w:t>
      </w:r>
    </w:p>
  </w:footnote>
  <w:footnote w:id="14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۷۰ و ۷۲ (به‌اجمال).</w:t>
      </w:r>
    </w:p>
  </w:footnote>
  <w:footnote w:id="14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نهج‌البلاغه، نامه ۵۳ (عهدنامه مالک اشتر)، ضبط فیض‌الاسلام (مشخصات چاپ، نیازمند بررسی منبع اصلی است).</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bidi w:val="1"/>
      <w:spacing w:before="0" w:after="40" w:line="336" w:lineRule="auto"/>
      <w:jc w:val="right"/>
      <w:pBdr>
        <w:bottom w:val="single" w:sz="6" w:space="6" w:color="BFBFBF"/>
      </w:pBdr>
    </w:pPr>
    <w:r/>
    <w:r>
      <w:rPr>
        <w:rFonts w:ascii="B Lotus" w:hAnsi="B Lotus" w:cs="B Lotus" w:eastAsia="B Lotus"/>
        <w:b w:val="0"/>
        <w:i w:val="0"/>
        <w:sz w:val="20"/>
        <w:szCs w:val="20"/>
      </w:rPr>
      <w:fldChar w:fldCharType="begin"/>
    </w:r>
    <w:r>
      <w:rPr>
        <w:rFonts w:ascii="B Lotus" w:hAnsi="B Lotus" w:cs="B Lotus" w:eastAsia="B Lotus"/>
        <w:b w:val="0"/>
        <w:i w:val="0"/>
        <w:sz w:val="20"/>
        <w:szCs w:val="20"/>
      </w:rPr>
      <w:instrText xml:space="preserve">STYLEREF "TH-Fasl" \* MERGEFORMAT</w:instrText>
    </w:r>
    <w:r>
      <w:rPr>
        <w:rFonts w:ascii="B Lotus" w:hAnsi="B Lotus" w:cs="B Lotus" w:eastAsia="B Lotus"/>
        <w:b w:val="0"/>
        <w:i w:val="0"/>
        <w:sz w:val="20"/>
        <w:szCs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B Lotus" w:hAnsi="B Lotus" w:cs="B Lotus" w:eastAsia="B Lotus"/>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Bakhsh">
    <w:name w:val="TH-Bakhsh"/>
    <w:basedOn w:val="Normal"/>
    <w:pPr>
      <w:outlineLvl w:val="0"/>
    </w:pPr>
  </w:style>
  <w:style w:type="paragraph" w:customStyle="1" w:styleId="TH-Fasl">
    <w:name w:val="TH-Fasl"/>
    <w:basedOn w:val="Normal"/>
    <w:pPr>
      <w:outlineLvl w:val="1"/>
    </w:pPr>
  </w:style>
  <w:style w:type="paragraph" w:customStyle="1" w:styleId="TH-Front">
    <w:name w:val="TH-Front"/>
    <w:basedOn w:val="Normal"/>
    <w:pPr>
      <w:outlineLvl w:val="1"/>
    </w:pPr>
  </w:style>
  <w:style w:type="paragraph" w:customStyle="1" w:styleId="TH-Goftar">
    <w:name w:val="TH-Goftar"/>
    <w:basedOn w:val="Normal"/>
    <w:pPr>
      <w:outlineLvl w:val="2"/>
    </w:pPr>
  </w:style>
  <w:style w:type="paragraph" w:customStyle="1" w:styleId="TH-Band">
    <w:name w:val="TH-Band"/>
    <w:basedOn w:val="Normal"/>
    <w:pPr>
      <w:outlineLvl w:val="3"/>
    </w:pPr>
  </w:style>
  <w:style w:type="paragraph" w:customStyle="1" w:styleId="TH-Sub">
    <w:name w:val="TH-Sub"/>
    <w:basedOn w:val="Normal"/>
  </w:style>
  <w:style w:type="paragraph" w:customStyle="1" w:styleId="TH-Body">
    <w:name w:val="TH-Body"/>
    <w:basedOn w:val="Normal"/>
  </w:style>
  <w:style w:type="paragraph" w:customStyle="1" w:styleId="TH-Quote">
    <w:name w:val="TH-Quote"/>
    <w:basedOn w:val="Normal"/>
  </w:style>
  <w:style w:type="paragraph" w:styleId="TOC1">
    <w:name w:val="toc 1"/>
    <w:basedOn w:val="Normal"/>
    <w:pPr>
      <w:bidi w:val="1"/>
      <w:jc w:val="right"/>
      <w:tabs>
        <w:tab w:val="left" w:leader="dot" w:pos="9072"/>
      </w:tabs>
    </w:pPr>
    <w:rPr>
      <w:rFonts w:ascii="B Lotus" w:hAnsi="B Lotus" w:cs="B Lotus"/>
      <w:sz w:val="26"/>
      <w:szCs w:val="26"/>
    </w:rPr>
  </w:style>
  <w:style w:type="paragraph" w:styleId="TOC2">
    <w:name w:val="toc 2"/>
    <w:basedOn w:val="Normal"/>
    <w:pPr>
      <w:bidi w:val="1"/>
      <w:jc w:val="right"/>
      <w:ind w:right="284"/>
      <w:tabs>
        <w:tab w:val="left" w:leader="dot" w:pos="9072"/>
      </w:tabs>
    </w:pPr>
    <w:rPr>
      <w:rFonts w:ascii="B Lotus" w:hAnsi="B Lotus" w:cs="B Lotus"/>
      <w:sz w:val="26"/>
      <w:szCs w:val="26"/>
    </w:rPr>
  </w:style>
  <w:style w:type="paragraph" w:styleId="TOC3">
    <w:name w:val="toc 3"/>
    <w:basedOn w:val="Normal"/>
    <w:pPr>
      <w:bidi w:val="1"/>
      <w:jc w:val="right"/>
      <w:ind w:right="567"/>
      <w:tabs>
        <w:tab w:val="left" w:leader="dot" w:pos="9072"/>
      </w:tabs>
    </w:pPr>
    <w:rPr>
      <w:rFonts w:ascii="B Lotus" w:hAnsi="B Lotus" w:cs="B Lotus"/>
      <w:sz w:val="26"/>
      <w:szCs w:val="26"/>
    </w:rPr>
  </w:style>
  <w:style w:type="paragraph" w:styleId="TOC4">
    <w:name w:val="toc 4"/>
    <w:basedOn w:val="Normal"/>
    <w:pPr>
      <w:bidi w:val="1"/>
      <w:jc w:val="right"/>
      <w:ind w:right="851"/>
      <w:tabs>
        <w:tab w:val="left" w:leader="dot" w:pos="9072"/>
      </w:tabs>
    </w:pPr>
    <w:rPr>
      <w:rFonts w:ascii="B Lotus" w:hAnsi="B Lotus" w:cs="B Lotus"/>
      <w:sz w:val="26"/>
      <w:szCs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عدول ولی فقیه از تعهدات بین‌المللی دولت اسلامی از منظر فقه امامیه و حقوق بین‌الملل</dc:title>
  <dc:subject>رساله علمی سطح سه حوزه علمیه</dc:subject>
  <dc:creator>هادی شبستانی</dc:creator>
  <cp:keywords/>
  <dc:description>generated by python-docx</dc:description>
  <cp:lastModifiedBy/>
  <cp:revision>1</cp:revision>
  <dcterms:created xsi:type="dcterms:W3CDTF">2013-12-23T23:15:00Z</dcterms:created>
  <dcterms:modified xsi:type="dcterms:W3CDTF">2013-12-23T23:15:00Z</dcterms:modified>
  <cp:category/>
</cp:coreProperties>
</file>