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widowControl/>
        <w:bidi w:val="1"/>
        <w:spacing w:before="0" w:after="120" w:line="288" w:lineRule="auto"/>
        <w:jc w:val="center"/>
      </w:pPr>
      <w:r>
        <w:rPr>
          <w:rFonts w:ascii="B Titr" w:hAnsi="B Titr" w:cs="B Titr" w:eastAsia="B Titr"/>
          <w:b w:val="0"/>
          <w:i w:val="0"/>
          <w:sz w:val="32"/>
          <w:szCs w:val="32"/>
        </w:rPr>
        <w:t>حوزه علمیه …</w:t>
      </w:r>
    </w:p>
    <w:p>
      <w:pPr>
        <w:widowControl/>
        <w:bidi w:val="1"/>
        <w:spacing w:before="0" w:after="120" w:line="288" w:lineRule="auto"/>
        <w:jc w:val="center"/>
      </w:pPr>
      <w:r>
        <w:rPr>
          <w:rFonts w:ascii="B Titr" w:hAnsi="B Titr" w:cs="B Titr" w:eastAsia="B Titr"/>
          <w:b/>
          <w:i w:val="0"/>
          <w:sz w:val="40"/>
          <w:szCs w:val="40"/>
        </w:rPr>
        <w:t>رساله علمی سطح سه</w:t>
      </w:r>
    </w:p>
    <w:p>
      <w:pPr>
        <w:widowControl/>
        <w:bidi w:val="1"/>
        <w:spacing w:before="0" w:after="120" w:line="288" w:lineRule="auto"/>
        <w:jc w:val="center"/>
      </w:pPr>
    </w:p>
    <w:p>
      <w:pPr>
        <w:widowControl/>
        <w:bidi w:val="1"/>
        <w:spacing w:before="0" w:after="120" w:line="288" w:lineRule="auto"/>
        <w:jc w:val="center"/>
      </w:pPr>
      <w:r>
        <w:rPr>
          <w:rFonts w:ascii="B Titr" w:hAnsi="B Titr" w:cs="B Titr" w:eastAsia="B Titr"/>
          <w:b/>
          <w:i w:val="0"/>
          <w:sz w:val="40"/>
          <w:szCs w:val="40"/>
        </w:rPr>
        <w:t>قلمرو اختیارات ولی فقیه در تعلیق و نقض یک‌جانبه معاهدات بین‌المللی</w:t>
      </w:r>
    </w:p>
    <w:p>
      <w:pPr>
        <w:widowControl/>
        <w:bidi w:val="1"/>
        <w:spacing w:before="0" w:after="120" w:line="288" w:lineRule="auto"/>
        <w:jc w:val="center"/>
      </w:pPr>
      <w:r>
        <w:rPr>
          <w:rFonts w:ascii="B Titr" w:hAnsi="B Titr" w:cs="B Titr" w:eastAsia="B Titr"/>
          <w:b/>
          <w:i w:val="0"/>
          <w:sz w:val="36"/>
          <w:szCs w:val="36"/>
        </w:rPr>
        <w:t>(مطالعه فقهی ـ حقوقی)</w:t>
      </w:r>
    </w:p>
    <w:p>
      <w:pPr>
        <w:widowControl/>
        <w:bidi w:val="1"/>
        <w:spacing w:before="0" w:after="120" w:line="288" w:lineRule="auto"/>
        <w:jc w:val="center"/>
      </w:pPr>
    </w:p>
    <w:p>
      <w:pPr>
        <w:widowControl/>
        <w:bidi w:val="1"/>
        <w:spacing w:before="0" w:after="12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120" w:line="288" w:lineRule="auto"/>
        <w:jc w:val="center"/>
      </w:pPr>
      <w:r>
        <w:rPr>
          <w:rFonts w:ascii="B Lotus" w:hAnsi="B Lotus" w:cs="B Lotus" w:eastAsia="B Lotus"/>
          <w:b w:val="0"/>
          <w:i w:val="0"/>
          <w:sz w:val="28"/>
          <w:szCs w:val="28"/>
        </w:rPr>
        <w:t>رشته: …………………</w:t>
      </w:r>
    </w:p>
    <w:p>
      <w:pPr>
        <w:widowControl/>
        <w:bidi w:val="1"/>
        <w:spacing w:before="0" w:after="120" w:line="288" w:lineRule="auto"/>
        <w:jc w:val="center"/>
      </w:pPr>
    </w:p>
    <w:p>
      <w:pPr>
        <w:widowControl/>
        <w:bidi w:val="1"/>
        <w:spacing w:before="0" w:after="120" w:line="288" w:lineRule="auto"/>
        <w:jc w:val="center"/>
      </w:pPr>
      <w:r>
        <w:rPr>
          <w:rFonts w:ascii="B Lotus" w:hAnsi="B Lotus" w:cs="B Lotus" w:eastAsia="B Lotus"/>
          <w:b w:val="0"/>
          <w:i w:val="0"/>
          <w:sz w:val="28"/>
          <w:szCs w:val="28"/>
        </w:rPr>
        <w:t>۱۴۰۵</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0" w:after="120" w:line="288" w:lineRule="auto"/>
        <w:jc w:val="both"/>
      </w:pPr>
      <w:r>
        <w:rPr>
          <w:rFonts w:ascii="B Lotus" w:hAnsi="B Lotus" w:cs="B Lotus" w:eastAsia="B Lotus"/>
          <w:b w:val="0"/>
          <w:i w:val="0"/>
          <w:sz w:val="28"/>
          <w:szCs w:val="28"/>
        </w:rPr>
        <w:t>%% صفحه عنوان</w:t>
      </w:r>
    </w:p>
    <w:p>
      <w:r>
        <w:br w:type="page"/>
      </w:r>
    </w:p>
    <w:p>
      <w:pPr>
        <w:widowControl/>
        <w:bidi w:val="1"/>
        <w:spacing w:before="120" w:after="240" w:line="288" w:lineRule="auto"/>
        <w:jc w:val="center"/>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120" w:line="288" w:lineRule="auto"/>
        <w:jc w:val="both"/>
      </w:pPr>
      <w:r>
        <w:rPr>
          <w:rFonts w:ascii="B Lotus" w:hAnsi="B Lotus" w:cs="B Lotus" w:eastAsia="B Lotus"/>
          <w:b w:val="0"/>
          <w:i w:val="0"/>
          <w:sz w:val="28"/>
          <w:szCs w:val="28"/>
        </w:rPr>
        <w:t>رساله علمی سطح سه حوزه‌های علمیه</w:t>
      </w:r>
    </w:p>
    <w:p>
      <w:pPr>
        <w:widowControl/>
        <w:bidi w:val="1"/>
        <w:spacing w:before="0" w:after="120" w:line="288" w:lineRule="auto"/>
        <w:jc w:val="both"/>
      </w:pPr>
      <w:r>
        <w:rPr>
          <w:rFonts w:ascii="B Lotus" w:hAnsi="B Lotus" w:cs="B Lotus" w:eastAsia="B Lotus"/>
          <w:b w:val="0"/>
          <w:i w:val="0"/>
          <w:sz w:val="28"/>
          <w:szCs w:val="28"/>
        </w:rPr>
        <w:t>گرایش: فقه و اصول</w:t>
      </w:r>
    </w:p>
    <w:p>
      <w:pPr>
        <w:widowControl/>
        <w:bidi w:val="1"/>
        <w:spacing w:before="0" w:after="120" w:line="288" w:lineRule="auto"/>
        <w:jc w:val="both"/>
      </w:pPr>
      <w:r>
        <w:rPr>
          <w:rFonts w:ascii="B Lotus" w:hAnsi="B Lotus" w:cs="B Lotus" w:eastAsia="B Lotus"/>
          <w:b w:val="0"/>
          <w:i w:val="0"/>
          <w:sz w:val="28"/>
          <w:szCs w:val="28"/>
        </w:rPr>
        <w:t>نگارنده: هادی شبستانی</w:t>
      </w:r>
    </w:p>
    <w:p>
      <w:pPr>
        <w:widowControl/>
        <w:bidi w:val="1"/>
        <w:spacing w:before="0" w:after="120" w:line="288" w:lineRule="auto"/>
        <w:jc w:val="both"/>
      </w:pPr>
      <w:r>
        <w:rPr>
          <w:rFonts w:ascii="B Lotus" w:hAnsi="B Lotus" w:cs="B Lotus" w:eastAsia="B Lotus"/>
          <w:b w:val="0"/>
          <w:i w:val="0"/>
          <w:sz w:val="28"/>
          <w:szCs w:val="28"/>
        </w:rPr>
        <w:t>استاد راهنما: (نام استاد راهنما)</w:t>
      </w:r>
    </w:p>
    <w:p>
      <w:pPr>
        <w:widowControl/>
        <w:bidi w:val="1"/>
        <w:spacing w:before="0" w:after="120" w:line="288" w:lineRule="auto"/>
        <w:jc w:val="both"/>
      </w:pPr>
      <w:r>
        <w:rPr>
          <w:rFonts w:ascii="B Lotus" w:hAnsi="B Lotus" w:cs="B Lotus" w:eastAsia="B Lotus"/>
          <w:b w:val="0"/>
          <w:i w:val="0"/>
          <w:sz w:val="28"/>
          <w:szCs w:val="28"/>
        </w:rPr>
        <w:t>استاد مشاور: (نام استاد مشاور)</w:t>
      </w:r>
    </w:p>
    <w:p>
      <w:pPr>
        <w:widowControl/>
        <w:bidi w:val="1"/>
        <w:spacing w:before="0" w:after="120" w:line="288" w:lineRule="auto"/>
        <w:jc w:val="both"/>
      </w:pPr>
      <w:r>
        <w:rPr>
          <w:rFonts w:ascii="B Lotus" w:hAnsi="B Lotus" w:cs="B Lotus" w:eastAsia="B Lotus"/>
          <w:b w:val="0"/>
          <w:i w:val="0"/>
          <w:sz w:val="28"/>
          <w:szCs w:val="28"/>
        </w:rPr>
        <w:t>سال تحصیلی ۱۴۰۵ ـ ۱۴۰۶</w:t>
      </w:r>
    </w:p>
    <w:p>
      <w:pPr>
        <w:widowControl/>
        <w:bidi w:val="1"/>
        <w:spacing w:before="0" w:after="120" w:line="288" w:lineRule="auto"/>
        <w:jc w:val="both"/>
      </w:pPr>
      <w:r>
        <w:rPr>
          <w:rFonts w:ascii="B Lotus" w:hAnsi="B Lotus" w:cs="B Lotus" w:eastAsia="B Lotus"/>
          <w:b w:val="0"/>
          <w:i w:val="0"/>
          <w:sz w:val="28"/>
          <w:szCs w:val="28"/>
        </w:rPr>
        <w:t>%% بسم الله</w:t>
      </w:r>
    </w:p>
    <w:p>
      <w:pPr>
        <w:widowControl/>
        <w:bidi w:val="1"/>
        <w:spacing w:before="0" w:after="120" w:line="288" w:lineRule="auto"/>
        <w:jc w:val="both"/>
      </w:pPr>
      <w:r>
        <w:rPr>
          <w:rFonts w:ascii="B Lotus" w:hAnsi="B Lotus" w:cs="B Lotus" w:eastAsia="B Lotus"/>
          <w:b w:val="0"/>
          <w:i w:val="0"/>
          <w:sz w:val="28"/>
          <w:szCs w:val="28"/>
        </w:rPr>
        <w:t>&gt; بِسْمِ اللَّهِ الرَّحْمَنِ الرَّحِيمِ</w:t>
      </w:r>
    </w:p>
    <w:p>
      <w:pPr>
        <w:widowControl/>
        <w:bidi w:val="1"/>
        <w:spacing w:before="0" w:after="120" w:line="288" w:lineRule="auto"/>
        <w:jc w:val="both"/>
      </w:pPr>
      <w:r>
        <w:rPr>
          <w:rFonts w:ascii="B Lotus" w:hAnsi="B Lotus" w:cs="B Lotus" w:eastAsia="B Lotus"/>
          <w:b w:val="0"/>
          <w:i w:val="0"/>
          <w:sz w:val="28"/>
          <w:szCs w:val="28"/>
        </w:rPr>
        <w:t>&gt;</w:t>
      </w:r>
    </w:p>
    <w:p>
      <w:pPr>
        <w:widowControl/>
        <w:bidi w:val="1"/>
        <w:spacing w:before="0" w:after="120" w:line="288" w:lineRule="auto"/>
        <w:jc w:val="both"/>
      </w:pPr>
      <w:r>
        <w:rPr>
          <w:rFonts w:ascii="B Lotus" w:hAnsi="B Lotus" w:cs="B Lotus" w:eastAsia="B Lotus"/>
          <w:b w:val="0"/>
          <w:i w:val="0"/>
          <w:sz w:val="28"/>
          <w:szCs w:val="28"/>
        </w:rPr>
        <w:t>&gt; يَا أَيُّهَا الَّذِينَ آمَنُوا أَوْفُوا بِالْعُقُودِ</w:t>
      </w:r>
      <w:r>
        <w:rPr>
          <w:rFonts w:ascii="B Lotus" w:hAnsi="B Lotus" w:cs="B Lotus" w:eastAsia="B Lotus"/>
          <w:b w:val="0"/>
          <w:i w:val="0"/>
          <w:sz w:val="28"/>
          <w:szCs w:val="28"/>
          <w:vertAlign w:val="superscript"/>
        </w:rPr>
        <w:footnoteReference w:id="2"/>
      </w:r>
    </w:p>
    <w:p>
      <w:pPr>
        <w:widowControl/>
        <w:bidi w:val="1"/>
        <w:spacing w:before="0" w:after="120" w:line="288" w:lineRule="auto"/>
        <w:jc w:val="both"/>
      </w:pPr>
      <w:r>
        <w:rPr>
          <w:rFonts w:ascii="B Lotus" w:hAnsi="B Lotus" w:cs="B Lotus" w:eastAsia="B Lotus"/>
          <w:b w:val="0"/>
          <w:i w:val="0"/>
          <w:sz w:val="28"/>
          <w:szCs w:val="28"/>
        </w:rPr>
        <w:t>%% تقدیم</w:t>
      </w:r>
    </w:p>
    <w:p>
      <w:r>
        <w:br w:type="page"/>
      </w:r>
    </w:p>
    <w:p>
      <w:pPr>
        <w:widowControl/>
        <w:bidi w:val="1"/>
        <w:spacing w:before="120" w:after="240" w:line="288" w:lineRule="auto"/>
        <w:jc w:val="center"/>
      </w:pPr>
      <w:r>
        <w:rPr>
          <w:rFonts w:ascii="B Titr" w:hAnsi="B Titr" w:cs="B Titr" w:eastAsia="B Titr"/>
          <w:b/>
          <w:i w:val="0"/>
          <w:sz w:val="36"/>
          <w:szCs w:val="36"/>
        </w:rPr>
        <w:t>تقدیم</w:t>
      </w:r>
    </w:p>
    <w:p>
      <w:pPr>
        <w:widowControl/>
        <w:bidi w:val="1"/>
        <w:spacing w:before="0" w:after="120" w:line="288" w:lineRule="auto"/>
        <w:jc w:val="both"/>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20" w:line="288" w:lineRule="auto"/>
        <w:jc w:val="both"/>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20" w:line="288" w:lineRule="auto"/>
        <w:jc w:val="both"/>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20" w:line="288" w:lineRule="auto"/>
        <w:jc w:val="both"/>
      </w:pPr>
      <w:r>
        <w:rPr>
          <w:rFonts w:ascii="B Lotus" w:hAnsi="B Lotus" w:cs="B Lotus" w:eastAsia="B Lotus"/>
          <w:b w:val="0"/>
          <w:i w:val="0"/>
          <w:sz w:val="28"/>
          <w:szCs w:val="28"/>
        </w:rPr>
        <w:t>و به پدر و مادرم؛ که هرچه دارم از دعای آن‌هاست و هرچه ندارم از کوتاهی خودم.</w:t>
      </w:r>
    </w:p>
    <w:p>
      <w:pPr>
        <w:widowControl/>
        <w:bidi w:val="1"/>
        <w:spacing w:before="0" w:after="120" w:line="288" w:lineRule="auto"/>
        <w:jc w:val="both"/>
      </w:pPr>
      <w:r>
        <w:rPr>
          <w:rFonts w:ascii="B Lotus" w:hAnsi="B Lotus" w:cs="B Lotus" w:eastAsia="B Lotus"/>
          <w:b w:val="0"/>
          <w:i w:val="0"/>
          <w:sz w:val="28"/>
          <w:szCs w:val="28"/>
        </w:rPr>
        <w:t>%% سپاسگزاری</w:t>
      </w:r>
    </w:p>
    <w:p>
      <w:r>
        <w:br w:type="page"/>
      </w:r>
    </w:p>
    <w:p>
      <w:pPr>
        <w:widowControl/>
        <w:bidi w:val="1"/>
        <w:spacing w:before="120" w:after="240" w:line="288" w:lineRule="auto"/>
        <w:jc w:val="center"/>
      </w:pPr>
      <w:r>
        <w:rPr>
          <w:rFonts w:ascii="B Titr" w:hAnsi="B Titr" w:cs="B Titr" w:eastAsia="B Titr"/>
          <w:b/>
          <w:i w:val="0"/>
          <w:sz w:val="36"/>
          <w:szCs w:val="36"/>
        </w:rPr>
        <w:t>سپاسگزاری</w:t>
      </w:r>
    </w:p>
    <w:p>
      <w:pPr>
        <w:widowControl/>
        <w:bidi w:val="1"/>
        <w:spacing w:before="0" w:after="120" w:line="288" w:lineRule="auto"/>
        <w:jc w:val="both"/>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20" w:line="288" w:lineRule="auto"/>
        <w:jc w:val="both"/>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20" w:line="288" w:lineRule="auto"/>
        <w:jc w:val="both"/>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20" w:line="288" w:lineRule="auto"/>
        <w:jc w:val="both"/>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20" w:line="288" w:lineRule="auto"/>
        <w:jc w:val="both"/>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pPr>
        <w:widowControl/>
        <w:bidi w:val="1"/>
        <w:spacing w:before="0" w:after="120" w:line="288" w:lineRule="auto"/>
        <w:jc w:val="both"/>
      </w:pPr>
      <w:r>
        <w:rPr>
          <w:rFonts w:ascii="B Lotus" w:hAnsi="B Lotus" w:cs="B Lotus" w:eastAsia="B Lotus"/>
          <w:b w:val="0"/>
          <w:i w:val="0"/>
          <w:sz w:val="28"/>
          <w:szCs w:val="28"/>
        </w:rPr>
        <w:t>%% چکیده فارسی</w:t>
      </w:r>
    </w:p>
    <w:p>
      <w:r>
        <w:br w:type="page"/>
      </w:r>
    </w:p>
    <w:p>
      <w:pPr>
        <w:widowControl/>
        <w:bidi w:val="1"/>
        <w:spacing w:before="120" w:after="240" w:line="288" w:lineRule="auto"/>
        <w:jc w:val="center"/>
      </w:pPr>
      <w:r>
        <w:rPr>
          <w:rFonts w:ascii="B Titr" w:hAnsi="B Titr" w:cs="B Titr" w:eastAsia="B Titr"/>
          <w:b/>
          <w:i w:val="0"/>
          <w:sz w:val="36"/>
          <w:szCs w:val="36"/>
        </w:rPr>
        <w:t>چکیده</w:t>
      </w:r>
    </w:p>
    <w:p>
      <w:pPr>
        <w:widowControl/>
        <w:bidi w:val="1"/>
        <w:spacing w:before="0" w:after="120" w:line="288"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0" w:after="120" w:line="288" w:lineRule="auto"/>
        <w:jc w:val="both"/>
      </w:pPr>
      <w:r>
        <w:rPr>
          <w:rFonts w:ascii="B Lotus" w:hAnsi="B Lotus" w:cs="B Lotus" w:eastAsia="B Lotus"/>
          <w:b w:val="0"/>
          <w:i w:val="0"/>
          <w:sz w:val="28"/>
          <w:szCs w:val="28"/>
        </w:rPr>
        <w:t>کلیدواژه‌ها: ولی فقیه، تعهدات بین‌المللی، معاهدات، وفای به عهد، حکم حکومتی، تزاحم، مصلحت، مسئولیت بین‌المللی، کنوانسیون وین، قانون اساسی.</w:t>
      </w:r>
    </w:p>
    <w:p>
      <w:pPr>
        <w:widowControl/>
        <w:bidi w:val="1"/>
        <w:spacing w:before="0" w:after="120" w:line="288" w:lineRule="auto"/>
        <w:jc w:val="both"/>
      </w:pPr>
      <w:r>
        <w:rPr>
          <w:rFonts w:ascii="B Lotus" w:hAnsi="B Lotus" w:cs="B Lotus" w:eastAsia="B Lotus"/>
          <w:b w:val="0"/>
          <w:i w:val="0"/>
          <w:sz w:val="28"/>
          <w:szCs w:val="28"/>
        </w:rPr>
        <w:t>%% پیشگفتار</w:t>
      </w:r>
    </w:p>
    <w:p>
      <w:r>
        <w:br w:type="page"/>
      </w:r>
    </w:p>
    <w:p>
      <w:pPr>
        <w:widowControl/>
        <w:bidi w:val="1"/>
        <w:spacing w:before="120" w:after="240" w:line="288" w:lineRule="auto"/>
        <w:jc w:val="center"/>
      </w:pPr>
      <w:r>
        <w:rPr>
          <w:rFonts w:ascii="B Titr" w:hAnsi="B Titr" w:cs="B Titr" w:eastAsia="B Titr"/>
          <w:b/>
          <w:i w:val="0"/>
          <w:sz w:val="36"/>
          <w:szCs w:val="36"/>
        </w:rPr>
        <w:t>پیشگفتار</w:t>
      </w:r>
    </w:p>
    <w:p>
      <w:pPr>
        <w:widowControl/>
        <w:bidi w:val="1"/>
        <w:spacing w:before="0" w:after="120" w:line="288"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مقدمه: کلیات تحقیق</w:t>
      </w:r>
    </w:p>
    <w:p>
      <w:pPr>
        <w:pStyle w:val="TH-Goftar"/>
        <w:widowControl/>
        <w:bidi w:val="1"/>
        <w:spacing w:before="200" w:after="120" w:line="288" w:lineRule="auto"/>
        <w:jc w:val="right"/>
      </w:pPr>
      <w:r>
        <w:rPr>
          <w:rFonts w:ascii="B Titr" w:hAnsi="B Titr" w:cs="B Titr" w:eastAsia="B Titr"/>
          <w:b/>
          <w:i w:val="0"/>
          <w:sz w:val="32"/>
          <w:szCs w:val="32"/>
        </w:rPr>
        <w:t>بیان مسئله</w:t>
      </w:r>
    </w:p>
    <w:p>
      <w:pPr>
        <w:pStyle w:val="TH-Body"/>
        <w:widowControl/>
        <w:bidi w:val="1"/>
        <w:spacing w:before="0" w:after="120" w:line="288"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pPr>
      <w:r>
        <w:rPr>
          <w:rFonts w:ascii="B Titr" w:hAnsi="B Titr" w:cs="B Titr" w:eastAsia="B Titr"/>
          <w:b/>
          <w:i w:val="0"/>
          <w:sz w:val="32"/>
          <w:szCs w:val="32"/>
        </w:rPr>
        <w:t>ضرورت و اهمیت تحقیق</w:t>
      </w:r>
    </w:p>
    <w:p>
      <w:pPr>
        <w:pStyle w:val="TH-Body"/>
        <w:widowControl/>
        <w:bidi w:val="1"/>
        <w:spacing w:before="0" w:after="120" w:line="288"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pPr>
      <w:r>
        <w:rPr>
          <w:rFonts w:ascii="B Titr" w:hAnsi="B Titr" w:cs="B Titr" w:eastAsia="B Titr"/>
          <w:b/>
          <w:i w:val="0"/>
          <w:sz w:val="32"/>
          <w:szCs w:val="32"/>
        </w:rPr>
        <w:t>اهداف تحقیق</w:t>
      </w:r>
    </w:p>
    <w:p>
      <w:pPr>
        <w:pStyle w:val="TH-Body"/>
        <w:widowControl/>
        <w:bidi w:val="1"/>
        <w:spacing w:before="0" w:after="120" w:line="288"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pPr>
      <w:r>
        <w:rPr>
          <w:rFonts w:ascii="B Titr" w:hAnsi="B Titr" w:cs="B Titr" w:eastAsia="B Titr"/>
          <w:b/>
          <w:i w:val="0"/>
          <w:sz w:val="32"/>
          <w:szCs w:val="32"/>
        </w:rPr>
        <w:t>سؤالات تحقیق</w:t>
      </w:r>
    </w:p>
    <w:p>
      <w:pPr>
        <w:pStyle w:val="TH-Body"/>
        <w:widowControl/>
        <w:bidi w:val="1"/>
        <w:spacing w:before="0" w:after="120" w:line="288"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pPr>
      <w:r>
        <w:rPr>
          <w:rFonts w:ascii="B Titr" w:hAnsi="B Titr" w:cs="B Titr" w:eastAsia="B Titr"/>
          <w:b/>
          <w:i w:val="0"/>
          <w:sz w:val="32"/>
          <w:szCs w:val="32"/>
        </w:rPr>
        <w:t>فرضیه تحقیق</w:t>
      </w:r>
    </w:p>
    <w:p>
      <w:pPr>
        <w:pStyle w:val="TH-Body"/>
        <w:widowControl/>
        <w:bidi w:val="1"/>
        <w:spacing w:before="0" w:after="120" w:line="288"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pPr>
      <w:r>
        <w:rPr>
          <w:rFonts w:ascii="B Titr" w:hAnsi="B Titr" w:cs="B Titr" w:eastAsia="B Titr"/>
          <w:b/>
          <w:i w:val="0"/>
          <w:sz w:val="32"/>
          <w:szCs w:val="32"/>
        </w:rPr>
        <w:t>پیشینه تحقیق</w:t>
      </w:r>
    </w:p>
    <w:p>
      <w:pPr>
        <w:pStyle w:val="TH-Body"/>
        <w:widowControl/>
        <w:bidi w:val="1"/>
        <w:spacing w:before="0" w:after="120" w:line="288"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pPr>
      <w:r>
        <w:rPr>
          <w:rFonts w:ascii="B Titr" w:hAnsi="B Titr" w:cs="B Titr" w:eastAsia="B Titr"/>
          <w:b/>
          <w:i w:val="0"/>
          <w:sz w:val="32"/>
          <w:szCs w:val="32"/>
        </w:rPr>
        <w:t>روش تحقیق</w:t>
      </w:r>
    </w:p>
    <w:p>
      <w:pPr>
        <w:pStyle w:val="TH-Body"/>
        <w:widowControl/>
        <w:bidi w:val="1"/>
        <w:spacing w:before="0" w:after="120" w:line="288"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Goftar"/>
        <w:widowControl/>
        <w:bidi w:val="1"/>
        <w:spacing w:before="200" w:after="120" w:line="288" w:lineRule="auto"/>
        <w:jc w:val="right"/>
      </w:pPr>
      <w:r>
        <w:rPr>
          <w:rFonts w:ascii="B Titr" w:hAnsi="B Titr" w:cs="B Titr" w:eastAsia="B Titr"/>
          <w:b/>
          <w:i w:val="0"/>
          <w:sz w:val="32"/>
          <w:szCs w:val="32"/>
        </w:rPr>
        <w:t>ساماندهی تحقیق</w:t>
      </w:r>
    </w:p>
    <w:p>
      <w:pPr>
        <w:pStyle w:val="TH-Body"/>
        <w:widowControl/>
        <w:bidi w:val="1"/>
        <w:spacing w:before="0" w:after="120" w:line="288"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مبانی و کلیات</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اول: مفهوم‌شناسی و چارچوب نظری</w:t>
      </w:r>
    </w:p>
    <w:p>
      <w:pPr>
        <w:pStyle w:val="TH-Body"/>
        <w:widowControl/>
        <w:bidi w:val="1"/>
        <w:spacing w:before="0" w:after="120" w:line="288"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4"/>
      </w:r>
    </w:p>
    <w:p>
      <w:pPr>
        <w:pStyle w:val="TH-Body"/>
        <w:widowControl/>
        <w:bidi w:val="1"/>
        <w:spacing w:before="0" w:after="120" w:line="288"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6"/>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pPr>
      <w:r>
        <w:rPr>
          <w:rFonts w:ascii="B Traffic" w:hAnsi="B Traffic" w:cs="B Traffic" w:eastAsia="B Traffic"/>
          <w:b/>
          <w:i w:val="0"/>
          <w:sz w:val="28"/>
          <w:szCs w:val="28"/>
        </w:rPr>
        <w:t>بند اول: تعریف عدول</w:t>
      </w:r>
    </w:p>
    <w:p>
      <w:pPr>
        <w:pStyle w:val="TH-Body"/>
        <w:widowControl/>
        <w:bidi w:val="1"/>
        <w:spacing w:before="0" w:after="120" w:line="288"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pPr>
      <w:r>
        <w:rPr>
          <w:rFonts w:ascii="B Titr" w:hAnsi="B Titr" w:cs="B Titr" w:eastAsia="B Titr"/>
          <w:b/>
          <w:i w:val="0"/>
          <w:sz w:val="32"/>
          <w:szCs w:val="32"/>
        </w:rPr>
        <w:t>حاصل فصل اول</w:t>
      </w:r>
    </w:p>
    <w:p>
      <w:pPr>
        <w:pStyle w:val="TH-Body"/>
        <w:widowControl/>
        <w:bidi w:val="1"/>
        <w:spacing w:before="0" w:after="120" w:line="288"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دوم: کلیات حقوق معاهدات و قانون اساسی</w:t>
      </w:r>
    </w:p>
    <w:p>
      <w:pPr>
        <w:pStyle w:val="TH-Body"/>
        <w:widowControl/>
        <w:bidi w:val="1"/>
        <w:spacing w:before="0" w:after="120" w:line="288"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1"/>
      </w:r>
    </w:p>
    <w:p>
      <w:pPr>
        <w:pStyle w:val="TH-Body"/>
        <w:widowControl/>
        <w:bidi w:val="1"/>
        <w:spacing w:before="0" w:after="120" w:line="288" w:lineRule="auto"/>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2"/>
      </w:r>
    </w:p>
    <w:p>
      <w:pPr>
        <w:pStyle w:val="TH-Body"/>
        <w:widowControl/>
        <w:bidi w:val="1"/>
        <w:spacing w:before="0" w:after="120" w:line="288"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3"/>
      </w:r>
    </w:p>
    <w:p>
      <w:pPr>
        <w:pStyle w:val="TH-Body"/>
        <w:widowControl/>
        <w:bidi w:val="1"/>
        <w:spacing w:before="0" w:after="120" w:line="288"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14"/>
      </w:r>
    </w:p>
    <w:p>
      <w:pPr>
        <w:pStyle w:val="TH-Body"/>
        <w:widowControl/>
        <w:bidi w:val="1"/>
        <w:spacing w:before="0" w:after="120" w:line="288" w:lineRule="auto"/>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15"/>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16"/>
      </w:r>
      <w:r>
        <w:rPr>
          <w:rFonts w:ascii="B Lotus" w:hAnsi="B Lotus" w:cs="B Lotus" w:eastAsia="B Lotus"/>
          <w:b w:val="0"/>
          <w:i w:val="0"/>
          <w:sz w:val="28"/>
          <w:szCs w:val="28"/>
        </w:rPr>
        <w:t xml:space="preserve"> این راه، سبزترین صورت طیف پنج‌گانه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17"/>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18"/>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19"/>
      </w:r>
    </w:p>
    <w:p>
      <w:pPr>
        <w:pStyle w:val="TH-Band"/>
        <w:widowControl/>
        <w:bidi w:val="1"/>
        <w:spacing w:before="200" w:after="120" w:line="288" w:lineRule="auto"/>
        <w:jc w:val="right"/>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0"/>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1"/>
      </w:r>
    </w:p>
    <w:p>
      <w:pPr>
        <w:pStyle w:val="TH-Body"/>
        <w:widowControl/>
        <w:bidi w:val="1"/>
        <w:spacing w:before="0" w:after="120" w:line="288" w:lineRule="auto"/>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Goftar"/>
        <w:widowControl/>
        <w:bidi w:val="1"/>
        <w:spacing w:before="200" w:after="120" w:line="288" w:lineRule="auto"/>
        <w:jc w:val="right"/>
      </w:pPr>
      <w:r>
        <w:rPr>
          <w:rFonts w:ascii="B Titr" w:hAnsi="B Titr" w:cs="B Titr" w:eastAsia="B Titr"/>
          <w:b/>
          <w:i w:val="0"/>
          <w:sz w:val="32"/>
          <w:szCs w:val="32"/>
        </w:rPr>
        <w:t>گفتار سوم: اصول قانون اساسی مرتبط</w:t>
      </w:r>
    </w:p>
    <w:p>
      <w:pPr>
        <w:pStyle w:val="TH-Band"/>
        <w:widowControl/>
        <w:bidi w:val="1"/>
        <w:spacing w:before="200" w:after="120" w:line="288" w:lineRule="auto"/>
        <w:jc w:val="right"/>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23"/>
      </w:r>
    </w:p>
    <w:p>
      <w:pPr>
        <w:pStyle w:val="TH-Body"/>
        <w:widowControl/>
        <w:bidi w:val="1"/>
        <w:spacing w:before="0" w:after="120" w:line="288"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24"/>
      </w:r>
    </w:p>
    <w:p>
      <w:pPr>
        <w:pStyle w:val="TH-Body"/>
        <w:widowControl/>
        <w:bidi w:val="1"/>
        <w:spacing w:before="0" w:after="120" w:line="288"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25"/>
      </w:r>
    </w:p>
    <w:p>
      <w:pPr>
        <w:pStyle w:val="TH-Body"/>
        <w:widowControl/>
        <w:bidi w:val="1"/>
        <w:spacing w:before="0" w:after="120" w:line="288"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26"/>
      </w:r>
    </w:p>
    <w:p>
      <w:pPr>
        <w:pStyle w:val="TH-Body"/>
        <w:widowControl/>
        <w:bidi w:val="1"/>
        <w:spacing w:before="0" w:after="120" w:line="288"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27"/>
      </w:r>
    </w:p>
    <w:p>
      <w:pPr>
        <w:pStyle w:val="TH-Body"/>
        <w:widowControl/>
        <w:bidi w:val="1"/>
        <w:spacing w:before="0" w:after="120" w:line="288" w:lineRule="auto"/>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pPr>
      <w:r>
        <w:rPr>
          <w:rFonts w:ascii="B Traffic" w:hAnsi="B Traffic" w:cs="B Traffic" w:eastAsia="B Traffic"/>
          <w:b/>
          <w:i w:val="0"/>
          <w:sz w:val="28"/>
          <w:szCs w:val="28"/>
        </w:rPr>
        <w:t>بند پنجم: اصول سیاست خارجی؛ ۱۵۲ تا ۱۵۴ و ۱۷۶</w:t>
      </w:r>
    </w:p>
    <w:p>
      <w:pPr>
        <w:pStyle w:val="TH-Body"/>
        <w:widowControl/>
        <w:bidi w:val="1"/>
        <w:spacing w:before="0" w:after="120" w:line="288" w:lineRule="auto"/>
        <w:jc w:val="both"/>
      </w:pPr>
      <w:r>
        <w:rPr>
          <w:rFonts w:ascii="B Lotus" w:hAnsi="B Lotus" w:cs="B Lotus" w:eastAsia="B Lotus"/>
          <w:b w:val="0"/>
          <w:i w:val="0"/>
          <w:sz w:val="28"/>
          <w:szCs w:val="28"/>
        </w:rPr>
        <w:t>سه اصل ۱۵۲، ۱۵۳ و ۱۵۴، جهت‌گیری کلی سیاست خارجی را مشخص می‌کنند: نفی سلطه‌جویی و سلطه‌پذیری، حفظ استقلال و تمامیت ارضی، دفاع از حقوق مسلمانان، عدم تعهد در برابر قدرت‌های سلطه‌گر، روابط صلح‌آمیز متقابل با دول غیرمحارب، ممنوعیت هر قراردادی که موجب سلطه بیگانه شود، و حمایت از مبارزات حق‌طلبانه.</w:t>
      </w:r>
      <w:r>
        <w:rPr>
          <w:rFonts w:ascii="B Lotus" w:hAnsi="B Lotus" w:cs="B Lotus" w:eastAsia="B Lotus"/>
          <w:b w:val="0"/>
          <w:i w:val="0"/>
          <w:sz w:val="28"/>
          <w:szCs w:val="28"/>
          <w:vertAlign w:val="superscript"/>
        </w:rPr>
        <w:footnoteReference w:id="29"/>
      </w:r>
      <w:r>
        <w:rPr>
          <w:rFonts w:ascii="B Lotus" w:hAnsi="B Lotus" w:cs="B Lotus" w:eastAsia="B Lotus"/>
          <w:b w:val="0"/>
          <w:i w:val="0"/>
          <w:sz w:val="28"/>
          <w:szCs w:val="28"/>
        </w:rPr>
        <w:t xml:space="preserve"> این اصول، «مرزهای ارزشی» سیاست خارجی‌اند؛ و هر معاهده‌ای که با آن‌ها ناسازگار شود ـ مثلاً به سلطه بیگانه بینجامد ـ از نظر قانون اساسی از اول مشکل داشته؛ و عدول از چنین معاهده‌ای، نه‌تنها جایز، بلکه به مقتضای اصل ۱۵۳ «واجب» است. این نکته، یکی از مستندات داخلیِ جواز عدول است که در فصل چهارم به کار می‌برم.</w:t>
      </w:r>
    </w:p>
    <w:p>
      <w:pPr>
        <w:pStyle w:val="TH-Body"/>
        <w:widowControl/>
        <w:bidi w:val="1"/>
        <w:spacing w:before="0" w:after="120" w:line="288" w:lineRule="auto"/>
        <w:jc w:val="both"/>
      </w:pPr>
      <w:r>
        <w:rPr>
          <w:rFonts w:ascii="B Lotus" w:hAnsi="B Lotus" w:cs="B Lotus" w:eastAsia="B Lotus"/>
          <w:b w:val="0"/>
          <w:i w:val="0"/>
          <w:sz w:val="28"/>
          <w:szCs w:val="28"/>
        </w:rPr>
        <w:t>و اصل ۱۷۶ هم با پیش‌بینی «شورای عالی امنیت ملی» ـ به ریاست رئیس‌جمهور و با حضور سران قوا و مقامات عالی نظامی و امنیتی ـ سازوکار نهادیِ تصمیم‌گیری در حوزه امنیت ملی و سیاست خارجی را مشخص کرده.</w:t>
      </w:r>
      <w:r>
        <w:rPr>
          <w:rFonts w:ascii="B Lotus" w:hAnsi="B Lotus" w:cs="B Lotus" w:eastAsia="B Lotus"/>
          <w:b w:val="0"/>
          <w:i w:val="0"/>
          <w:sz w:val="28"/>
          <w:szCs w:val="28"/>
          <w:vertAlign w:val="superscript"/>
        </w:rPr>
        <w:footnoteReference w:id="30"/>
      </w:r>
      <w:r>
        <w:rPr>
          <w:rFonts w:ascii="B Lotus" w:hAnsi="B Lotus" w:cs="B Lotus" w:eastAsia="B Lotus"/>
          <w:b w:val="0"/>
          <w:i w:val="0"/>
          <w:sz w:val="28"/>
          <w:szCs w:val="28"/>
        </w:rPr>
        <w:t xml:space="preserve"> این شورا، حلقه واسط میان کارشناسی و تصمیم نهایی است؛ و مصوباتش ـ پس از تأیید رهبری ـ لازم‌الاجراست. پس در مقام عمل، تصمیم عدول معمولاً از این مجرا می‌گذرد؛ مجرایی که هم کارشناسی است هم نهادی، و هم به تأیید نهایی ولی فقیه می‌رسد.</w:t>
      </w:r>
    </w:p>
    <w:p>
      <w:pPr>
        <w:pStyle w:val="TH-Goftar"/>
        <w:widowControl/>
        <w:bidi w:val="1"/>
        <w:spacing w:before="200" w:after="120" w:line="288" w:lineRule="auto"/>
        <w:jc w:val="right"/>
      </w:pPr>
      <w:r>
        <w:rPr>
          <w:rFonts w:ascii="B Titr" w:hAnsi="B Titr" w:cs="B Titr" w:eastAsia="B Titr"/>
          <w:b/>
          <w:i w:val="0"/>
          <w:sz w:val="32"/>
          <w:szCs w:val="32"/>
        </w:rPr>
        <w:t>حاصل فصل دوم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سوم: ادله وجوب وفای به عهد</w:t>
      </w:r>
    </w:p>
    <w:p>
      <w:pPr>
        <w:pStyle w:val="TH-Body"/>
        <w:widowControl/>
        <w:bidi w:val="1"/>
        <w:spacing w:before="0" w:after="120" w:line="288"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31"/>
      </w:r>
    </w:p>
    <w:p>
      <w:pPr>
        <w:pStyle w:val="TH-Body"/>
        <w:widowControl/>
        <w:bidi w:val="1"/>
        <w:spacing w:before="0" w:after="120" w:line="288"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32"/>
      </w:r>
    </w:p>
    <w:p>
      <w:pPr>
        <w:pStyle w:val="TH-Body"/>
        <w:widowControl/>
        <w:bidi w:val="1"/>
        <w:spacing w:before="0" w:after="120" w:line="288" w:lineRule="auto"/>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33"/>
      </w:r>
    </w:p>
    <w:p>
      <w:pPr>
        <w:pStyle w:val="TH-Body"/>
        <w:widowControl/>
        <w:bidi w:val="1"/>
        <w:spacing w:before="0" w:after="120" w:line="288"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36"/>
      </w:r>
    </w:p>
    <w:p>
      <w:pPr>
        <w:pStyle w:val="TH-Body"/>
        <w:widowControl/>
        <w:bidi w:val="1"/>
        <w:spacing w:before="0" w:after="120" w:line="288"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38"/>
      </w:r>
    </w:p>
    <w:p>
      <w:pPr>
        <w:pStyle w:val="TH-Body"/>
        <w:widowControl/>
        <w:bidi w:val="1"/>
        <w:spacing w:before="0" w:after="120" w:line="288" w:lineRule="auto"/>
        <w:jc w:val="both"/>
      </w:pPr>
      <w:r>
        <w:rPr>
          <w:rFonts w:ascii="B Lotus" w:hAnsi="B Lotus" w:cs="B Lotus" w:eastAsia="B Lotus"/>
          <w:b w:val="0"/>
          <w:i w:val="0"/>
          <w:sz w:val="28"/>
          <w:szCs w:val="28"/>
        </w:rPr>
        <w:t>&gt;</w:t>
      </w:r>
    </w:p>
    <w:p>
      <w:pPr>
        <w:pStyle w:val="TH-Quote"/>
        <w:widowControl/>
        <w:bidi w:val="1"/>
        <w:spacing w:before="160" w:after="160" w:line="288" w:lineRule="auto"/>
        <w:ind w:right="567" w:left="567"/>
        <w:jc w:val="cente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39"/>
      </w:r>
    </w:p>
    <w:p>
      <w:pPr>
        <w:pStyle w:val="TH-Body"/>
        <w:widowControl/>
        <w:bidi w:val="1"/>
        <w:spacing w:before="0" w:after="120" w:line="288"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40"/>
      </w:r>
    </w:p>
    <w:p>
      <w:pPr>
        <w:pStyle w:val="TH-Body"/>
        <w:widowControl/>
        <w:bidi w:val="1"/>
        <w:spacing w:before="0" w:after="120" w:line="288"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41"/>
      </w:r>
    </w:p>
    <w:p>
      <w:pPr>
        <w:pStyle w:val="TH-Body"/>
        <w:widowControl/>
        <w:bidi w:val="1"/>
        <w:spacing w:before="0" w:after="120" w:line="288"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42"/>
      </w:r>
    </w:p>
    <w:p>
      <w:pPr>
        <w:pStyle w:val="TH-Body"/>
        <w:widowControl/>
        <w:bidi w:val="1"/>
        <w:spacing w:before="0" w:after="120" w:line="288"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44"/>
      </w:r>
    </w:p>
    <w:p>
      <w:pPr>
        <w:pStyle w:val="TH-Body"/>
        <w:widowControl/>
        <w:bidi w:val="1"/>
        <w:spacing w:before="0" w:after="120" w:line="288"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45"/>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46"/>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47"/>
      </w:r>
    </w:p>
    <w:p>
      <w:pPr>
        <w:pStyle w:val="TH-Body"/>
        <w:widowControl/>
        <w:bidi w:val="1"/>
        <w:spacing w:before="0" w:after="120" w:line="288" w:lineRule="auto"/>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48"/>
      </w:r>
    </w:p>
    <w:p>
      <w:pPr>
        <w:pStyle w:val="TH-Body"/>
        <w:widowControl/>
        <w:bidi w:val="1"/>
        <w:spacing w:before="0" w:after="120" w:line="288" w:lineRule="auto"/>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49"/>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پنج‌گانه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50"/>
      </w:r>
    </w:p>
    <w:p>
      <w:pPr>
        <w:pStyle w:val="TH-Band"/>
        <w:widowControl/>
        <w:bidi w:val="1"/>
        <w:spacing w:before="200" w:after="120" w:line="288" w:lineRule="auto"/>
        <w:jc w:val="right"/>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51"/>
      </w:r>
    </w:p>
    <w:p>
      <w:pPr>
        <w:pStyle w:val="TH-Body"/>
        <w:widowControl/>
        <w:bidi w:val="1"/>
        <w:spacing w:before="0" w:after="120" w:line="288" w:lineRule="auto"/>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pPr>
      <w:r>
        <w:rPr>
          <w:rFonts w:ascii="B Titr" w:hAnsi="B Titr" w:cs="B Titr" w:eastAsia="B Titr"/>
          <w:b/>
          <w:i w:val="0"/>
          <w:sz w:val="32"/>
          <w:szCs w:val="32"/>
        </w:rPr>
        <w:t>حاصل فصل سوم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اثبات قاعده اولی با پنج دسته دلیل ـ آیات عام، آیات خاص، روایات، سیره و عقل ـ است؛ پنج دسته‌ای که هرکدام به‌تنهایی کافی‌اند و اجتماعشان اطمینان می‌سازد.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چهارم: مبانی جواز عدول و ضوابط آن</w:t>
      </w:r>
    </w:p>
    <w:p>
      <w:pPr>
        <w:pStyle w:val="TH-Body"/>
        <w:widowControl/>
        <w:bidi w:val="1"/>
        <w:spacing w:before="0" w:after="120" w:line="288" w:lineRule="auto"/>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52"/>
      </w:r>
    </w:p>
    <w:p>
      <w:pPr>
        <w:pStyle w:val="TH-Body"/>
        <w:widowControl/>
        <w:bidi w:val="1"/>
        <w:spacing w:before="0" w:after="120" w:line="288" w:lineRule="auto"/>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53"/>
      </w:r>
    </w:p>
    <w:p>
      <w:pPr>
        <w:pStyle w:val="TH-Body"/>
        <w:widowControl/>
        <w:bidi w:val="1"/>
        <w:spacing w:before="0" w:after="120" w:line="288" w:lineRule="auto"/>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54"/>
      </w:r>
    </w:p>
    <w:p>
      <w:pPr>
        <w:pStyle w:val="TH-Body"/>
        <w:widowControl/>
        <w:bidi w:val="1"/>
        <w:spacing w:before="0" w:after="120" w:line="288"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55"/>
      </w:r>
    </w:p>
    <w:p>
      <w:pPr>
        <w:pStyle w:val="TH-Body"/>
        <w:widowControl/>
        <w:bidi w:val="1"/>
        <w:spacing w:before="0" w:after="120" w:line="288"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56"/>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pPr>
      <w:r>
        <w:rPr>
          <w:rFonts w:ascii="B Titr" w:hAnsi="B Titr" w:cs="B Titr" w:eastAsia="B Titr"/>
          <w:b/>
          <w:i w:val="0"/>
          <w:sz w:val="32"/>
          <w:szCs w:val="32"/>
        </w:rPr>
        <w:t>حاصل فصل چهارم</w:t>
      </w:r>
    </w:p>
    <w:p>
      <w:pPr>
        <w:pStyle w:val="TH-Body"/>
        <w:widowControl/>
        <w:bidi w:val="1"/>
        <w:spacing w:before="0" w:after="120" w:line="288"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پنجم: مسئولیت بین‌المللی دولت و جایگاه حقوق اساسی تصمیم</w:t>
      </w:r>
    </w:p>
    <w:p>
      <w:pPr>
        <w:pStyle w:val="TH-Body"/>
        <w:widowControl/>
        <w:bidi w:val="1"/>
        <w:spacing w:before="0" w:after="120" w:line="288"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57"/>
      </w:r>
    </w:p>
    <w:p>
      <w:pPr>
        <w:pStyle w:val="TH-Body"/>
        <w:widowControl/>
        <w:bidi w:val="1"/>
        <w:spacing w:before="0" w:after="120" w:line="288" w:lineRule="auto"/>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pPr>
      <w:r>
        <w:rPr>
          <w:rFonts w:ascii="B Traffic" w:hAnsi="B Traffic" w:cs="B Traffic" w:eastAsia="B Traffic"/>
          <w:b/>
          <w:i w:val="0"/>
          <w:sz w:val="28"/>
          <w:szCs w:val="28"/>
        </w:rPr>
        <w:t>بند دوم: ارکان عمل متخلفانه؛ انتساب و نقض</w:t>
      </w:r>
    </w:p>
    <w:p>
      <w:pPr>
        <w:pStyle w:val="TH-Body"/>
        <w:widowControl/>
        <w:bidi w:val="1"/>
        <w:spacing w:before="0" w:after="120" w:line="288"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58"/>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59"/>
      </w:r>
    </w:p>
    <w:p>
      <w:pPr>
        <w:pStyle w:val="TH-Body"/>
        <w:widowControl/>
        <w:bidi w:val="1"/>
        <w:spacing w:before="0" w:after="120" w:line="288"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61"/>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62"/>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63"/>
      </w:r>
    </w:p>
    <w:p>
      <w:pPr>
        <w:pStyle w:val="TH-Band"/>
        <w:widowControl/>
        <w:bidi w:val="1"/>
        <w:spacing w:before="200" w:after="120" w:line="288" w:lineRule="auto"/>
        <w:jc w:val="right"/>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64"/>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65"/>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67"/>
      </w:r>
    </w:p>
    <w:p>
      <w:pPr>
        <w:pStyle w:val="TH-Body"/>
        <w:widowControl/>
        <w:bidi w:val="1"/>
        <w:spacing w:before="0" w:after="120" w:line="288" w:lineRule="auto"/>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69"/>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70"/>
      </w:r>
    </w:p>
    <w:p>
      <w:pPr>
        <w:pStyle w:val="TH-Body"/>
        <w:widowControl/>
        <w:bidi w:val="1"/>
        <w:spacing w:before="0" w:after="120" w:line="288" w:lineRule="auto"/>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72"/>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73"/>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pPr>
      <w:r>
        <w:rPr>
          <w:rFonts w:ascii="B Traffic" w:hAnsi="B Traffic" w:cs="B Traffic" w:eastAsia="B Traffic"/>
          <w:b/>
          <w:i w:val="0"/>
          <w:sz w:val="28"/>
          <w:szCs w:val="28"/>
        </w:rPr>
        <w:t>بند چهارم: نمونه تحلیلی؛ تجربه برجام</w:t>
      </w:r>
    </w:p>
    <w:p>
      <w:pPr>
        <w:pStyle w:val="TH-Body"/>
        <w:widowControl/>
        <w:bidi w:val="1"/>
        <w:spacing w:before="0" w:after="120" w:line="288"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Goftar"/>
        <w:widowControl/>
        <w:bidi w:val="1"/>
        <w:spacing w:before="200" w:after="120" w:line="288" w:lineRule="auto"/>
        <w:jc w:val="right"/>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بند بعد می‌آید ـ محل مناقشه است. پس اصل ۵۷ اثبات‌کننده «اصلِ مرجعیت» است، ولی تعیین‌کننده «صورتِ اعمال» نیست.</w:t>
      </w:r>
    </w:p>
    <w:p>
      <w:pPr>
        <w:pStyle w:val="TH-Body"/>
        <w:widowControl/>
        <w:bidi w:val="1"/>
        <w:spacing w:before="0" w:after="120" w:line="288" w:lineRule="auto"/>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pPr>
      <w:r>
        <w:rPr>
          <w:rFonts w:ascii="B Traffic" w:hAnsi="B Traffic" w:cs="B Traffic" w:eastAsia="B Traffic"/>
          <w:b/>
          <w:i w:val="0"/>
          <w:sz w:val="28"/>
          <w:szCs w:val="28"/>
        </w:rPr>
        <w:t>بند دوم: تحلیل اصل ۱۱۰؛ نقد ادعای حصر و تفکیک انواع اختیار</w:t>
      </w:r>
    </w:p>
    <w:p>
      <w:pPr>
        <w:pStyle w:val="TH-Body"/>
        <w:widowControl/>
        <w:bidi w:val="1"/>
        <w:spacing w:before="0" w:after="120" w:line="288"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76"/>
      </w:r>
    </w:p>
    <w:p>
      <w:pPr>
        <w:pStyle w:val="TH-Body"/>
        <w:widowControl/>
        <w:bidi w:val="1"/>
        <w:spacing w:before="0" w:after="120" w:line="288" w:lineRule="auto"/>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pPr>
      <w:r>
        <w:rPr>
          <w:rFonts w:ascii="B Titr" w:hAnsi="B Titr" w:cs="B Titr" w:eastAsia="B Titr"/>
          <w:b/>
          <w:i w:val="0"/>
          <w:sz w:val="32"/>
          <w:szCs w:val="32"/>
        </w:rPr>
        <w:t>حاصل فصل پنجم</w:t>
      </w:r>
    </w:p>
    <w:p>
      <w:pPr>
        <w:pStyle w:val="TH-Body"/>
        <w:widowControl/>
        <w:bidi w:val="1"/>
        <w:spacing w:before="0" w:after="120" w:line="288"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نتیجه‌گیری</w:t>
      </w:r>
    </w:p>
    <w:p>
      <w:pPr>
        <w:pStyle w:val="TH-Body"/>
        <w:widowControl/>
        <w:bidi w:val="1"/>
        <w:spacing w:before="0" w:after="120" w:line="288"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pPr>
      <w:r>
        <w:rPr>
          <w:rFonts w:ascii="B Titr" w:hAnsi="B Titr" w:cs="B Titr" w:eastAsia="B Titr"/>
          <w:b/>
          <w:i w:val="0"/>
          <w:sz w:val="32"/>
          <w:szCs w:val="32"/>
        </w:rPr>
        <w:t>نوآوری‌ها و پیشنهادها</w:t>
      </w:r>
    </w:p>
    <w:p>
      <w:pPr>
        <w:pStyle w:val="TH-Body"/>
        <w:widowControl/>
        <w:bidi w:val="1"/>
        <w:spacing w:before="0" w:after="120" w:line="288"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Body"/>
        <w:widowControl/>
        <w:bidi w:val="1"/>
        <w:spacing w:before="0" w:after="120" w:line="288" w:lineRule="auto"/>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فهرست منابع</w:t>
      </w:r>
    </w:p>
    <w:p>
      <w:pPr>
        <w:pStyle w:val="TH-Body"/>
        <w:widowControl/>
        <w:bidi w:val="1"/>
        <w:spacing w:before="0" w:after="120" w:line="288"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pPr>
      <w:r>
        <w:rPr>
          <w:rFonts w:ascii="B Titr" w:hAnsi="B Titr" w:cs="B Titr" w:eastAsia="B Titr"/>
          <w:b/>
          <w:i w:val="0"/>
          <w:sz w:val="32"/>
          <w:szCs w:val="32"/>
        </w:rPr>
        <w:t>قرآن کریم و تفاسیر</w:t>
      </w:r>
    </w:p>
    <w:p>
      <w:pPr>
        <w:pStyle w:val="TH-Body"/>
        <w:widowControl/>
        <w:bidi w:val="1"/>
        <w:spacing w:before="0" w:after="120" w:line="288"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جوامع حدیثی و نهج‌البلاغه</w:t>
      </w:r>
    </w:p>
    <w:p>
      <w:pPr>
        <w:pStyle w:val="TH-Body"/>
        <w:widowControl/>
        <w:bidi w:val="1"/>
        <w:spacing w:before="0" w:after="120" w:line="288"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کتب فقهی و اصولی</w:t>
      </w:r>
    </w:p>
    <w:p>
      <w:pPr>
        <w:pStyle w:val="TH-Body"/>
        <w:widowControl/>
        <w:bidi w:val="1"/>
        <w:spacing w:before="0" w:after="120" w:line="288"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pPr>
      <w:r>
        <w:rPr>
          <w:rFonts w:ascii="B Titr" w:hAnsi="B Titr" w:cs="B Titr" w:eastAsia="B Titr"/>
          <w:b/>
          <w:i w:val="0"/>
          <w:sz w:val="32"/>
          <w:szCs w:val="32"/>
        </w:rPr>
        <w:t>اسناد بین‌المللی</w:t>
      </w:r>
    </w:p>
    <w:p>
      <w:pPr>
        <w:pStyle w:val="TH-Body"/>
        <w:widowControl/>
        <w:bidi w:val="1"/>
        <w:spacing w:before="0" w:after="120" w:line="288"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پایگاه‌های اینترنتی</w:t>
      </w:r>
    </w:p>
    <w:p>
      <w:pPr>
        <w:pStyle w:val="TH-Body"/>
        <w:widowControl/>
        <w:bidi w:val="1"/>
        <w:spacing w:before="0" w:after="120" w:line="288"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پیوست‌ها</w:t>
      </w:r>
    </w:p>
    <w:p>
      <w:pPr>
        <w:pStyle w:val="TH-Body"/>
        <w:widowControl/>
        <w:bidi w:val="1"/>
        <w:spacing w:before="0" w:after="120" w:line="288" w:lineRule="auto"/>
        <w:jc w:val="both"/>
      </w:pPr>
      <w:r>
        <w:rPr>
          <w:rFonts w:ascii="B Lotus" w:hAnsi="B Lotus" w:cs="B Lotus" w:eastAsia="B Lotus"/>
          <w:b w:val="0"/>
          <w:i w:val="0"/>
          <w:sz w:val="28"/>
          <w:szCs w:val="28"/>
        </w:rPr>
        <w:t>آن‌چه در ادامه می‌آید پنج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و پیوست پنجم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77"/>
      </w:r>
    </w:p>
    <w:p>
      <w:pPr>
        <w:pStyle w:val="TH-Body"/>
        <w:widowControl/>
        <w:bidi w:val="1"/>
        <w:spacing w:before="0" w:after="120" w:line="288" w:lineRule="auto"/>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78"/>
      </w:r>
    </w:p>
    <w:p>
      <w:pPr>
        <w:pStyle w:val="TH-Body"/>
        <w:widowControl/>
        <w:bidi w:val="1"/>
        <w:spacing w:before="0" w:after="120" w:line="288" w:lineRule="auto"/>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79"/>
      </w:r>
    </w:p>
    <w:p>
      <w:pPr>
        <w:pStyle w:val="TH-Body"/>
        <w:widowControl/>
        <w:bidi w:val="1"/>
        <w:spacing w:before="0" w:after="120" w:line="288" w:lineRule="auto"/>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80"/>
      </w:r>
    </w:p>
    <w:p>
      <w:pPr>
        <w:pStyle w:val="TH-Body"/>
        <w:widowControl/>
        <w:bidi w:val="1"/>
        <w:spacing w:before="0" w:after="120" w:line="288" w:lineRule="auto"/>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81"/>
      </w:r>
    </w:p>
    <w:p>
      <w:pPr>
        <w:pStyle w:val="TH-Body"/>
        <w:widowControl/>
        <w:bidi w:val="1"/>
        <w:spacing w:before="0" w:after="120" w:line="288" w:lineRule="auto"/>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82"/>
      </w:r>
    </w:p>
    <w:p>
      <w:pPr>
        <w:pStyle w:val="TH-Body"/>
        <w:widowControl/>
        <w:bidi w:val="1"/>
        <w:spacing w:before="0" w:after="120" w:line="288" w:lineRule="auto"/>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83"/>
      </w:r>
    </w:p>
    <w:p>
      <w:pPr>
        <w:pStyle w:val="TH-Body"/>
        <w:widowControl/>
        <w:bidi w:val="1"/>
        <w:spacing w:before="0" w:after="120" w:line="288" w:lineRule="auto"/>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85"/>
      </w:r>
    </w:p>
    <w:p>
      <w:pPr>
        <w:pStyle w:val="TH-Body"/>
        <w:widowControl/>
        <w:bidi w:val="1"/>
        <w:spacing w:before="0" w:after="120" w:line="288" w:lineRule="auto"/>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86"/>
      </w:r>
    </w:p>
    <w:p>
      <w:pPr>
        <w:pStyle w:val="TH-Goftar"/>
        <w:widowControl/>
        <w:bidi w:val="1"/>
        <w:spacing w:before="200" w:after="120" w:line="288" w:lineRule="auto"/>
        <w:jc w:val="right"/>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87"/>
      </w:r>
    </w:p>
    <w:p>
      <w:pPr>
        <w:pStyle w:val="TH-Body"/>
        <w:widowControl/>
        <w:bidi w:val="1"/>
        <w:spacing w:before="0" w:after="120" w:line="288" w:lineRule="auto"/>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88"/>
      </w:r>
    </w:p>
    <w:p>
      <w:pPr>
        <w:pStyle w:val="TH-Body"/>
        <w:widowControl/>
        <w:bidi w:val="1"/>
        <w:spacing w:before="0" w:after="120" w:line="288" w:lineRule="auto"/>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89"/>
      </w:r>
    </w:p>
    <w:p>
      <w:pPr>
        <w:pStyle w:val="TH-Body"/>
        <w:widowControl/>
        <w:bidi w:val="1"/>
        <w:spacing w:before="0" w:after="120" w:line="288" w:lineRule="auto"/>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90"/>
      </w:r>
    </w:p>
    <w:p>
      <w:pPr>
        <w:pStyle w:val="TH-Body"/>
        <w:widowControl/>
        <w:bidi w:val="1"/>
        <w:spacing w:before="0" w:after="120" w:line="288" w:lineRule="auto"/>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91"/>
      </w:r>
    </w:p>
    <w:p>
      <w:pPr>
        <w:pStyle w:val="TH-Body"/>
        <w:widowControl/>
        <w:bidi w:val="1"/>
        <w:spacing w:before="0" w:after="120" w:line="288" w:lineRule="auto"/>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92"/>
      </w:r>
    </w:p>
    <w:p>
      <w:pPr>
        <w:pStyle w:val="TH-Body"/>
        <w:widowControl/>
        <w:bidi w:val="1"/>
        <w:spacing w:before="0" w:after="120" w:line="288" w:lineRule="auto"/>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93"/>
      </w:r>
    </w:p>
    <w:p>
      <w:pPr>
        <w:pStyle w:val="TH-Body"/>
        <w:widowControl/>
        <w:bidi w:val="1"/>
        <w:spacing w:before="0" w:after="120" w:line="288" w:lineRule="auto"/>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95"/>
      </w:r>
    </w:p>
    <w:p>
      <w:pPr>
        <w:pStyle w:val="TH-Goftar"/>
        <w:widowControl/>
        <w:bidi w:val="1"/>
        <w:spacing w:before="200" w:after="120" w:line="288" w:lineRule="auto"/>
        <w:jc w:val="right"/>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pPr>
      <w:r>
        <w:rPr>
          <w:rFonts w:ascii="B Titr" w:hAnsi="B Titr" w:cs="B Titr" w:eastAsia="B Titr"/>
          <w:b/>
          <w:i w:val="0"/>
          <w:sz w:val="32"/>
          <w:szCs w:val="32"/>
        </w:rPr>
        <w:t>پیوست پنجم: واژه‌نامه فارسی ـ عربی ـ انگلیسی</w:t>
      </w:r>
    </w:p>
    <w:p>
      <w:pPr>
        <w:pStyle w:val="TH-Body"/>
        <w:widowControl/>
        <w:bidi w:val="1"/>
        <w:spacing w:before="0" w:after="120" w:line="288"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۱۵۲، ۱۵۳ و ۱۵۴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88"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قلمرو اختیارات ولی فقیه در تعلیق و نقض یک‌جانبه معاهدات بین‌المللی (مطالعه فقهی ـ حقوقی)</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