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widowControl/>
        <w:bidi w:val="1"/>
        <w:spacing w:before="0" w:after="120" w:line="288" w:lineRule="auto"/>
        <w:jc w:val="center"/>
      </w:pPr>
      <w:r>
        <w:rPr>
          <w:rFonts w:ascii="B Titr" w:hAnsi="B Titr" w:cs="B Titr" w:eastAsia="B Titr"/>
          <w:b w:val="0"/>
          <w:i w:val="0"/>
          <w:sz w:val="32"/>
          <w:szCs w:val="32"/>
        </w:rPr>
        <w:t>حوزه علمیه …</w:t>
      </w:r>
    </w:p>
    <w:p>
      <w:pPr>
        <w:widowControl/>
        <w:bidi w:val="1"/>
        <w:spacing w:before="0" w:after="120" w:line="288" w:lineRule="auto"/>
        <w:jc w:val="center"/>
      </w:pPr>
      <w:r>
        <w:rPr>
          <w:rFonts w:ascii="B Titr" w:hAnsi="B Titr" w:cs="B Titr" w:eastAsia="B Titr"/>
          <w:b/>
          <w:i w:val="0"/>
          <w:sz w:val="40"/>
          <w:szCs w:val="40"/>
        </w:rPr>
        <w:t>رساله علمی سطح سه</w:t>
      </w:r>
    </w:p>
    <w:p>
      <w:pPr>
        <w:widowControl/>
        <w:bidi w:val="1"/>
        <w:spacing w:before="0" w:after="120" w:line="288" w:lineRule="auto"/>
        <w:jc w:val="center"/>
      </w:pPr>
    </w:p>
    <w:p>
      <w:pPr>
        <w:widowControl/>
        <w:bidi w:val="1"/>
        <w:spacing w:before="0" w:after="120" w:line="288" w:lineRule="auto"/>
        <w:jc w:val="center"/>
      </w:pPr>
      <w:r>
        <w:rPr>
          <w:rFonts w:ascii="B Titr" w:hAnsi="B Titr" w:cs="B Titr" w:eastAsia="B Titr"/>
          <w:b/>
          <w:i w:val="0"/>
          <w:sz w:val="40"/>
          <w:szCs w:val="40"/>
        </w:rPr>
        <w:t>قلمرو اختیارات ولی فقیه در تعلیق و نقض یک‌جانبه معاهدات بین‌المللی</w:t>
      </w:r>
    </w:p>
    <w:p>
      <w:pPr>
        <w:widowControl/>
        <w:bidi w:val="1"/>
        <w:spacing w:before="0" w:after="120" w:line="288" w:lineRule="auto"/>
        <w:jc w:val="center"/>
      </w:pPr>
      <w:r>
        <w:rPr>
          <w:rFonts w:ascii="B Titr" w:hAnsi="B Titr" w:cs="B Titr" w:eastAsia="B Titr"/>
          <w:b/>
          <w:i w:val="0"/>
          <w:sz w:val="36"/>
          <w:szCs w:val="36"/>
        </w:rPr>
        <w:t>(مطالعه فقهی ـ حقوقی)</w:t>
      </w:r>
    </w:p>
    <w:p>
      <w:pPr>
        <w:widowControl/>
        <w:bidi w:val="1"/>
        <w:spacing w:before="0" w:after="120" w:line="288" w:lineRule="auto"/>
        <w:jc w:val="center"/>
      </w:pPr>
    </w:p>
    <w:p>
      <w:pPr>
        <w:widowControl/>
        <w:bidi w:val="1"/>
        <w:spacing w:before="0" w:after="120" w:line="288" w:lineRule="auto"/>
        <w:jc w:val="center"/>
      </w:pPr>
      <w:r>
        <w:rPr>
          <w:rFonts w:ascii="B Lotus" w:hAnsi="B Lotus" w:cs="B Lotus" w:eastAsia="B Lotus"/>
          <w:b/>
          <w:i w:val="0"/>
          <w:sz w:val="32"/>
          <w:szCs w:val="32"/>
        </w:rPr>
        <w:t>نگارنده: هادی شبستانی</w:t>
      </w:r>
    </w:p>
    <w:p>
      <w:pPr>
        <w:widowControl/>
        <w:bidi w:val="1"/>
        <w:spacing w:before="0" w:after="120" w:line="288" w:lineRule="auto"/>
        <w:jc w:val="center"/>
      </w:pPr>
      <w:r>
        <w:rPr>
          <w:rFonts w:ascii="B Lotus" w:hAnsi="B Lotus" w:cs="B Lotus" w:eastAsia="B Lotus"/>
          <w:b w:val="0"/>
          <w:i w:val="0"/>
          <w:sz w:val="28"/>
          <w:szCs w:val="28"/>
        </w:rPr>
        <w:t>استاد راهنما: …………………</w:t>
      </w:r>
    </w:p>
    <w:p>
      <w:pPr>
        <w:widowControl/>
        <w:bidi w:val="1"/>
        <w:spacing w:before="0" w:after="120" w:line="288" w:lineRule="auto"/>
        <w:jc w:val="center"/>
      </w:pPr>
      <w:r>
        <w:rPr>
          <w:rFonts w:ascii="B Lotus" w:hAnsi="B Lotus" w:cs="B Lotus" w:eastAsia="B Lotus"/>
          <w:b w:val="0"/>
          <w:i w:val="0"/>
          <w:sz w:val="28"/>
          <w:szCs w:val="28"/>
        </w:rPr>
        <w:t>استاد مشاور: …………………</w:t>
      </w:r>
    </w:p>
    <w:p>
      <w:pPr>
        <w:widowControl/>
        <w:bidi w:val="1"/>
        <w:spacing w:before="0" w:after="120" w:line="288" w:lineRule="auto"/>
        <w:jc w:val="center"/>
      </w:pPr>
      <w:r>
        <w:rPr>
          <w:rFonts w:ascii="B Lotus" w:hAnsi="B Lotus" w:cs="B Lotus" w:eastAsia="B Lotus"/>
          <w:b w:val="0"/>
          <w:i w:val="0"/>
          <w:sz w:val="28"/>
          <w:szCs w:val="28"/>
        </w:rPr>
        <w:t>رشته: …………………</w:t>
      </w:r>
    </w:p>
    <w:p>
      <w:pPr>
        <w:widowControl/>
        <w:bidi w:val="1"/>
        <w:spacing w:before="0" w:after="120" w:line="288" w:lineRule="auto"/>
        <w:jc w:val="center"/>
      </w:pPr>
    </w:p>
    <w:p>
      <w:pPr>
        <w:widowControl/>
        <w:bidi w:val="1"/>
        <w:spacing w:before="0" w:after="120" w:line="288" w:lineRule="auto"/>
        <w:jc w:val="center"/>
      </w:pPr>
      <w:r>
        <w:rPr>
          <w:rFonts w:ascii="B Lotus" w:hAnsi="B Lotus" w:cs="B Lotus" w:eastAsia="B Lotus"/>
          <w:b w:val="0"/>
          <w:i w:val="0"/>
          <w:sz w:val="28"/>
          <w:szCs w:val="28"/>
        </w:rPr>
        <w:t>۱۴۰۵</w:t>
      </w:r>
    </w:p>
    <w:p>
      <w:r>
        <w:br w:type="page"/>
      </w:r>
    </w:p>
    <w:p/>
    <w:p/>
    <w:p/>
    <w:p/>
    <w:p/>
    <w:p>
      <w:pPr>
        <w:widowControl/>
        <w:bidi w:val="1"/>
        <w:spacing w:before="0" w:after="120" w:line="288" w:lineRule="auto"/>
        <w:jc w:val="center"/>
      </w:pPr>
      <w:r>
        <w:rPr>
          <w:rFonts w:ascii="B Titr" w:hAnsi="B Titr" w:cs="B Titr" w:eastAsia="B Titr"/>
          <w:b/>
          <w:i w:val="0"/>
          <w:sz w:val="44"/>
          <w:szCs w:val="44"/>
        </w:rPr>
        <w:t>بِسْمِ اللَّهِ الرَّحْمَنِ الرَّحِيمِ</w:t>
      </w:r>
    </w:p>
    <w:p>
      <w:r>
        <w:br w:type="page"/>
      </w:r>
    </w:p>
    <w:p>
      <w:pPr>
        <w:widowControl/>
        <w:bidi w:val="1"/>
        <w:spacing w:before="120" w:after="240" w:line="288" w:lineRule="auto"/>
        <w:jc w:val="center"/>
      </w:pPr>
      <w:r>
        <w:rPr>
          <w:rFonts w:ascii="B Titr" w:hAnsi="B Titr" w:cs="B Titr" w:eastAsia="B Titr"/>
          <w:b/>
          <w:i w:val="0"/>
          <w:sz w:val="36"/>
          <w:szCs w:val="36"/>
        </w:rPr>
        <w:t>تقدیم</w:t>
      </w:r>
    </w:p>
    <w:p>
      <w:pPr>
        <w:widowControl/>
        <w:bidi w:val="1"/>
        <w:spacing w:before="0" w:after="120" w:line="288" w:lineRule="auto"/>
        <w:jc w:val="center"/>
      </w:pPr>
      <w:r>
        <w:rPr>
          <w:rFonts w:ascii="B Lotus" w:hAnsi="B Lotus" w:cs="B Lotus" w:eastAsia="B Lotus"/>
          <w:b w:val="0"/>
          <w:i w:val="0"/>
          <w:sz w:val="28"/>
          <w:szCs w:val="28"/>
        </w:rPr>
        <w:t>این رساله را ـ که حاصل سال‌ها تلمّذ در محضر قرآن و عترت و فقهای عظام است ـ به ساحت مقدس حضرت بقیة‌الله الاعظم، امام زمان (عجل‌الله‌تعالی‌فرجه‌الشریف) که حکومت جهانی عدل به دست او برپا خواهد شد، و به ارواح طیبه شهدای اسلام و انقلاب اسلامی، به‌ویژه معمار کبیر انقلاب اسلامی حضرت امام خمینی (رحمة‌الله‌علیه) که نظریه ولایت فقیه را از متن کتاب و سنت به عرصه حکومت کشاند، و به محضر مقام معظم رهبری (مدظله‌العالی) که سکاندار کشتی نظام اسلامی در طوفان‌های بین‌المللی است، و به پدر و مادر بزرگوارم که هرچه دارم از دعای خیر آنان است، تقدیم می‌کنم؛ به این امید که گامی هرچند کوچک در راه اعتلای فقه حکومتی و عزت نظام اسلامی باشد.</w:t>
      </w:r>
    </w:p>
    <w:p>
      <w:pPr>
        <w:widowControl/>
        <w:bidi w:val="1"/>
        <w:spacing w:before="120" w:after="240" w:line="288" w:lineRule="auto"/>
        <w:jc w:val="center"/>
      </w:pPr>
      <w:r>
        <w:rPr>
          <w:rFonts w:ascii="B Titr" w:hAnsi="B Titr" w:cs="B Titr" w:eastAsia="B Titr"/>
          <w:b/>
          <w:i w:val="0"/>
          <w:sz w:val="36"/>
          <w:szCs w:val="36"/>
        </w:rPr>
        <w:t>سپاس</w:t>
      </w:r>
    </w:p>
    <w:p>
      <w:pPr>
        <w:widowControl/>
        <w:bidi w:val="1"/>
        <w:spacing w:before="0" w:after="120" w:line="288" w:lineRule="auto"/>
        <w:jc w:val="center"/>
      </w:pPr>
      <w:r>
        <w:rPr>
          <w:rFonts w:ascii="B Lotus" w:hAnsi="B Lotus" w:cs="B Lotus" w:eastAsia="B Lotus"/>
          <w:b w:val="0"/>
          <w:i w:val="0"/>
          <w:sz w:val="28"/>
          <w:szCs w:val="28"/>
        </w:rPr>
        <w:t>حمد و سپاس مخصوص خداوند متعال است که توفیق پژوهش در احکام دین را نصیب این‌جانب فرمود. بر خود لازم می‌دانم از استاد بزرگوار راهنما که با سعه‌صدر و دقت علمی، مسیر این پژوهش را هموار ساخت، و از استاد ارجمند مشاور که با تذکرات دقیق خویش کاستی‌های آن را گوشزد فرمود، و از داوران محترم که با نقدهای سازنده‌شان بر غنای این اثر خواهند افزود، و نیز از همه اساتید، فضلا، دوستان و خانواده محترم که در مراحل مختلف این تحقیق همراه و پشتیبان بودند، صمیمانه سپاسگزاری کنم. بی‌تردید مسئولیت همه کاستی‌ها و خطاهای احتمالی این رساله بر عهده نگارنده است و از خوانندگان گرامی تقاضا دارم تذکرات اصلاحی خود را از نگارنده دریغ نفرمایند.</w:t>
      </w:r>
    </w:p>
    <w:p>
      <w:pPr>
        <w:widowControl/>
        <w:bidi w:val="1"/>
        <w:spacing w:before="120" w:after="240" w:line="288" w:lineRule="auto"/>
        <w:jc w:val="center"/>
      </w:pPr>
      <w:r>
        <w:rPr>
          <w:rFonts w:ascii="B Titr" w:hAnsi="B Titr" w:cs="B Titr" w:eastAsia="B Titr"/>
          <w:b/>
          <w:i w:val="0"/>
          <w:sz w:val="36"/>
          <w:szCs w:val="36"/>
        </w:rPr>
        <w:t>چکیده</w:t>
      </w:r>
    </w:p>
    <w:p>
      <w:pPr>
        <w:widowControl/>
        <w:bidi w:val="1"/>
        <w:spacing w:before="0" w:after="120" w:line="288" w:lineRule="auto"/>
        <w:jc w:val="both"/>
      </w:pPr>
      <w:r>
        <w:rPr>
          <w:rFonts w:ascii="B Lotus" w:hAnsi="B Lotus" w:cs="B Lotus" w:eastAsia="B Lotus"/>
          <w:b w:val="0"/>
          <w:i w:val="0"/>
          <w:sz w:val="28"/>
          <w:szCs w:val="28"/>
        </w:rPr>
        <w:t>پژوهش حاضر با عنوان «قلمرو اختیارات ولی فقیه در تعلیق و نقض یک‌جانبه معاهدات بین‌المللی (مطالعه فقهی ـ حقوقی)» به یکی از بنیادی‌ترین و در عین حال کمتربررسی‌شده‌ترین مسائل پیوندگاه فقه سیاسی و حقوق بین‌الملل می‌پردازد. مسئله اصلی این است که با وجود ادله پرشمار و متقن وجوب وفای به عهد در قرآن، سنت، سیره معصومان و بنای عقلا، آیا ولی فقیه در مقام حاکم اسلامی می‌تواند اجرای معاهده‌ای بین‌المللی را که دولت جمهوری اسلامی ایران به‌طور معتبر پذیرفته است، به‌صورت یک‌جانبه به حالت تعلیق درآورد یا آن را نقض کند؟ اگر چنین اختیاری وجود دارد، قلمرو آن کدام است، با چه ضوابطی اعمال می‌شود، و چه آثاری بر مسئولیت بین‌المللی دولت دارد؟ اهمیت این مسئله از آن‌جاست که از یک‌سو، پایبندی به عهد از اصول مسلم شرعی و عقلایی است که حتی در برابر دشمن نیز واجب شمرده شده، و از سوی دیگر، اداره نظام اسلامی در شرایط پیچیده و متغیر بین‌المللی، گاه اقتضای تصمیم‌هایی فراتر از روال عادی را دارد و فقدان چارچوبی مدون برای چنین تصمیم‌هایی، هم تصمیم‌گیری را دشوار و هم هزینه‌های آن را سنگین می‌کند. سؤال اصلی پژوهش، قلمرو و ضوابط این اختیار است و دو سؤال فرعی، آثار آن بر مسئولیت بین‌المللی دولت جمهوری اسلامی ایران و نسبت مصلحت نظام با عدول از تعهدات بین‌المللی را بررسی می‌کنند. پیشینه مسئله به سیره معصومان (علیهم‌السلام)، به‌ویژه صلح حدیبیه، میثاق مدینه و عهدنامه مالک اشتر، و به ابواب عهد و امان و صلح در فقه امامیه بازمی‌گردد؛ و پیشینه پژوهش شامل آثاری درباره قراردادهای بین‌المللی در اسلام، حق شرط در معاهدات، و ولایت مطلقه فقیه در قانون اساسی است که هیچ‌یک مسئله حاضر را به‌صورت مستقل و مسئله‌محور بررسی نکرده‌اند. فرضیه پژوهش آن است که اختیار ولی فقیه در این حوزه، اختیاری مقید و مشروط به ضوابط شرعی و از سنخ حکم حکومتی است که در چارچوب تزاحم میان وجوب وفای به عهد و مصالح اهم نظام اسلامی شکل می‌گیرد و جواز فقهی آن، رافع مسئولیت بین‌المللی دولت نیست. روش پژوهش، کتابخانه‌ای با ابزار فیش‌برداری و تحلیل توصیفی ـ استنباطی ـ تطبیقی است و منابع آن شامل قرآن کریم، سنت، کتب فقهی و اصولی فریقین، قانون اساسی جمهوری اسلامی ایران، کنوانسیون وین حقوق معاهدات، طرح مواد مسئولیت بین‌المللی دولت‌ها و آرای دیوان بین‌المللی دادگستری است. نتایج پژوهش نشان می‌دهد که تعلیق و نقض، دو مفهوم متمایز با احکام متفاوت‌اند؛ رابطه وجوب وفا با اختیار حاکم از نوع تزاحم است نه تعارض؛ اختیار حاکم، مقید به ضوابط هشت‌گانه (مصلحت واقعی و اهم، حداقلی‌بودن، تشخیص ولی فقیه با مشورت کارشناسی، تناسب، موقت‌بودن، اعلام و شفافیت، سقف آمره و مسئولیت‌پذیری) است؛ و تصمیم ولی فقیه هرچند در نظام داخلی مشروع باشد، در سطح بین‌المللی به دولت منتسب شده و در صورت نبود سبب رافع، موجب مسئولیت بین‌المللی می‌شود. نوآوری پژوهش در اثبات تزاحمی‌بودن رابطه ادله، ارائه طیف شدت عدول، صورت‌بندی ضوابط هشت‌گانه، تفکیک سه‌گانه جواز فقهی و مشروعیت داخلی و مسئولیت بین‌المللی، و نقد مستند پیش‌فرض ذکر صریح اختیار معاهداتی در اصل ۱۱۰ قانون اساسی است.</w:t>
      </w:r>
    </w:p>
    <w:p>
      <w:pPr>
        <w:widowControl/>
        <w:bidi w:val="1"/>
        <w:spacing w:before="240" w:after="120" w:line="288"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معاهدات بین‌المللی، تعلیق معاهده، نقض معاهده، وفای به عهد، حکم حکومتی، مصلحت نظام، مسئولیت بین‌المللی دولت، کنوانسیون وین حقوق معاهدات، قانون اساسی جمهوری اسلامی ایران</w:t>
      </w:r>
    </w:p>
    <w:p>
      <w:pPr>
        <w:widowControl/>
        <w:bidi w:val="1"/>
        <w:spacing w:before="120" w:after="240" w:line="288" w:lineRule="auto"/>
        <w:jc w:val="center"/>
      </w:pPr>
      <w:r>
        <w:rPr>
          <w:rFonts w:ascii="B Titr" w:hAnsi="B Titr" w:cs="B Titr" w:eastAsia="B Titr"/>
          <w:b/>
          <w:i w:val="0"/>
          <w:sz w:val="36"/>
          <w:szCs w:val="36"/>
        </w:rPr>
        <w:t>فهرست علائم اختصاری</w:t>
      </w:r>
    </w:p>
    <w:p>
      <w:pPr>
        <w:widowControl/>
        <w:bidi w:val="1"/>
        <w:spacing w:before="0" w:after="120" w:line="288" w:lineRule="auto"/>
        <w:jc w:val="both"/>
      </w:pPr>
      <w:r>
        <w:rPr>
          <w:rFonts w:ascii="B Lotus" w:hAnsi="B Lotus" w:cs="B Lotus" w:eastAsia="B Lotus"/>
          <w:b w:val="0"/>
          <w:i w:val="0"/>
          <w:sz w:val="28"/>
          <w:szCs w:val="28"/>
        </w:rPr>
        <w:t>در این رساله، اختصار «ق.ا» به معنای قانون اساسی جمهوری اسلامی ایران، و اختصار «کنوانسیون وین» به معنای کنوانسیون وین حقوق معاهدات (۱۹۶۹ میلادی)، و اختصار «طرح مسئولیت» به معنای طرح مواد کمیسیون حقوق بین‌الملل درباره مسئولیت بین‌المللی دولت‌ها (۲۰۰۱ میلادی)، و اختصار «دیوان» به معنای دیوان بین‌المللی دادگستری، و اختصار «منشور» به معنای منشور سازمان ملل متحد، و اختصار «ر.ک» به معنای رجوع کنید (ارجاع غیرنقلی به منبع)، و واژه «همان» به معنای همان منبع یادشده در پاورقی نزدیک پیشین به کار رفته است.</w:t>
      </w:r>
    </w:p>
    <w:p>
      <w:pPr>
        <w:widowControl/>
        <w:bidi w:val="1"/>
        <w:spacing w:before="120" w:after="240" w:line="288" w:lineRule="auto"/>
        <w:jc w:val="center"/>
      </w:pPr>
      <w:r>
        <w:rPr>
          <w:rFonts w:ascii="B Titr" w:hAnsi="B Titr" w:cs="B Titr" w:eastAsia="B Titr"/>
          <w:b/>
          <w:i w:val="0"/>
          <w:sz w:val="36"/>
          <w:szCs w:val="36"/>
        </w:rPr>
        <w:t>پیشگفتار</w:t>
      </w:r>
    </w:p>
    <w:p>
      <w:pPr>
        <w:widowControl/>
        <w:bidi w:val="1"/>
        <w:spacing w:before="0" w:after="120" w:line="288" w:lineRule="auto"/>
        <w:jc w:val="both"/>
      </w:pPr>
      <w:r>
        <w:rPr>
          <w:rFonts w:ascii="B Lotus" w:hAnsi="B Lotus" w:cs="B Lotus" w:eastAsia="B Lotus"/>
          <w:b w:val="0"/>
          <w:i w:val="0"/>
          <w:sz w:val="28"/>
          <w:szCs w:val="28"/>
        </w:rPr>
        <w:t>انگیزه نگارش این رساله، پرسشی بود که بارها در مباحث فقه سیاسی و در مواجهه با رخدادهای بین‌المللیِ پیرامون جمهوری اسلامی ایران به ذهن نگارنده می‌رسید: مرز میان «پایبندی به عهد» و «صیانت از مصالح نظام» کجاست؟ آیا فقه امامیه ـ که هم وفای به عهد را فریضه‌ای الهی می‌داند و هم حفظ نظام را از اوجب واجبات می‌شمارد ـ پاسخی روشن و ضابطه‌مند برای این پرسش دارد، یا باید در هر رخداد، از نو و بدون چارچوب به اجتهاد پرداخت؟ هرچه بیشتر در منابع فقهی و حقوقی کاوش شد، روشن‌تر گردید که پاسخ اجمالی (جواز مشروط عدول) در کلمات فقها وجود دارد، اما چارچوبی تفصیلی، منسجم و کاربردی که هم ادله فقهی را در برگرفته باشد و هم آثار حقوق بین‌المللی را لحاظ کرده باشد، کمتر به چشم می‌خورد؛ و همین خلأ، ضرورت این پژوهش را آشکار ساخت.</w:t>
      </w:r>
    </w:p>
    <w:p>
      <w:pPr>
        <w:widowControl/>
        <w:bidi w:val="1"/>
        <w:spacing w:before="0" w:after="120" w:line="288" w:lineRule="auto"/>
        <w:jc w:val="both"/>
      </w:pPr>
      <w:r>
        <w:rPr>
          <w:rFonts w:ascii="B Lotus" w:hAnsi="B Lotus" w:cs="B Lotus" w:eastAsia="B Lotus"/>
          <w:b w:val="0"/>
          <w:i w:val="0"/>
          <w:sz w:val="28"/>
          <w:szCs w:val="28"/>
        </w:rPr>
        <w:t>این رساله بر آن است که با روشی مسئله‌محور و با تکیه بر ادله دست اول، چنین چارچوبی را ارائه کند؛ چارچوبی که در آن، نه «وفا» قربانی «مصلحت» شود و نه «مصلحت» قربانی «وفا»، بلکه هر یک در جایگاه شایسته خود بنشیند. مخاطب این اثر، هم طلاب و دانشجویان فقه سیاسی و حقوق بین‌الملل‌اند و هم تصمیم‌گیرانی که در عمل با این مسئله روبه‌رو می‌شوند. نگارنده امیدوار است این گام نخستین، راه را برای پژوهش‌های عمیق‌تر و کاربردی‌تر بگشاید و اگر روزی این رساله در قالب کتاب منتشر شود، با نقدها و تذکرات اساتید و خوانندگان، به اثری پخته‌تر بدل گردد.</w:t>
      </w:r>
    </w:p>
    <w:p>
      <w:pPr>
        <w:widowControl/>
        <w:bidi w:val="1"/>
        <w:spacing w:before="120" w:after="240" w:line="288" w:lineRule="auto"/>
        <w:jc w:val="center"/>
      </w:pPr>
      <w:r>
        <w:rPr>
          <w:rFonts w:ascii="B Titr" w:hAnsi="B Titr" w:cs="B Titr" w:eastAsia="B Titr"/>
          <w:b/>
          <w:i w:val="0"/>
          <w:sz w:val="36"/>
          <w:szCs w:val="36"/>
        </w:rPr>
        <w:t>الملخص</w:t>
      </w:r>
    </w:p>
    <w:p>
      <w:pPr>
        <w:widowControl/>
        <w:bidi w:val="1"/>
        <w:spacing w:before="0" w:after="120" w:line="288" w:lineRule="auto"/>
        <w:jc w:val="both"/>
      </w:pPr>
      <w:r>
        <w:rPr>
          <w:rFonts w:ascii="B Lotus" w:hAnsi="B Lotus" w:cs="B Lotus" w:eastAsia="B Lotus"/>
          <w:b w:val="0"/>
          <w:i w:val="0"/>
          <w:sz w:val="28"/>
          <w:szCs w:val="28"/>
        </w:rPr>
        <w:t>تتناول هذه الرسالة موضوع «نطاق صلاحیات الولی الفقیه فی تعلیق المعاهدات الدولیة أو نقضها من جانب واحد (دراسة فقهیة ـ حقوقیة)»، وهو من المسائل الأقل بحثاً عند ملتقى الفقه السیاسی والقانون الدولی. والسؤال الرئیس هو: ما نطاق وضوابط صلاحیات الولی الفقیه فی تعلیق المعاهدات الدولیة أو نقضها من جانب واحد؟ ویتفرع عنه سؤالان: ما آثار قرار الولی الفقیه على المسؤولیة الدولیة لدولة الجمهوریة الإسلامیة الإیرانیة؟ وإلى أی مدى تجوّز مصلحة النظام العدول عن الالتزامات الدولیة وما ضوابطها الفقهیة؟ وتنطلق الدراسة من أن الوفاء بالعهد أصل قرآنی وروائی وعقلی مسلّم، وأن للحاکم الإسلامی فی عین الحال صلاحیة إدارة النظام على أساس المصلحة. وخلصت الرسالة إلى أن العلاقة بین أدلة الوفاء وأدلة صلاحیة الحاکم هی من باب «التزاحم» لا التعارض، وأن القرار الحکومی المبنی على المصلحة الواقعیة الأهم جائز ضمن ثمانیة ضوابط مستخرجة، وأن الجواز الفقهی لا یرفع المسؤولیة الدولیة للدولة. واعتمدت الدراسة المنهج المکتبی التحلیلی الاستنباطی، ومصادرها: القرآن والسنة والکتب الفقهیة والأصولیة والدستور الإیرانی واتفاقیة فیینا لقانون المعاهدات ووثائق المسؤولیة الدولیة.</w:t>
      </w:r>
    </w:p>
    <w:p>
      <w:r>
        <w:br w:type="page"/>
      </w:r>
    </w:p>
    <w:p>
      <w:pPr>
        <w:widowControl/>
        <w:bidi w:val="1"/>
        <w:spacing w:before="120" w:after="240" w:line="288" w:lineRule="auto"/>
        <w:jc w:val="center"/>
      </w:pPr>
      <w:r>
        <w:rPr>
          <w:rFonts w:ascii="B Titr" w:hAnsi="B Titr" w:cs="B Titr" w:eastAsia="B Titr"/>
          <w:b/>
          <w:i w:val="0"/>
          <w:sz w:val="36"/>
          <w:szCs w:val="36"/>
        </w:rPr>
        <w:t>فهرست مطالب</w:t>
      </w:r>
    </w:p>
    <w:p>
      <w:pPr>
        <w:widowControl/>
        <w:bidi w:val="1"/>
        <w:spacing w:before="0" w:after="120" w:line="288"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r>
        <w:rPr>
          <w:rFonts w:ascii="B Lotus" w:hAnsi="B Lotus" w:cs="B Lotus" w:eastAsia="B Lotus"/>
          <w:b w:val="0"/>
          <w:i w:val="0"/>
          <w:color w:val="888888"/>
          <w:sz w:val="24"/>
          <w:szCs w:val="24"/>
        </w:rPr>
        <w:t>فهرست مطالب پس از بازشدن فایل در Word تکمیل می‌شود.</w:t>
      </w:r>
      <w:r>
        <w:rPr>
          <w:rFonts w:ascii="B Lotus" w:hAnsi="B Lotus" w:cs="B Lotus" w:eastAsia="B Lotus"/>
          <w:b w:val="0"/>
          <w:i w:val="0"/>
          <w:sz w:val="28"/>
          <w:szCs w:val="28"/>
        </w:rPr>
        <w:fldChar w:fldCharType="end"/>
      </w:r>
    </w:p>
    <w:p>
      <w:pPr>
        <w:widowControl/>
        <w:bidi w:val="1"/>
        <w:spacing w:before="0" w:after="120" w:line="288" w:lineRule="auto"/>
        <w:jc w:val="right"/>
      </w:pPr>
      <w:r>
        <w:rPr>
          <w:rFonts w:ascii="B Lotus" w:hAnsi="B Lotus" w:cs="B Lotus" w:eastAsia="B Lotus"/>
          <w:b w:val="0"/>
          <w:i w:val="0"/>
          <w:color w:val="888888"/>
          <w:sz w:val="22"/>
          <w:szCs w:val="22"/>
        </w:rPr>
        <w:t>راهنما: اگر فهرست کامل نمایش داده نشد، روی آن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مقدمه</w:t>
      </w:r>
    </w:p>
    <w:p>
      <w:pPr>
        <w:pStyle w:val="TH-Band"/>
        <w:widowControl/>
        <w:bidi w:val="1"/>
        <w:spacing w:before="200" w:after="120" w:line="288" w:lineRule="auto"/>
        <w:jc w:val="right"/>
      </w:pPr>
      <w:r>
        <w:rPr>
          <w:rFonts w:ascii="B Traffic" w:hAnsi="B Traffic" w:cs="B Traffic" w:eastAsia="B Traffic"/>
          <w:b/>
          <w:i w:val="0"/>
          <w:sz w:val="28"/>
          <w:szCs w:val="28"/>
        </w:rPr>
        <w:t>۱. تبیین مسئله</w:t>
      </w:r>
    </w:p>
    <w:p>
      <w:pPr>
        <w:pStyle w:val="TH-Body"/>
        <w:widowControl/>
        <w:bidi w:val="1"/>
        <w:spacing w:before="0" w:after="120" w:line="288" w:lineRule="auto"/>
        <w:jc w:val="both"/>
      </w:pPr>
      <w:r>
        <w:rPr>
          <w:rFonts w:ascii="B Lotus" w:hAnsi="B Lotus" w:cs="B Lotus" w:eastAsia="B Lotus"/>
          <w:b w:val="0"/>
          <w:i w:val="0"/>
          <w:sz w:val="28"/>
          <w:szCs w:val="28"/>
        </w:rPr>
        <w:t>موضوع این پژوهش، «اختیارات ولی فقیه در قبال معاهدات بین‌المللی» است؛ اما مسئله واقعی آن، محدودتر، دقیق‌تر و عمیق‌تر از این عنوان کلی است. مسئله این پژوهش نه انعقاد معاهده است، نه مذاکره و تصویب آن، نه تفسیر مفاد آن، و نه حتی داوری درباره خوب یا بد بودن یک معاهده خاص؛ بلکه پرسش از سرنوشت یک تعهد بین‌المللیِ منعقدشده و لازم‌الاجرا در برابر اراده حاکم اسلامی است: آیا ولی فقیه می‌تواند اجرای معاهده‌ای را که دولت جمهوری اسلامی ایران به‌طور معتبر پذیرفته است، به‌صورت یک‌جانبه به حالت تعلیق درآورد یا آن را نقض کند؟ و اگر چنین اختیاری وجود دارد، در چه قلمرویی، با چه مبنایی، با چه ضوابطی، و با چه آثاری؟</w:t>
      </w:r>
    </w:p>
    <w:p>
      <w:pPr>
        <w:pStyle w:val="TH-Body"/>
        <w:widowControl/>
        <w:bidi w:val="1"/>
        <w:spacing w:before="0" w:after="120" w:line="288" w:lineRule="auto"/>
        <w:jc w:val="both"/>
      </w:pPr>
      <w:r>
        <w:rPr>
          <w:rFonts w:ascii="B Lotus" w:hAnsi="B Lotus" w:cs="B Lotus" w:eastAsia="B Lotus"/>
          <w:b w:val="0"/>
          <w:i w:val="0"/>
          <w:sz w:val="28"/>
          <w:szCs w:val="28"/>
        </w:rPr>
        <w:t>ابهام موجود از تقاطع دو دسته ادله و سه نظام حقوقی متفاوت پدید می‌آید. از یک‌سو، وجوب وفای به عهد از اصول مسلم و متقن شرعی است؛ قرآن کریم با تعابیر گوناگون ـ امر به وفا، نهی از نقض، ستایش اوفیاء و نکوهش ناقضان ـ مؤمنان را به پایبندی به عقود و عهود فرمان داده است (مائده، ۱؛ نحل، ۹۱؛ اسراء، ۳۴؛ رعد، ۲۰؛ مؤمنون، ۸)</w:t>
      </w:r>
      <w:r>
        <w:rPr>
          <w:rFonts w:ascii="B Lotus" w:hAnsi="B Lotus" w:cs="B Lotus" w:eastAsia="B Lotus"/>
          <w:b w:val="0"/>
          <w:i w:val="0"/>
          <w:sz w:val="28"/>
          <w:szCs w:val="28"/>
          <w:vertAlign w:val="superscript"/>
        </w:rPr>
        <w:footnoteReference w:id="2"/>
      </w:r>
      <w:r>
        <w:rPr>
          <w:rFonts w:ascii="B Lotus" w:hAnsi="B Lotus" w:cs="B Lotus" w:eastAsia="B Lotus"/>
          <w:b w:val="0"/>
          <w:i w:val="0"/>
          <w:sz w:val="28"/>
          <w:szCs w:val="28"/>
        </w:rPr>
        <w:t xml:space="preserve"> و سیره معصومان (علیهم‌السلام)، به‌ویژه در صلح حدیبیه، میثاق مدینه و عهدنامه مالک اشتر، بر پایبندی به پیمان حتی با دشمن تأکید دارد. از سوی دیگر، حاکم اسلامی در مقام اداره نظام، مأمور حفظ مصالح امت و صیانت از کیان نظام اسلامی است و فقه امامیه برای چنین مأموریتی، ابزارهایی همچون حکم حکومتی، تشخیص مصلحت، قاعده تزاحم و اهم و مهم، و قواعد ثانوی را به رسمیت شناخته است. از سوی سوم، نظام حقوق بین‌الملل ـ که دولت جمهوری اسلامی ایران عضوی از آن است ـ اصل وفای به عهد را بنیاد خود می‌داند و برای عدول از آن، هزینه‌هایی (مسئولیت بین‌المللی) مقرر کرده است.</w:t>
      </w:r>
    </w:p>
    <w:p>
      <w:pPr>
        <w:pStyle w:val="TH-Body"/>
        <w:widowControl/>
        <w:bidi w:val="1"/>
        <w:spacing w:before="0" w:after="120" w:line="288" w:lineRule="auto"/>
        <w:jc w:val="both"/>
      </w:pPr>
      <w:r>
        <w:rPr>
          <w:rFonts w:ascii="B Lotus" w:hAnsi="B Lotus" w:cs="B Lotus" w:eastAsia="B Lotus"/>
          <w:b w:val="0"/>
          <w:i w:val="0"/>
          <w:sz w:val="28"/>
          <w:szCs w:val="28"/>
        </w:rPr>
        <w:t>محل اختلاف و گره اصلی مسئله دقیقاً در پیوندگاه این سه سو قرار دارد و در سه پرسش خلاصه می‌شود: نخست، آیا میان ادله وجوب وفا و ادله اختیار حاکم «تعارض» وجود دارد یا رابطه آن‌ها از نوع دیگری (تزاحم، حکومت، تخصیص یا تقیید) است؟ دوم، اگر اختیار حاکم پذیرفته شود، آیا این اختیار «مطلق» است یا «مقید» به ضوابطی خاص؟ و سوم، تصمیم مشروعِ داخلیِ حاکم، در سطح بین‌المللی چه سرنوشتی دارد و آیا جواز فقهی، رافع مسئولیت بین‌المللی است یا نه؟ هر پژوهشی که یکی از این سه پرسش را بی‌پاسخ بگذارد، مسئله را ناتمام رها کرده است.</w:t>
      </w:r>
    </w:p>
    <w:p>
      <w:pPr>
        <w:pStyle w:val="TH-Body"/>
        <w:widowControl/>
        <w:bidi w:val="1"/>
        <w:spacing w:before="0" w:after="120" w:line="288" w:lineRule="auto"/>
        <w:jc w:val="both"/>
      </w:pPr>
      <w:r>
        <w:rPr>
          <w:rFonts w:ascii="B Lotus" w:hAnsi="B Lotus" w:cs="B Lotus" w:eastAsia="B Lotus"/>
          <w:b w:val="0"/>
          <w:i w:val="0"/>
          <w:sz w:val="28"/>
          <w:szCs w:val="28"/>
        </w:rPr>
        <w:t>سؤال اصلی پژوهش دو جزء به‌هم‌پیوسته دارد: جزء نخست، «قلمرو» است؛ یعنی این اختیار ـ اگر ثابت شود ـ چه مواردی را در بر می‌گیرد و از چه مواردی بیرون است. قلمرو از چهار جهت قابل بررسی است: جهت نوعی (تعلیق یا نقض؟ موقت یا دائم؟ کلی یا جزئی؟)، جهت موضوعی (همه معاهدات یا برخی از آن‌ها؟)، جهت حالی (وضعیت عادی یا اضطراری؟)، و جهت غایی (تا کجا؟ سقف اختیار کجاست؟). جزء دوم، «ضوابط» است؛ یعنی اعمال این اختیار به چه شرایطی (احراز مصلحت، مرجع تشخیص، تناسب، اعلام و مانند آن) منوط است. بی‌توجهی به هر یک از این دو جزء، پژوهش را ناقص می‌کند: پاسخ بدون قلمرو، به جواز بی‌مرز می‌انجامد و پاسخ بدون ضابطه، به اجتهاد سلیقه‌ای میدان می‌دهد.</w:t>
      </w:r>
    </w:p>
    <w:p>
      <w:pPr>
        <w:pStyle w:val="TH-Body"/>
        <w:widowControl/>
        <w:bidi w:val="1"/>
        <w:spacing w:before="0" w:after="120" w:line="288" w:lineRule="auto"/>
        <w:jc w:val="both"/>
      </w:pPr>
      <w:r>
        <w:rPr>
          <w:rFonts w:ascii="B Lotus" w:hAnsi="B Lotus" w:cs="B Lotus" w:eastAsia="B Lotus"/>
          <w:b w:val="0"/>
          <w:i w:val="0"/>
          <w:sz w:val="28"/>
          <w:szCs w:val="28"/>
        </w:rPr>
        <w:t>دو سؤال فرعی، هر یک یکی از دو بُعد درونی و بیرونی این مسئله را می‌کاوند: سؤال فرعی دوم به مبنای درونی جواز می‌پردازد (نقش مصلحت نظام و ضوابط فقهی آن) و سؤال فرعی اول به آثار بیرونی تصمیم می‌پردازد (مسئولیت بین‌المللی دولت). نسبت سؤالات فرعی با سؤال اصلی، نسبت «مبنا» و «اثر» با «حکم» است: بدون فهم مبنا، حکم بی‌پشتوانه می‌ماند و بدون فهم اثر، حکم ناقص می‌ماند. به بیان دیگر، سؤال اصلی می‌پرسد «چه؟» (حکم و قلمرو و ضوابط)، سؤال فرعی دوم می‌پرسد «چرا؟» (مبنا)، و سؤال فرعی اول می‌پرسد «پس چه می‌شود؟» (اثر). این سه پرسش، یک کل منطقیِ به‌هم‌پیوسته می‌سازند.</w:t>
      </w:r>
    </w:p>
    <w:p>
      <w:pPr>
        <w:pStyle w:val="TH-Body"/>
        <w:widowControl/>
        <w:bidi w:val="1"/>
        <w:spacing w:before="0" w:after="120" w:line="288" w:lineRule="auto"/>
        <w:jc w:val="both"/>
      </w:pPr>
      <w:r>
        <w:rPr>
          <w:rFonts w:ascii="B Lotus" w:hAnsi="B Lotus" w:cs="B Lotus" w:eastAsia="B Lotus"/>
          <w:b w:val="0"/>
          <w:i w:val="0"/>
          <w:sz w:val="28"/>
          <w:szCs w:val="28"/>
        </w:rPr>
        <w:t>قلمرو پژوهش از چهار جهت محدود شده است: قلمرو زمانی، دوران معاصر و پس از تشکیل جمهوری اسلامی ایران است؛ زیرا مسئله، ناظر به نهاد «ولی فقیه» در نظام حقوقی موجود است، هرچند ریشه‌های تاریخی آن (سیره و فقه متقدم) نیز بررسی می‌شود. قلمرو مکانی، جمهوری اسلامی ایران است. قلمرو فقهی، فقه امامیه است؛ هرچند در موارد لازم، اشاره تطبیقی به دیدگاه‌های فقه عامه (به‌ویژه در باب مصلحت و صلح) نیز خواهد شد. قلمرو حقوقی، حقوق بین‌الملل معاهدات (با محوریت کنوانسیون وین حقوق معاهدات و طرح مواد مسئولیت بین‌المللی) و حقوق اساسی جمهوری اسلامی ایران است.</w:t>
      </w:r>
    </w:p>
    <w:p>
      <w:pPr>
        <w:pStyle w:val="TH-Body"/>
        <w:widowControl/>
        <w:bidi w:val="1"/>
        <w:spacing w:before="0" w:after="120" w:line="288" w:lineRule="auto"/>
        <w:jc w:val="both"/>
      </w:pPr>
      <w:r>
        <w:rPr>
          <w:rFonts w:ascii="B Lotus" w:hAnsi="B Lotus" w:cs="B Lotus" w:eastAsia="B Lotus"/>
          <w:b w:val="0"/>
          <w:i w:val="0"/>
          <w:sz w:val="28"/>
          <w:szCs w:val="28"/>
        </w:rPr>
        <w:t>بر همین اساس، مطالبی چند از دایره مسئله بیرون‌اند و در این رساله بررسی نمی‌شوند: مباحث انعقاد، مذاکره و تصویب معاهدات؛ مبحث حق شرط (مگر به‌مقدار ارتباط با راهبردهای کاهش مسئولیت)؛ قواعد تفسیر معاهدات؛ مسئولیت کیفری بین‌المللی اشخاص؛ تحلیل تفصیلی تحریم‌های اقتصادی؛ اثبات اصل ولایت فقیه (که از پیش‌فرض‌های پژوهش است نه مسئله آن)؛ تاریخچه تفصیلی معاهدات دولت ایران؛ و داوری درباره مصادیق خاص و جاری (مانند پرونده‌های روز) مگر به‌عنوان نمونه تحلیلی. هرگاه در متن رساله به این مباحث اشاره‌ای شود، صرفاً به‌اندازه ضرورت فهم مسئله و بدون ورود تفصیلی خواهد بود؛ زیرا رسالت این رساله، ارائه «چارچوب» است نه داوری درباره «مصادیق».</w:t>
      </w:r>
    </w:p>
    <w:p>
      <w:pPr>
        <w:pStyle w:val="TH-Body"/>
        <w:widowControl/>
        <w:bidi w:val="1"/>
        <w:spacing w:before="0" w:after="120" w:line="288" w:lineRule="auto"/>
        <w:jc w:val="both"/>
      </w:pPr>
      <w:r>
        <w:rPr>
          <w:rFonts w:ascii="B Lotus" w:hAnsi="B Lotus" w:cs="B Lotus" w:eastAsia="B Lotus"/>
          <w:b w:val="0"/>
          <w:i w:val="0"/>
          <w:sz w:val="28"/>
          <w:szCs w:val="28"/>
        </w:rPr>
        <w:t>درباره عنوان نیز یادآوری یک نکته لازم است. عنوان مصوب، «قلمرو اختیارات ولی فقیه در تعلیق یا نقض یکجانبه معاهدات بین‌المللی» است. از آن‌جا که یکی از یافته‌های مفهوم‌شناختی این پژوهش آن است که «تعلیق» و «نقض» دو مفهوم متمایز با احکام متفاوت‌اند و حرف ربط «یا» میان آن‌ها القای تردید یا ترادف می‌کند، عنوان نهایی با اصلاحی اندک به‌صورت «قلمرو اختیارات ولی فقیه در تعلیق و نقض یک‌جانبه معاهدات بین‌المللی (مطالعه فقهی ـ حقوقی)» تنظیم شد؛ بی‌آن‌که در مسئله و سؤالات تغییری پدید آید. افزودن قید «مطالعه فقهی ـ حقوقی» نیز برای تصریح به رویکرد دوگانه پژوهش (فقه امامیه و حقوق بین‌الملل) ضرورت داشت؛ زیرا مسئله، ذاتاً میان‌رشته‌ای است و پاسخ تک‌بعدی (صرفاً فقهی یا صرفاً حقوقی) به آن، ناقص خواهد بود.</w:t>
      </w:r>
    </w:p>
    <w:p>
      <w:pPr>
        <w:pStyle w:val="TH-Band"/>
        <w:widowControl/>
        <w:bidi w:val="1"/>
        <w:spacing w:before="200" w:after="120" w:line="288" w:lineRule="auto"/>
        <w:jc w:val="right"/>
      </w:pPr>
      <w:r>
        <w:rPr>
          <w:rFonts w:ascii="B Traffic" w:hAnsi="B Traffic" w:cs="B Traffic" w:eastAsia="B Traffic"/>
          <w:b/>
          <w:i w:val="0"/>
          <w:sz w:val="28"/>
          <w:szCs w:val="28"/>
        </w:rPr>
        <w:t>۲. اهمیت و ضرورت پژوهش</w:t>
      </w:r>
    </w:p>
    <w:p>
      <w:pPr>
        <w:pStyle w:val="TH-Body"/>
        <w:widowControl/>
        <w:bidi w:val="1"/>
        <w:spacing w:before="0" w:after="120" w:line="288" w:lineRule="auto"/>
        <w:jc w:val="both"/>
      </w:pPr>
      <w:r>
        <w:rPr>
          <w:rFonts w:ascii="B Lotus" w:hAnsi="B Lotus" w:cs="B Lotus" w:eastAsia="B Lotus"/>
          <w:b w:val="0"/>
          <w:i w:val="0"/>
          <w:sz w:val="28"/>
          <w:szCs w:val="28"/>
        </w:rPr>
        <w:t>ضرورت این پژوهش از پنج جهت قابل توضیح است. جهت نخست، ضرورت نظری و بنیادین است: مسئله نسبت میان «وفای به عهد» و «اختیار حاکم اسلامی» از مسائل مادر در فقه سیاسی است که پاسخ آن، تکلیف بسیاری از فروع دیگر ـ از قراردادهای داخلی دولت اسلامی تا موضع‌گیری در برابر نهادهای بین‌المللی و از احکام صلح و جنگ تا قواعد تعامل با نظام سلطه ـ را روشن می‌کند. با این حال، چنان‌که در پیشینه پژوهش خواهد آمد، این مسئله به‌صورت مستقل و مسئله‌محور، کمتر بررسی شده و ادبیات موجود غالباً یا ناظر به اثبات اصل وفای به عهد است یا ناظر به اثبات اصل ولایت؛ و پیوند این دو در قالب مسئله‌ای مشخص، حلقه مفقوده ادبیات موجود است.</w:t>
      </w:r>
    </w:p>
    <w:p>
      <w:pPr>
        <w:pStyle w:val="TH-Body"/>
        <w:widowControl/>
        <w:bidi w:val="1"/>
        <w:spacing w:before="0" w:after="120" w:line="288" w:lineRule="auto"/>
        <w:jc w:val="both"/>
      </w:pPr>
      <w:r>
        <w:rPr>
          <w:rFonts w:ascii="B Lotus" w:hAnsi="B Lotus" w:cs="B Lotus" w:eastAsia="B Lotus"/>
          <w:b w:val="0"/>
          <w:i w:val="0"/>
          <w:sz w:val="28"/>
          <w:szCs w:val="28"/>
        </w:rPr>
        <w:t>جهت دوم، ضرورت عملی و حکومتی است: جمهوری اسلامی ایران در چهار دهه گذشته بارها ـ در پرونده‌های گوناگون از قراردادهای تجاری و تسلیحاتی تا تعهدات هسته‌ای و کنوانسیون‌های بین‌المللی ـ در برابر این پرسش عملی قرار گرفته که آیا می‌تواند از اجرای تعهدات بین‌المللی خود عدول کند و اگر آری، با چه مبنا، با چه آیینی و با چه هزینه‌ای. فقدان چارچوبی فقهی ـ حقوقی و مدون برای چنین تصمیم‌هایی، هم تصمیم‌گیری را دشوار و سلیقه‌ای می‌کند و هم هزینه‌های حقوقی و سیاسی آن را افزایش می‌دهد. این رساله می‌کوشد با ارائه «ضوابط» مشخص و قابل استناد، به عقلانی‌تر، شرعی‌تر و کم‌هزینه‌تر شدن چنین تصمیم‌هایی کمک کند.</w:t>
      </w:r>
    </w:p>
    <w:p>
      <w:pPr>
        <w:pStyle w:val="TH-Body"/>
        <w:widowControl/>
        <w:bidi w:val="1"/>
        <w:spacing w:before="0" w:after="120" w:line="288" w:lineRule="auto"/>
        <w:jc w:val="both"/>
      </w:pPr>
      <w:r>
        <w:rPr>
          <w:rFonts w:ascii="B Lotus" w:hAnsi="B Lotus" w:cs="B Lotus" w:eastAsia="B Lotus"/>
          <w:b w:val="0"/>
          <w:i w:val="0"/>
          <w:sz w:val="28"/>
          <w:szCs w:val="28"/>
        </w:rPr>
        <w:t>جهت سوم، ضرورت حقوقی ـ بین‌المللی است: جمهوری اسلامی ایران به‌عنوان عضوی از جامعه بین‌المللی، ناگزیر از تعامل با نظام حقوق بین‌الملل است و هر تصمیمی در حوزه معاهدات، آثاری در این نظام دارد. فهم دقیق این آثار ـ انتساب، نقض، اسباب رافع و جبران ـ پیش‌شرط هر تصمیم عاقلانه است. رساله حاضر با تفکیک سه سطح «جواز فقهی»، «مشروعیت داخلی» و «مسئولیت بین‌المللی»، نقشه راهی برای این فهم ارائه می‌کند.</w:t>
      </w:r>
    </w:p>
    <w:p>
      <w:pPr>
        <w:pStyle w:val="TH-Body"/>
        <w:widowControl/>
        <w:bidi w:val="1"/>
        <w:spacing w:before="0" w:after="120" w:line="288" w:lineRule="auto"/>
        <w:jc w:val="both"/>
      </w:pPr>
      <w:r>
        <w:rPr>
          <w:rFonts w:ascii="B Lotus" w:hAnsi="B Lotus" w:cs="B Lotus" w:eastAsia="B Lotus"/>
          <w:b w:val="0"/>
          <w:i w:val="0"/>
          <w:sz w:val="28"/>
          <w:szCs w:val="28"/>
        </w:rPr>
        <w:t>جهت چهارم، ضرورت گفتمانی و فرهنگی است: در فضای عمومی و حتی در برخی نوشته‌های شبه‌علمی، دو تصویر افراطی از مسئله ارائه می‌شود؛ از یک‌سو تصویر «جواز مطلق نقض عهد به نام مصلحت» که چهره‌ای خشن و بی‌قاعده از فقه اسلامی ترسیم می‌کند، و از سوی دیگر تصویر «ممنوعیت مطلق هرگونه عدول از تعهد» که فقه را به نظامی خشک و ناکارآمد در اداره حکومت بدل می‌سازد. هر دو تصویر، هم با ادله فقهی ناسازگار است و هم با واقعیات حقوق بین‌الملل. تبیین علمیِ میانه‌رویِ ضابطه‌مندِ فقه امامیه در این مسئله، خدمتی به گفتمان علمی کشور و چهره جهانی اسلام است.</w:t>
      </w:r>
    </w:p>
    <w:p>
      <w:pPr>
        <w:pStyle w:val="TH-Body"/>
        <w:widowControl/>
        <w:bidi w:val="1"/>
        <w:spacing w:before="0" w:after="120" w:line="288" w:lineRule="auto"/>
        <w:jc w:val="both"/>
      </w:pPr>
      <w:r>
        <w:rPr>
          <w:rFonts w:ascii="B Lotus" w:hAnsi="B Lotus" w:cs="B Lotus" w:eastAsia="B Lotus"/>
          <w:b w:val="0"/>
          <w:i w:val="0"/>
          <w:sz w:val="28"/>
          <w:szCs w:val="28"/>
        </w:rPr>
        <w:t>جهت پنجم، ضرورت آموزشی است: دانش‌پژوهان فقه سیاسی و حقوق بین‌الملل، به متنی نیاز دارند که مسئله‌ای میان‌رشته‌ای را با روش اجتهادی و با رعایت موازین هر دو حوزه بررسی کرده باشد. این رساله می‌کوشد نمونه‌ای از چنین پژوهش میان‌رشته‌ایِ روشمند باشد و راه را برای آثار بعدی بگشاید.</w:t>
      </w:r>
    </w:p>
    <w:p>
      <w:pPr>
        <w:pStyle w:val="TH-Band"/>
        <w:widowControl/>
        <w:bidi w:val="1"/>
        <w:spacing w:before="200" w:after="120" w:line="288" w:lineRule="auto"/>
        <w:jc w:val="right"/>
      </w:pPr>
      <w:r>
        <w:rPr>
          <w:rFonts w:ascii="B Traffic" w:hAnsi="B Traffic" w:cs="B Traffic" w:eastAsia="B Traffic"/>
          <w:b/>
          <w:i w:val="0"/>
          <w:sz w:val="28"/>
          <w:szCs w:val="28"/>
        </w:rPr>
        <w:t>۳. سؤال اصلی</w:t>
      </w:r>
    </w:p>
    <w:p>
      <w:pPr>
        <w:pStyle w:val="TH-Body"/>
        <w:widowControl/>
        <w:bidi w:val="1"/>
        <w:spacing w:before="0" w:after="120" w:line="288" w:lineRule="auto"/>
        <w:jc w:val="both"/>
      </w:pPr>
      <w:r>
        <w:rPr>
          <w:rFonts w:ascii="B Lotus" w:hAnsi="B Lotus" w:cs="B Lotus" w:eastAsia="B Lotus"/>
          <w:b w:val="0"/>
          <w:i w:val="0"/>
          <w:sz w:val="28"/>
          <w:szCs w:val="28"/>
        </w:rPr>
        <w:t>قلمرو و ضوابط اختیارات ولی فقیه در تعلیق یا نقض یک‌جانبه معاهدات بین‌المللی چیست؟</w:t>
      </w:r>
    </w:p>
    <w:p>
      <w:pPr>
        <w:pStyle w:val="TH-Band"/>
        <w:widowControl/>
        <w:bidi w:val="1"/>
        <w:spacing w:before="200" w:after="120" w:line="288" w:lineRule="auto"/>
        <w:jc w:val="right"/>
      </w:pPr>
      <w:r>
        <w:rPr>
          <w:rFonts w:ascii="B Traffic" w:hAnsi="B Traffic" w:cs="B Traffic" w:eastAsia="B Traffic"/>
          <w:b/>
          <w:i w:val="0"/>
          <w:sz w:val="28"/>
          <w:szCs w:val="28"/>
        </w:rPr>
        <w:t>۴. سؤالات فرعی</w:t>
      </w:r>
    </w:p>
    <w:p>
      <w:pPr>
        <w:pStyle w:val="TH-Body"/>
        <w:widowControl/>
        <w:bidi w:val="1"/>
        <w:spacing w:before="0" w:after="120" w:line="288" w:lineRule="auto"/>
        <w:jc w:val="both"/>
      </w:pPr>
      <w:r>
        <w:rPr>
          <w:rFonts w:ascii="B Lotus" w:hAnsi="B Lotus" w:cs="B Lotus" w:eastAsia="B Lotus"/>
          <w:b w:val="0"/>
          <w:i w:val="0"/>
          <w:sz w:val="28"/>
          <w:szCs w:val="28"/>
        </w:rPr>
        <w:t>سؤال فرعی اول: تصمیم ولی فقیه مبنی بر تعلیق یا نقض یک‌جانبه معاهدات بین‌المللی چه آثاری بر مسئولیت بین‌المللی دولت جمهوری اسلامی ایران دارد؟</w:t>
      </w:r>
    </w:p>
    <w:p>
      <w:pPr>
        <w:pStyle w:val="TH-Body"/>
        <w:widowControl/>
        <w:bidi w:val="1"/>
        <w:spacing w:before="0" w:after="120" w:line="288" w:lineRule="auto"/>
        <w:jc w:val="both"/>
      </w:pPr>
      <w:r>
        <w:rPr>
          <w:rFonts w:ascii="B Lotus" w:hAnsi="B Lotus" w:cs="B Lotus" w:eastAsia="B Lotus"/>
          <w:b w:val="0"/>
          <w:i w:val="0"/>
          <w:sz w:val="28"/>
          <w:szCs w:val="28"/>
        </w:rPr>
        <w:t>سؤال فرعی دوم: مصلحت نظام تا چه اندازه می‌تواند مجوز عدول از تعهدات بین‌المللی باشد و ضوابط فقهی آن کدام است؟</w:t>
      </w:r>
    </w:p>
    <w:p>
      <w:pPr>
        <w:pStyle w:val="TH-Band"/>
        <w:widowControl/>
        <w:bidi w:val="1"/>
        <w:spacing w:before="200" w:after="120" w:line="288" w:lineRule="auto"/>
        <w:jc w:val="right"/>
      </w:pPr>
      <w:r>
        <w:rPr>
          <w:rFonts w:ascii="B Traffic" w:hAnsi="B Traffic" w:cs="B Traffic" w:eastAsia="B Traffic"/>
          <w:b/>
          <w:i w:val="0"/>
          <w:sz w:val="28"/>
          <w:szCs w:val="28"/>
        </w:rPr>
        <w:t>۵. پیشینه مسئله</w:t>
      </w:r>
    </w:p>
    <w:p>
      <w:pPr>
        <w:pStyle w:val="TH-Body"/>
        <w:widowControl/>
        <w:bidi w:val="1"/>
        <w:spacing w:before="0" w:after="120" w:line="288" w:lineRule="auto"/>
        <w:jc w:val="both"/>
      </w:pPr>
      <w:r>
        <w:rPr>
          <w:rFonts w:ascii="B Lotus" w:hAnsi="B Lotus" w:cs="B Lotus" w:eastAsia="B Lotus"/>
          <w:b w:val="0"/>
          <w:i w:val="0"/>
          <w:sz w:val="28"/>
          <w:szCs w:val="28"/>
        </w:rPr>
        <w:t>پیشینه مسئله ـ به معنای سابقه طرح اصل مسئله و مؤلفه‌های آن در منابع دینی و فقهی ـ بسیار کهن و چندلایه است. نخستین لایه، سیره عملی پیامبر اکرم (صلی‌الله‌علیه‌وآله) است؛ به‌ویژه صلح حدیبیه (سال ششم هجری) که در آن، پیامبر (ص) با وجود شرایط دشوار و اعتراض برخی اصحاب، به مفاد پیمان ـ از جمله بازگرداندن پناهندگان ـ پایبند ماند و این پایبندی را تکلیفی الهی دانست؛ و میثاق مدینه (صحیفه مدینه) که نخستین سند حکومتی ـ پیمانی دولت نبوی با قبایل و طوایف مدینه، از جمله یهود، به شمار می‌آید و الگویی از پیمان‌سپاری حکومتی در اسلام است. دومین لایه، عهدنامه مالک اشتر (نامه ۵۳ نهج‌البلاغه) است که در آن، امیرالمؤمنین (علیه‌السلام) وفای به عهد را حتی در برابر دشمن، فریضه‌ای الهی می‌شمارد که هیچ عذری در برابر آن پذیرفته نیست، و در عین حال، حاکم را به حزم، احتیاط و مصلحت‌سنجی نیز فرمان می‌دهد. سومین لایه، ابواب «عهد»، «امان»، «صلح»، «هدنه» و «ذمه» در کتب فقهی متقدم و متأخر است؛ از مبسوط شیخ طوسی و شرائع‌الاسلام محقق حلی تا جواهرالکلام صاحب جواهر، که در آن‌ها احکام پیمان با غیرمسلمانان، شرایط جواز و لزوم آن، و اختیار امام در فسخ هدنه به‌مصلحت بررسی شده است. چهارمین لایه، مباحث اصولی و قواعد فقهی مرتبط است: قاعده «المسلمون عند شروطهم» در مکاسب شیخ انصاری و مصباح‌الفقاهه، قواعد لاضرر و لاحرج، قاعده نفی سبیل، و قاعده تزاحم و اهم و مهم در کتب اصولی از فرائدالاصول تا کفایة‌الاصول. پنجمین لایه، ادبیات ولایت فقیه در دوران معاصر است؛ از تنبیه‌الامه میرزای نائینی تا کتاب‌البیع و ولایت فقیه امام خمینی (رحمة‌الله‌علیه) که در آن‌ها، گستره اختیارات حاکم اسلامی در عصر غیبت و نسبت احکام حکومتی با احکام اولیه و ثانویه تبیین شده است.</w:t>
      </w:r>
      <w:r>
        <w:rPr>
          <w:rFonts w:ascii="B Lotus" w:hAnsi="B Lotus" w:cs="B Lotus" w:eastAsia="B Lotus"/>
          <w:b w:val="0"/>
          <w:i w:val="0"/>
          <w:sz w:val="28"/>
          <w:szCs w:val="28"/>
          <w:vertAlign w:val="superscript"/>
        </w:rPr>
        <w:footnoteReference w:id="3"/>
      </w:r>
    </w:p>
    <w:p>
      <w:pPr>
        <w:pStyle w:val="TH-Band"/>
        <w:widowControl/>
        <w:bidi w:val="1"/>
        <w:spacing w:before="200" w:after="120" w:line="288" w:lineRule="auto"/>
        <w:jc w:val="right"/>
      </w:pPr>
      <w:r>
        <w:rPr>
          <w:rFonts w:ascii="B Traffic" w:hAnsi="B Traffic" w:cs="B Traffic" w:eastAsia="B Traffic"/>
          <w:b/>
          <w:i w:val="0"/>
          <w:sz w:val="28"/>
          <w:szCs w:val="28"/>
        </w:rPr>
        <w:t>۶. پیشینه پژوهش</w:t>
      </w:r>
    </w:p>
    <w:p>
      <w:pPr>
        <w:pStyle w:val="TH-Body"/>
        <w:widowControl/>
        <w:bidi w:val="1"/>
        <w:spacing w:before="0" w:after="120" w:line="288" w:lineRule="auto"/>
        <w:jc w:val="both"/>
      </w:pPr>
      <w:r>
        <w:rPr>
          <w:rFonts w:ascii="B Lotus" w:hAnsi="B Lotus" w:cs="B Lotus" w:eastAsia="B Lotus"/>
          <w:b w:val="0"/>
          <w:i w:val="0"/>
          <w:sz w:val="28"/>
          <w:szCs w:val="28"/>
        </w:rPr>
        <w:t>پیشینه پژوهش ـ به معنای آثار مستقلی که به مسئله یا مسائل نزدیک به آن پرداخته‌اند ـ در حد جست‌وجوهای انجام‌شده برای این رساله، شامل موارد زیر است:</w:t>
      </w:r>
    </w:p>
    <w:p>
      <w:pPr>
        <w:pStyle w:val="TH-Body"/>
        <w:widowControl/>
        <w:bidi w:val="1"/>
        <w:spacing w:before="0" w:after="120" w:line="288" w:lineRule="auto"/>
        <w:jc w:val="both"/>
      </w:pPr>
      <w:r>
        <w:rPr>
          <w:rFonts w:ascii="B Lotus" w:hAnsi="B Lotus" w:cs="B Lotus" w:eastAsia="B Lotus"/>
          <w:b w:val="0"/>
          <w:i w:val="0"/>
          <w:sz w:val="28"/>
          <w:szCs w:val="28"/>
        </w:rPr>
        <w:t>یکم. مقاله «قراردادهای بین‌المللی در اسلام» که در پرتال جامع علوم انسانی نمایه شده است.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مسئله این مقاله، بررسی مشروعیت و شرایط قراردادهای بین‌المللی دولت اسلامی است و در آن به آیات صلح، شرایط موضوع قرارداد، سیره معصومان و آرای مذاهب استناد شده است. روش آن، توصیفی ـ استنادی و نتیجه آن، اثبات مشروعیت مشروط قراردادهای بین‌المللی است. این اثر از جهت مبانی، به پژوهش حاضر نزدیک است، اما مسئله آن «انعقاد» قرارداد است نه «تعلیق یا نقض» آن، و به نقش ولی فقیه در مرحله پساانعقاد و به آثار حقوق بین‌المللی نپرداخته است.</w:t>
      </w:r>
    </w:p>
    <w:p>
      <w:pPr>
        <w:pStyle w:val="TH-Body"/>
        <w:widowControl/>
        <w:bidi w:val="1"/>
        <w:spacing w:before="0" w:after="120" w:line="288" w:lineRule="auto"/>
        <w:jc w:val="both"/>
      </w:pPr>
      <w:r>
        <w:rPr>
          <w:rFonts w:ascii="B Lotus" w:hAnsi="B Lotus" w:cs="B Lotus" w:eastAsia="B Lotus"/>
          <w:b w:val="0"/>
          <w:i w:val="0"/>
          <w:sz w:val="28"/>
          <w:szCs w:val="28"/>
        </w:rPr>
        <w:t>دوم. مقاله «حق شرط در معاهدات بین‌المللی» منتشرشده در پایگاه اطلاع‌رسانی حوزه.</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این مقاله با استناد به آیه «اوفوا بالعقود» و عهدنامه مالک اشتر، اصل وفای به عهد را تبیین کرده و سپس به مسئله حق شرط در هنگام پذیرش معاهده پرداخته است. نقطه اشتراک آن با پژوهش حاضر، تبیین مبنای وفای به عهد و استناد به عهدنامه مالک اشتر است؛ اما مسئله آن (حق شرط در هنگام پذیرش) با مسئله این رساله (عدول پس از پذیرش) متفاوت است و به اختیار ولی فقیه و مسئولیت بین‌المللی ورود نکرده است.</w:t>
      </w:r>
    </w:p>
    <w:p>
      <w:pPr>
        <w:pStyle w:val="TH-Body"/>
        <w:widowControl/>
        <w:bidi w:val="1"/>
        <w:spacing w:before="0" w:after="120" w:line="288" w:lineRule="auto"/>
        <w:jc w:val="both"/>
      </w:pPr>
      <w:r>
        <w:rPr>
          <w:rFonts w:ascii="B Lotus" w:hAnsi="B Lotus" w:cs="B Lotus" w:eastAsia="B Lotus"/>
          <w:b w:val="0"/>
          <w:i w:val="0"/>
          <w:sz w:val="28"/>
          <w:szCs w:val="28"/>
        </w:rPr>
        <w:t>سوم. دو مقاله «ولایت مطلقه فقیه در قانون اساسی» و «مفهوم ولایت مطلقه فقیه در قانون اساسی جمهوری اسلامی ایران» در پایگاه اطلاع‌رسانی حوزه.</w:t>
      </w:r>
      <w:r>
        <w:rPr>
          <w:rFonts w:ascii="B Lotus" w:hAnsi="B Lotus" w:cs="B Lotus" w:eastAsia="B Lotus"/>
          <w:b w:val="0"/>
          <w:i w:val="0"/>
          <w:sz w:val="28"/>
          <w:szCs w:val="28"/>
          <w:vertAlign w:val="superscript"/>
        </w:rPr>
        <w:footnoteReference w:id="6"/>
      </w:r>
      <w:r>
        <w:rPr>
          <w:rFonts w:ascii="B Lotus" w:hAnsi="B Lotus" w:cs="B Lotus" w:eastAsia="B Lotus"/>
          <w:b w:val="0"/>
          <w:i w:val="0"/>
          <w:sz w:val="28"/>
          <w:szCs w:val="28"/>
        </w:rPr>
        <w:t xml:space="preserve"> این دو اثر به اختلاف‌نظر درباره حصر یا عدم حصر اختیارات رهبری در یازده بند اصل ۱۱۰ قانون اساسی پرداخته‌اند و از این جهت، مستقیماً با یکی از گره‌های پژوهش حاضر (تحلیل اصل ۱۱۰) مرتبط‌اند و در فصل پنجم مورد نقد و استفاده قرار می‌گیرند؛ اما هیچ‌یک مسئله معاهدات بین‌المللی و تعلیق و نقض آن را بررسی نکرده‌اند.</w:t>
      </w:r>
    </w:p>
    <w:p>
      <w:pPr>
        <w:pStyle w:val="TH-Body"/>
        <w:widowControl/>
        <w:bidi w:val="1"/>
        <w:spacing w:before="0" w:after="120" w:line="288" w:lineRule="auto"/>
        <w:jc w:val="both"/>
      </w:pPr>
      <w:r>
        <w:rPr>
          <w:rFonts w:ascii="B Lotus" w:hAnsi="B Lotus" w:cs="B Lotus" w:eastAsia="B Lotus"/>
          <w:b w:val="0"/>
          <w:i w:val="0"/>
          <w:sz w:val="28"/>
          <w:szCs w:val="28"/>
        </w:rPr>
        <w:t>چهارم. مقاله «نقد و بررسی تفسیر شورای نگهبان از اصل ۷۷ و ۱۲۵ قانون اساسی» منتشرشده در پایگاه کانون سردفتران و دفتریاران.</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این اثر به تفسیر شورای نگهبان از اصول ناظر به تصویب و امضای معاهدات پرداخته و از جهت حقوق اساسی، با بخش چهارم فصل پنجم این رساله مرتبط است؛ اما مسئله آن، تفسیر مرجع تصویب است نه اختیار ولی فقیه در تعلیق و نقض.</w:t>
      </w:r>
    </w:p>
    <w:p>
      <w:pPr>
        <w:pStyle w:val="TH-Body"/>
        <w:widowControl/>
        <w:bidi w:val="1"/>
        <w:spacing w:before="0" w:after="120" w:line="288" w:lineRule="auto"/>
        <w:jc w:val="both"/>
      </w:pPr>
      <w:r>
        <w:rPr>
          <w:rFonts w:ascii="B Lotus" w:hAnsi="B Lotus" w:cs="B Lotus" w:eastAsia="B Lotus"/>
          <w:b w:val="0"/>
          <w:i w:val="0"/>
          <w:sz w:val="28"/>
          <w:szCs w:val="28"/>
        </w:rPr>
        <w:t>پنجم. مدخل «وفای به عهد در نهج‌البلاغه» در دانشنامه امامت‌پدیا.</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مدخل، جنبه دانشنامه‌ای و گردآوری دارد و به تحلیل فقهی ـ حقوقی مسئله وارد نشده است؛ هرچند در گردآوری مواد مربوط به وفای به عهد در نهج‌البلاغه سودمند است.</w:t>
      </w:r>
    </w:p>
    <w:p>
      <w:pPr>
        <w:pStyle w:val="TH-Body"/>
        <w:widowControl/>
        <w:bidi w:val="1"/>
        <w:spacing w:before="0" w:after="120" w:line="288" w:lineRule="auto"/>
        <w:jc w:val="both"/>
      </w:pPr>
      <w:r>
        <w:rPr>
          <w:rFonts w:ascii="B Lotus" w:hAnsi="B Lotus" w:cs="B Lotus" w:eastAsia="B Lotus"/>
          <w:b w:val="0"/>
          <w:i w:val="0"/>
          <w:sz w:val="28"/>
          <w:szCs w:val="28"/>
        </w:rPr>
        <w:t>ششم. کتب مرجع در حوزه‌های مرتبط، از جمله «فقه سیاسی» استاد عباسعلی عمید زنجانی، «حقوق اساسی و نهادهای سیاسی» دکتر سیدابوالفضل قاضی شریعت‌پناهی، «حقوق اساسی جمهوری اسلامی ایران» دکتر سیدمحمد هاشمی، و «حقوق بین‌الملل عمومی» دکتر محمدرضا ضیایی بیگدلی.</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هر یک از این آثار، بخشی از مسئله (مبانی فقه سیاسی، نظام حقوق اساسی، یا قواعد حقوق معاهدات) را پوشش می‌دهند، اما هیچ‌یک مسئله خاص این رساله ـ یعنی قلمرو اختیار ولی فقیه در تعلیق و نقض یک‌جانبه ـ را به‌صورت مستقل و مسئله‌محور بررسی نکرده‌اند.</w:t>
      </w:r>
    </w:p>
    <w:p>
      <w:pPr>
        <w:pStyle w:val="TH-Band"/>
        <w:widowControl/>
        <w:bidi w:val="1"/>
        <w:spacing w:before="200" w:after="120" w:line="288" w:lineRule="auto"/>
        <w:jc w:val="right"/>
      </w:pPr>
      <w:r>
        <w:rPr>
          <w:rFonts w:ascii="B Traffic" w:hAnsi="B Traffic" w:cs="B Traffic" w:eastAsia="B Traffic"/>
          <w:b/>
          <w:i w:val="0"/>
          <w:sz w:val="28"/>
          <w:szCs w:val="28"/>
        </w:rPr>
        <w:t>۷. نقد اشتراک و افتراق تحقیقات قبلی</w:t>
      </w:r>
    </w:p>
    <w:p>
      <w:pPr>
        <w:pStyle w:val="TH-Body"/>
        <w:widowControl/>
        <w:bidi w:val="1"/>
        <w:spacing w:before="0" w:after="120" w:line="288" w:lineRule="auto"/>
        <w:jc w:val="both"/>
      </w:pPr>
      <w:r>
        <w:rPr>
          <w:rFonts w:ascii="B Lotus" w:hAnsi="B Lotus" w:cs="B Lotus" w:eastAsia="B Lotus"/>
          <w:b w:val="0"/>
          <w:i w:val="0"/>
          <w:sz w:val="28"/>
          <w:szCs w:val="28"/>
        </w:rPr>
        <w:t>نقطه اشتراک همه آثار پیشین با پژوهش حاضر، در «مبانی» و «مواد» است: اصل وفای به عهد، سیره معصومان، عهدنامه مالک اشتر، و کلیات ولایت فقیه و حقوق اساسی. اما نقطه افتراق بنیادین، در «مسئله» و «روش» است: هیچ‌یک از آثار یادشده، پرسش خاص این رساله را ـ یعنی نسبت‌سنجی میان وجوب وفا و اختیار حاکم در مرحله تعلیق و نقض یک‌جانبه، با تفکیک سه سطح جواز فقهی، مشروعیت داخلی و مسئولیت بین‌المللی ـ در کانون توجه قرار نداده‌اند. به بیان دیگر، ادبیات موجود یا «وفامحور» است (آثار دسته اول، دوم و پنجم) یا «ولایت‌محور» است (آثار دسته سوم) یا «تصویب‌محور» است (اثر دسته چهارم)؛ و حلقه مفقوده، پژوهشی «مسئله‌محور» است که این قطب‌ها را در قالب مسئله‌ای مشخص ـ با روش اجتهادی، تحلیل اصولی، و تطبیق حقوقی ـ به یکدیگر پیوند زند. پژوهش حاضر می‌کوشد همین حلقه مفقوده را پر کند. افزون بر این، حتی در آثار نزدیک (مانند دسته سوم)، روش غالب، توصیفی ـ تحلیلیِ حقوقی است، در حالی که روش این رساله، استنباطی ـ اجتهادی با حضور فعال نویسنده در نقد اقوال و استخراج ضوابط است. نگارنده در عین حال تصریح می‌کند که بررسی پیشینه، محدود به جست‌وجوهای انجام‌شده بوده و تکمیل آن با جست‌وجوی کتابخانه‌ای در پایگاه‌هایی مانند نورمگز، پرتال علوم انسانی، ایرانداک، سیویلیکا و کتابخانه پژوهشگاه حوزه و دانشگاه، کاری شایسته و مکمل است.</w:t>
      </w:r>
    </w:p>
    <w:p>
      <w:pPr>
        <w:pStyle w:val="TH-Band"/>
        <w:widowControl/>
        <w:bidi w:val="1"/>
        <w:spacing w:before="200" w:after="120" w:line="288" w:lineRule="auto"/>
        <w:jc w:val="right"/>
      </w:pPr>
      <w:r>
        <w:rPr>
          <w:rFonts w:ascii="B Traffic" w:hAnsi="B Traffic" w:cs="B Traffic" w:eastAsia="B Traffic"/>
          <w:b/>
          <w:i w:val="0"/>
          <w:sz w:val="28"/>
          <w:szCs w:val="28"/>
        </w:rPr>
        <w:t>۸. فرضیه پژوهش</w:t>
      </w:r>
    </w:p>
    <w:p>
      <w:pPr>
        <w:pStyle w:val="TH-Body"/>
        <w:widowControl/>
        <w:bidi w:val="1"/>
        <w:spacing w:before="0" w:after="120" w:line="288" w:lineRule="auto"/>
        <w:jc w:val="both"/>
      </w:pPr>
      <w:r>
        <w:rPr>
          <w:rFonts w:ascii="B Lotus" w:hAnsi="B Lotus" w:cs="B Lotus" w:eastAsia="B Lotus"/>
          <w:b w:val="0"/>
          <w:i w:val="0"/>
          <w:sz w:val="28"/>
          <w:szCs w:val="28"/>
        </w:rPr>
        <w:t>فرضیه اصلی این پژوهش ـ که در سطح سه، جنبه راهنما دارد نه ادعای اثبات‌شده پیشین ـ چنین است: اختیار ولی فقیه در تعلیق یا نقض یک‌جانبه معاهدات بین‌المللی، اختیاری «مقید و مشروط» است نه مطلق؛ مبنای آن، تزاحم میان وجوب وفای به عهد و مصالح اهم نظام اسلامی است؛ صورت‌بندی فقهی آن از سنخ «حکم حکومتی» است؛ و جواز فقهی آن، رافع «مسئولیت بین‌المللی» دولت جمهوری اسلامی ایران نیست. به بیان فشرده‌تر: تعلیقِ موقتِ مصلحت‌سنجیده، در فرض تزاحم واقعی و با رعایت ضوابط، جایز است؛ اما نقضِ دائم و بی‌ضابطه، با ادله وجوب وفا ناسازگار است؛ و در هر دو صورت، آثار حقوق بین‌المللی تصمیم بر عهده دولت باقی می‌ماند.</w:t>
      </w:r>
    </w:p>
    <w:p>
      <w:pPr>
        <w:pStyle w:val="TH-Body"/>
        <w:widowControl/>
        <w:bidi w:val="1"/>
        <w:spacing w:before="0" w:after="120" w:line="288" w:lineRule="auto"/>
        <w:jc w:val="both"/>
      </w:pPr>
      <w:r>
        <w:rPr>
          <w:rFonts w:ascii="B Lotus" w:hAnsi="B Lotus" w:cs="B Lotus" w:eastAsia="B Lotus"/>
          <w:b w:val="0"/>
          <w:i w:val="0"/>
          <w:sz w:val="28"/>
          <w:szCs w:val="28"/>
        </w:rPr>
        <w:t>فرضیه‌های فرعی نیز چنین‌اند: (الف) رابطه ادله وجوب وفا با ادله اختیار حاکم، از نوع تزاحم است نه تعارض. (ب) مصلحت مجوز عدول، تنها مصلحت واقعی و اهم است نه هر مصلحتی. (ج) تصمیم ولی فقیه در سطح بین‌المللی به دولت منتسب می‌شود و توجیهات داخلی در آن سطح پذیرفته نیست. (د) قانون اساسی، کف اختیارات رهبری است نه سقف آن، اما حرکت از کف به سقف، مقید به ضوابط شرعی است.</w:t>
      </w:r>
    </w:p>
    <w:p>
      <w:pPr>
        <w:pStyle w:val="TH-Band"/>
        <w:widowControl/>
        <w:bidi w:val="1"/>
        <w:spacing w:before="200" w:after="120" w:line="288" w:lineRule="auto"/>
        <w:jc w:val="right"/>
      </w:pPr>
      <w:r>
        <w:rPr>
          <w:rFonts w:ascii="B Traffic" w:hAnsi="B Traffic" w:cs="B Traffic" w:eastAsia="B Traffic"/>
          <w:b/>
          <w:i w:val="0"/>
          <w:sz w:val="28"/>
          <w:szCs w:val="28"/>
        </w:rPr>
        <w:t>۹. پیش‌فرض‌ها</w:t>
      </w:r>
    </w:p>
    <w:p>
      <w:pPr>
        <w:pStyle w:val="TH-Body"/>
        <w:widowControl/>
        <w:bidi w:val="1"/>
        <w:spacing w:before="0" w:after="120" w:line="288" w:lineRule="auto"/>
        <w:jc w:val="both"/>
      </w:pPr>
      <w:r>
        <w:rPr>
          <w:rFonts w:ascii="B Lotus" w:hAnsi="B Lotus" w:cs="B Lotus" w:eastAsia="B Lotus"/>
          <w:b w:val="0"/>
          <w:i w:val="0"/>
          <w:sz w:val="28"/>
          <w:szCs w:val="28"/>
        </w:rPr>
        <w:t>این پژوهش بر پیش‌فرض‌هایی استوار است که خود، مسئله آن نیستند، اما فهم نتایج آن بدون توجه به آن‌ها ممکن نیست:</w:t>
      </w:r>
    </w:p>
    <w:p>
      <w:pPr>
        <w:pStyle w:val="TH-Body"/>
        <w:widowControl/>
        <w:bidi w:val="1"/>
        <w:spacing w:before="0" w:after="120" w:line="288" w:lineRule="auto"/>
        <w:jc w:val="both"/>
      </w:pPr>
      <w:r>
        <w:rPr>
          <w:rFonts w:ascii="B Lotus" w:hAnsi="B Lotus" w:cs="B Lotus" w:eastAsia="B Lotus"/>
          <w:b w:val="0"/>
          <w:i w:val="0"/>
          <w:sz w:val="28"/>
          <w:szCs w:val="28"/>
        </w:rPr>
        <w:t>پیش‌فرض یکم: اصل ولایت فقیه جامع‌الشرایط در عصر غیبت، به‌عنوان مبنای مشروعیت نظام جمهوری اسلامی ایران پذیرفته شده است. اثبات یا نفی این اصل، خارج از قلمرو این رساله است و مباحث آن به آثار کلامی و فقهی مربوط ارجاع می‌شود.</w:t>
      </w:r>
    </w:p>
    <w:p>
      <w:pPr>
        <w:pStyle w:val="TH-Body"/>
        <w:widowControl/>
        <w:bidi w:val="1"/>
        <w:spacing w:before="0" w:after="120" w:line="288" w:lineRule="auto"/>
        <w:jc w:val="both"/>
      </w:pPr>
      <w:r>
        <w:rPr>
          <w:rFonts w:ascii="B Lotus" w:hAnsi="B Lotus" w:cs="B Lotus" w:eastAsia="B Lotus"/>
          <w:b w:val="0"/>
          <w:i w:val="0"/>
          <w:sz w:val="28"/>
          <w:szCs w:val="28"/>
        </w:rPr>
        <w:t>پیش‌فرض دوم: جمهوری اسلامی ایران، دولتی مستقل و تابع حقوق بین‌الملل است و تصمیم‌های مقامات آن، از جمله ولی فقیه، در سطح بین‌المللی به دولت ایران منتسب می‌شود. این پیش‌فرض، خود در فصل پنجم (بحث انتساب) مستدل خواهد شد.</w:t>
      </w:r>
    </w:p>
    <w:p>
      <w:pPr>
        <w:pStyle w:val="TH-Body"/>
        <w:widowControl/>
        <w:bidi w:val="1"/>
        <w:spacing w:before="0" w:after="120" w:line="288" w:lineRule="auto"/>
        <w:jc w:val="both"/>
      </w:pPr>
      <w:r>
        <w:rPr>
          <w:rFonts w:ascii="B Lotus" w:hAnsi="B Lotus" w:cs="B Lotus" w:eastAsia="B Lotus"/>
          <w:b w:val="0"/>
          <w:i w:val="0"/>
          <w:sz w:val="28"/>
          <w:szCs w:val="28"/>
        </w:rPr>
        <w:t>پیش‌فرض سوم: کنوانسیون وین حقوق معاهدات (۱۹۶۹ میلادی)، مهم‌ترین سند مدون حقوق معاهدات است و بسیاری از قواعد آن ـ چنان‌که رویه دیوان بین‌المللی دادگستری نشان می‌دهد ـ جنبه عرفی یافته و برای همه دولت‌ها لازم‌الاجرا است؛ هرچند جمهوری اسلامی ایران این کنوانسیون را امضا کرده ولی به تصویب مجلس شورای اسلامی نرسانده است.</w:t>
      </w:r>
      <w:r>
        <w:rPr>
          <w:rFonts w:ascii="B Lotus" w:hAnsi="B Lotus" w:cs="B Lotus" w:eastAsia="B Lotus"/>
          <w:b w:val="0"/>
          <w:i w:val="0"/>
          <w:sz w:val="28"/>
          <w:szCs w:val="28"/>
          <w:vertAlign w:val="superscript"/>
        </w:rPr>
        <w:footnoteReference w:id="10"/>
      </w:r>
    </w:p>
    <w:p>
      <w:pPr>
        <w:pStyle w:val="TH-Body"/>
        <w:widowControl/>
        <w:bidi w:val="1"/>
        <w:spacing w:before="0" w:after="120" w:line="288" w:lineRule="auto"/>
        <w:jc w:val="both"/>
      </w:pPr>
      <w:r>
        <w:rPr>
          <w:rFonts w:ascii="B Lotus" w:hAnsi="B Lotus" w:cs="B Lotus" w:eastAsia="B Lotus"/>
          <w:b w:val="0"/>
          <w:i w:val="0"/>
          <w:sz w:val="28"/>
          <w:szCs w:val="28"/>
        </w:rPr>
        <w:t>پیش‌فرض چهارم: در مقام استنباط فقهی، حجیت ظواهر قرآن کریم، سنت معتبر، و قواعد اصولی پذیرفته‌شده در فقه امامیه (از جمله قواعد تزاحم، لاضرر، لاحرج، نفی سبیل و بنای عقلا) مفروض است.</w:t>
      </w:r>
    </w:p>
    <w:p>
      <w:pPr>
        <w:pStyle w:val="TH-Body"/>
        <w:widowControl/>
        <w:bidi w:val="1"/>
        <w:spacing w:before="0" w:after="120" w:line="288" w:lineRule="auto"/>
        <w:jc w:val="both"/>
      </w:pPr>
      <w:r>
        <w:rPr>
          <w:rFonts w:ascii="B Lotus" w:hAnsi="B Lotus" w:cs="B Lotus" w:eastAsia="B Lotus"/>
          <w:b w:val="0"/>
          <w:i w:val="0"/>
          <w:sz w:val="28"/>
          <w:szCs w:val="28"/>
        </w:rPr>
        <w:t>پیش‌فرض پنجم: «مصلحت» در منطق این پژوهش، به معنای مصلحت موهوم یا سلیقه شخصی یا منفعت جناحی نیست، بلکه به معنای مصلحت واقعی نظام اسلامی است که باید احراز شود و مرجع تشخیص نهایی آن، ولی فقیه است.</w:t>
      </w:r>
    </w:p>
    <w:p>
      <w:pPr>
        <w:pStyle w:val="TH-Body"/>
        <w:widowControl/>
        <w:bidi w:val="1"/>
        <w:spacing w:before="0" w:after="120" w:line="288" w:lineRule="auto"/>
        <w:jc w:val="both"/>
      </w:pPr>
      <w:r>
        <w:rPr>
          <w:rFonts w:ascii="B Lotus" w:hAnsi="B Lotus" w:cs="B Lotus" w:eastAsia="B Lotus"/>
          <w:b w:val="0"/>
          <w:i w:val="0"/>
          <w:sz w:val="28"/>
          <w:szCs w:val="28"/>
        </w:rPr>
        <w:t>پیش‌فرض ششم: احکام این رساله، ناظر به «مقام ثبوت» (چارچوب نظری) است و تطبیق آن بر «مصادیق خاص» (مقام اثبات)، نیازمند بررسی جداگانه هر مصداق با همه خصوصیات آن است و از عهده این رساله بیرون است.</w:t>
      </w:r>
    </w:p>
    <w:p>
      <w:pPr>
        <w:pStyle w:val="TH-Band"/>
        <w:widowControl/>
        <w:bidi w:val="1"/>
        <w:spacing w:before="200" w:after="120" w:line="288" w:lineRule="auto"/>
        <w:jc w:val="right"/>
      </w:pPr>
      <w:r>
        <w:rPr>
          <w:rFonts w:ascii="B Traffic" w:hAnsi="B Traffic" w:cs="B Traffic" w:eastAsia="B Traffic"/>
          <w:b/>
          <w:i w:val="0"/>
          <w:sz w:val="28"/>
          <w:szCs w:val="28"/>
        </w:rPr>
        <w:t>۱۰. اهداف پژوهش</w:t>
      </w:r>
    </w:p>
    <w:p>
      <w:pPr>
        <w:pStyle w:val="TH-Body"/>
        <w:widowControl/>
        <w:bidi w:val="1"/>
        <w:spacing w:before="0" w:after="120" w:line="288" w:lineRule="auto"/>
        <w:jc w:val="both"/>
      </w:pPr>
      <w:r>
        <w:rPr>
          <w:rFonts w:ascii="B Lotus" w:hAnsi="B Lotus" w:cs="B Lotus" w:eastAsia="B Lotus"/>
          <w:b w:val="0"/>
          <w:i w:val="0"/>
          <w:sz w:val="28"/>
          <w:szCs w:val="28"/>
        </w:rPr>
        <w:t>هدف اصلی پژوهش، پاسخ مستدل و مستند به سؤال اصلی؛ یعنی تعیین قلمرو و ضوابط اختیارات ولی فقیه در تعلیق و نقض یک‌جانبه معاهدات بین‌المللی است. اهداف فرعی عبارت‌اند از: (۱) تبیین آثار تصمیم ولی فقیه بر مسئولیت بین‌المللی دولت جمهوری اسلامی ایران؛ (۲) تبیین نسبت مصلحت نظام با عدول از تعهدات بین‌المللی و استخراج ضوابط فقهی آن؛ (۳) تنقیح مفاهیم کلیدی (تعلیق، نقض، حکم حکومتی، مصلحت) و رفع خلط‌های رایج؛ (۴) نقد و تکمیل ادبیات موجود در پیوندگاه فقه سیاسی و حقوق بین‌الملل؛ و (۵) ارائه چارچوبی کاربردی و قابل استناد برای تصمیم‌گیران در مواجهه با تعارض ظاهری میان تعهدات بین‌المللی و مصالح نظام.</w:t>
      </w:r>
    </w:p>
    <w:p>
      <w:pPr>
        <w:pStyle w:val="TH-Band"/>
        <w:widowControl/>
        <w:bidi w:val="1"/>
        <w:spacing w:before="200" w:after="120" w:line="288" w:lineRule="auto"/>
        <w:jc w:val="right"/>
      </w:pPr>
      <w:r>
        <w:rPr>
          <w:rFonts w:ascii="B Traffic" w:hAnsi="B Traffic" w:cs="B Traffic" w:eastAsia="B Traffic"/>
          <w:b/>
          <w:i w:val="0"/>
          <w:sz w:val="28"/>
          <w:szCs w:val="28"/>
        </w:rPr>
        <w:t>۱۱. روش پژوهش</w:t>
      </w:r>
    </w:p>
    <w:p>
      <w:pPr>
        <w:pStyle w:val="TH-Body"/>
        <w:widowControl/>
        <w:bidi w:val="1"/>
        <w:spacing w:before="0" w:after="120" w:line="288" w:lineRule="auto"/>
        <w:jc w:val="both"/>
      </w:pPr>
      <w:r>
        <w:rPr>
          <w:rFonts w:ascii="B Lotus" w:hAnsi="B Lotus" w:cs="B Lotus" w:eastAsia="B Lotus"/>
          <w:b w:val="0"/>
          <w:i w:val="0"/>
          <w:sz w:val="28"/>
          <w:szCs w:val="28"/>
        </w:rPr>
        <w:t>روش گردآوری اطلاعات در این پژوهش، «کتابخانه‌ای» و ابزار آن «فیش‌برداری» است؛ که روش غالب پژوهش‌های حوزوی به شمار می‌آید. منابع، شامل کتب لغت، تفاسیر، جوامع روایی، کتب فقهی و اصولی، آثار فقه سیاسی، کتب حقوق اساسی و حقوق بین‌الملل، اسناد رسمی (قانون اساسی، کنوانسیون‌ها، طرح‌ها و آرا) و مقالات علمی است. روش تحلیل، «توصیفی ـ استنباطی ـ تطبیقی» است: در بخش فقهی، ادله (آیات، روایات، اقوال فقها و قواعد اصولی) نخست توصیف، سپس دلالت آن‌ها تحلیل، آنگاه نقد و سرانجام نتیجه استنباط می‌شود؛ و در بخش حقوقی، قواعد حقوق بین‌الملل و حقوق اساسی توصیف و بر مسئله تطبیق می‌شوند؛ و در سراسر پژوهش، یافته‌های دو حوزه با یکدیگر مقایسه و جمع‌بندی می‌شوند. در بررسی اقوال اختلافی، مراحل معرفی دقیق قول، یافتن منبع اصلی، استخراج دلیل، تحلیل دلالت، بیان اشکال، بررسی پاسخ، نقد منصفانه و جمع‌بندی رعایت شده است. همچنین در سراسر پژوهش، اصل امانت در نقل رعایت شده و در مواردی که دسترسی به منبع اصلی ممکن نبوده یا نشانی دقیق نیازمند تطبیق با نسخه چاپی بوده، به‌صراحت یادآوری شده است؛ زیرا از نظر نگارنده، صداقت علمی، مقدم بر کمال ظاهری ارجاعات است.</w:t>
      </w:r>
    </w:p>
    <w:p>
      <w:pPr>
        <w:pStyle w:val="TH-Band"/>
        <w:widowControl/>
        <w:bidi w:val="1"/>
        <w:spacing w:before="200" w:after="120" w:line="288" w:lineRule="auto"/>
        <w:jc w:val="right"/>
      </w:pPr>
      <w:r>
        <w:rPr>
          <w:rFonts w:ascii="B Traffic" w:hAnsi="B Traffic" w:cs="B Traffic" w:eastAsia="B Traffic"/>
          <w:b/>
          <w:i w:val="0"/>
          <w:sz w:val="28"/>
          <w:szCs w:val="28"/>
        </w:rPr>
        <w:t>۱۲. محدودیت‌های پژوهش</w:t>
      </w:r>
    </w:p>
    <w:p>
      <w:pPr>
        <w:pStyle w:val="TH-Body"/>
        <w:widowControl/>
        <w:bidi w:val="1"/>
        <w:spacing w:before="0" w:after="120" w:line="288" w:lineRule="auto"/>
        <w:jc w:val="both"/>
      </w:pPr>
      <w:r>
        <w:rPr>
          <w:rFonts w:ascii="B Lotus" w:hAnsi="B Lotus" w:cs="B Lotus" w:eastAsia="B Lotus"/>
          <w:b w:val="0"/>
          <w:i w:val="0"/>
          <w:sz w:val="28"/>
          <w:szCs w:val="28"/>
        </w:rPr>
        <w:t>این پژوهش با چند محدودیت روبه‌رو بوده است که آگاهی از آن‌ها در ارزیابی نتایج ضرورت دارد: نخست، محدودیت دسترسی به برخی منابع دست اول که در موارد معدود، ناگزیر به ارجاع کلی (ر.ک) بسنده شده و نشانی دقیق به تطبیق با نسخه چاپی موکول گردیده است. دوم، محدودیت ذاتی پژوهش‌های میان‌رشته‌ای فقه و حقوق بین‌الملل که اقتضا می‌کند خواننده با مبانی هر دو حوزه آشنا باشد و نویسنده نیز در هر دو حوزه به یک اندازه متخصص نیست. سوم، محرمانه‌بودن بخش مهمی از اسناد مذاکرات و تصمیم‌های معاهداتی دولت‌ها که امکان تحلیل اسنادیِ تفصیلیِ رویه عملی را محدود می‌کند و این رساله را ناگزیر به تحلیل هنجاری (و نه توصیف تاریخیِ فراگیر) کرده است. چهارم، نوپدیدبودن مسئله که پیشینه مستقلی برای نقد و محاکه باقی نگذاشته و پژوهش را ناگزیر به بناکردن چارچوب از پایه کرده است. پنجم، محدودیت زمانی و حجمی رساله سطح سه که مانع از ورود تفصیلی به برخی مباحث پیرامونی (مانند تطبیق گسترده با فقه عامه یا تحلیل موردیِ همه پرونده‌های ایران) شده است؛ اموری که در پیشنهادهای پایانی، به پژوهش‌های آینده واگذار شده است.</w:t>
      </w:r>
    </w:p>
    <w:p>
      <w:pPr>
        <w:pStyle w:val="TH-Band"/>
        <w:widowControl/>
        <w:bidi w:val="1"/>
        <w:spacing w:before="200" w:after="120" w:line="288" w:lineRule="auto"/>
        <w:jc w:val="right"/>
      </w:pPr>
      <w:r>
        <w:rPr>
          <w:rFonts w:ascii="B Traffic" w:hAnsi="B Traffic" w:cs="B Traffic" w:eastAsia="B Traffic"/>
          <w:b/>
          <w:i w:val="0"/>
          <w:sz w:val="28"/>
          <w:szCs w:val="28"/>
        </w:rPr>
        <w:t>۱۳. توضیح ساختار پژوهش</w:t>
      </w:r>
    </w:p>
    <w:p>
      <w:pPr>
        <w:pStyle w:val="TH-Body"/>
        <w:widowControl/>
        <w:bidi w:val="1"/>
        <w:spacing w:before="0" w:after="120" w:line="288" w:lineRule="auto"/>
        <w:jc w:val="both"/>
      </w:pPr>
      <w:r>
        <w:rPr>
          <w:rFonts w:ascii="B Lotus" w:hAnsi="B Lotus" w:cs="B Lotus" w:eastAsia="B Lotus"/>
          <w:b w:val="0"/>
          <w:i w:val="0"/>
          <w:sz w:val="28"/>
          <w:szCs w:val="28"/>
        </w:rPr>
        <w:t>ساختار این رساله بر اساس منطق سؤال‌ها و با رعایت شیوه‌نامه حوزوی (بخش ← فصل ← گفتار ← بند) طراحی شده است. پس از مقدمه حاضر، «بخش اول: مفاهیم و کلیات» شامل فصل اول (مفهوم‌شناسی: مفاهیم حقوق بین‌الملل، مفاهیم فقهی و مفاهیم حقوق اساسی) و فصل دوم (کلیات و مبانی: اصل وفا، نظام تعلیق و خاتمه در کنوانسیون وین، جایگاه معاهدات در قانون اساسی، و تاریخچه مسئله) می‌آید که پیش‌نیاز فهم مسئله‌اند. سپس «بخش دوم: تحلیل فقهی مسئله» شامل فصل سوم (ادله وجوب وفای به عهد: قرآنی، روایی، سیره، عقلی و فقهی) و فصل چهارم (ادله اختیار حاکم، رابطه‌سنجی ادله، و ضوابط هشت‌گانه عدول) می‌آید که پاسخ‌گوی سؤال اصلی و سؤال فرعی دوم است. آنگاه «بخش سوم: تحلیل حقوقی مسئله» شامل فصل پنجم (انتساب، نقض و تفکیک سه‌گانه، اسباب رافع و آثار، راهبردهای کاهش مسئولیت، و جایگاه حقوق اساسی تصمیم) می‌آید که پاسخ‌گوی سؤال فرعی اول است. ترتیب فصل‌ها آگاهانه چنین تنظیم شده است: چون پاسخ به پرسش از «آثار» تصمیم (مسئولیت بین‌المللی) منطقاً متوقف بر فهم «حکم» و «مبنای» آن (جواز فقهی و مصلحت) است، فصل ناظر به سؤال فرعی اول پس از فصول ناظر به سؤال اصلی و سؤال فرعی دوم قرار گرفته است. در پایان، «نتیجه‌گیری» شامل پاسخ فشرده سؤال‌ها، یافته‌ها، نوآوری‌ها و پیشنهادها، سپس «پیوست‌ها» (شرح مواد مورد استناد، واژه‌نامه، و فهرست آیات و روایات)، و سرانجام «فهرست منابع» آمده است.</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اول: مفاهیم و کلیات</w:t>
      </w:r>
    </w:p>
    <w:p>
      <w:r>
        <w:br w:type="page"/>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اول: مفهوم‌شناسی</w:t>
      </w:r>
    </w:p>
    <w:p>
      <w:pPr>
        <w:pStyle w:val="TH-Body"/>
        <w:widowControl/>
        <w:bidi w:val="1"/>
        <w:spacing w:before="0" w:after="120" w:line="288" w:lineRule="auto"/>
        <w:jc w:val="both"/>
      </w:pPr>
      <w:r>
        <w:rPr>
          <w:rFonts w:ascii="B Lotus" w:hAnsi="B Lotus" w:cs="B Lotus" w:eastAsia="B Lotus"/>
          <w:b w:val="0"/>
          <w:i w:val="0"/>
          <w:sz w:val="28"/>
          <w:szCs w:val="28"/>
        </w:rPr>
        <w:t>پیش از ورود به تحلیل مسئله، ناگزیر باید مفاهیم کلیدی پژوهش تنقیح شود؛ زیرا بخش مهمی از اختلاف‌نظرها و خلط‌های رایج در این حوزه، ریشه در ابهام مفهومی دارد: خلط «تعلیق» با «نقض»، خلط «خاتمه» با «خروج»، خلط «فسخ» فقهی با نهادهای حقوق معاهدات، خلط «حکم حکومتی» با «حکم ثانوی»، خلط «مصلحت» با «ضرورت» و «اضطرار»، و خلط «تعهد دولت» با «تعهد حاکم». تجربه نشان می‌دهد که بسیاری از مناقشات به‌ظاهر استدلالی، با تنقیح دقیق مفاهیم، یا حل می‌شوند یا به نزاع لفظی فروکاسته می‌شوند. ازاین‌رو، این فصل در سه گفتار، نخست مفاهیم حقوق بین‌الملل، سپس مفاهیم فقهی، و آنگاه مفاهیم حقوق اساسی را ـ به‌اندازه نیاز مسئله و با رعایت اختصار هدفمند ـ تعریف و تنقیح می‌کند. تفصیل مباحث استدلالی هر مفهوم به فصول بعد موکول است و در این‌جا تنها به «چیستی» مفاهیم پرداخته می‌شود نه «چرایی» احکام آن‌ها.</w:t>
      </w:r>
    </w:p>
    <w:p>
      <w:pPr>
        <w:pStyle w:val="TH-Goftar"/>
        <w:widowControl/>
        <w:bidi w:val="1"/>
        <w:spacing w:before="200" w:after="120" w:line="288" w:lineRule="auto"/>
        <w:jc w:val="right"/>
      </w:pPr>
      <w:r>
        <w:rPr>
          <w:rFonts w:ascii="B Titr" w:hAnsi="B Titr" w:cs="B Titr" w:eastAsia="B Titr"/>
          <w:b/>
          <w:i w:val="0"/>
          <w:sz w:val="32"/>
          <w:szCs w:val="32"/>
        </w:rPr>
        <w:t>گفتار اول: مفاهیم حقوق بین‌الملل</w:t>
      </w:r>
    </w:p>
    <w:p>
      <w:pPr>
        <w:pStyle w:val="TH-Band"/>
        <w:widowControl/>
        <w:bidi w:val="1"/>
        <w:spacing w:before="200" w:after="120" w:line="288" w:lineRule="auto"/>
        <w:jc w:val="right"/>
      </w:pPr>
      <w:r>
        <w:rPr>
          <w:rFonts w:ascii="B Traffic" w:hAnsi="B Traffic" w:cs="B Traffic" w:eastAsia="B Traffic"/>
          <w:b/>
          <w:i w:val="0"/>
          <w:sz w:val="28"/>
          <w:szCs w:val="28"/>
        </w:rPr>
        <w:t>بند اول: معاهده و مفاهیم پیرامونی آن</w:t>
      </w:r>
    </w:p>
    <w:p>
      <w:pPr>
        <w:pStyle w:val="TH-Body"/>
        <w:widowControl/>
        <w:bidi w:val="1"/>
        <w:spacing w:before="0" w:after="120" w:line="288" w:lineRule="auto"/>
        <w:jc w:val="both"/>
      </w:pPr>
      <w:r>
        <w:rPr>
          <w:rFonts w:ascii="B Lotus" w:hAnsi="B Lotus" w:cs="B Lotus" w:eastAsia="B Lotus"/>
          <w:b w:val="0"/>
          <w:i w:val="0"/>
          <w:sz w:val="28"/>
          <w:szCs w:val="28"/>
        </w:rPr>
        <w:t>«معاهده» در حقوق بین‌الملل، معنایی فنی و دقیق دارد که با معنای عرفی و لغوی آن متفاوت است. در لغت عرب، «معاهده» از ریشه «عهد» به معنای پیمان و التزام متقابل است؛ جوهری در صحاح، «عهد» را به معنای «امان و ذمه و میثاق» دانسته و ابن‌منظور در لسان‌العرب، معانی گوناگون آن ـ از وصیت و دیدار تا پیمان استوار ـ را گرد آورده است؛ و راغب اصفهانی در مفردات، «عهد» را «التزامی که با سوگند یا پیمان استوار شده» معنا کرده است.</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اما در اصطلاح حقوق بین‌الملل، معاهده تعریف فنی خاصی دارد: به موجب ماده ۲ کنوانسیون وین حقوق معاهدات، معاهده عبارت است از «توافق بین‌المللی منعقدشده میان دولت‌ها به‌صورت کتبی که تابع حقوق بین‌الملل باشد، خواه در سند واحد و خواه در دو یا چند سند مرتبط، و با هر عنوانی که باشد».</w:t>
      </w:r>
      <w:r>
        <w:rPr>
          <w:rFonts w:ascii="B Lotus" w:hAnsi="B Lotus" w:cs="B Lotus" w:eastAsia="B Lotus"/>
          <w:b w:val="0"/>
          <w:i w:val="0"/>
          <w:sz w:val="28"/>
          <w:szCs w:val="28"/>
          <w:vertAlign w:val="superscript"/>
        </w:rPr>
        <w:footnoteReference w:id="12"/>
      </w:r>
    </w:p>
    <w:p>
      <w:pPr>
        <w:pStyle w:val="TH-Body"/>
        <w:widowControl/>
        <w:bidi w:val="1"/>
        <w:spacing w:before="0" w:after="120" w:line="288" w:lineRule="auto"/>
        <w:jc w:val="both"/>
      </w:pPr>
      <w:r>
        <w:rPr>
          <w:rFonts w:ascii="B Lotus" w:hAnsi="B Lotus" w:cs="B Lotus" w:eastAsia="B Lotus"/>
          <w:b w:val="0"/>
          <w:i w:val="0"/>
          <w:sz w:val="28"/>
          <w:szCs w:val="28"/>
        </w:rPr>
        <w:t>از این تعریف پنج عنصر به دست می‌آید که هر یک در تنقیح مسئله نقش دارد: عنصر یکم، «بین‌المللی‌بودن»: طرف‌های معاهده باید تابعان حقوق بین‌الملل (در درجه اول، دولت‌ها و در درجه دوم، سازمان‌های بین‌المللی) باشند؛ ازاین‌رو، قرارداد دولت با یک شرکت خارجی (قرارداد دولتی) یا قرارداد میان اشخاص خصوصی، معاهده به معنای فنی نیست و تابع حقوق بین‌الملل خصوصی یا حقوق داخلی است. عنصر دوم، «کتبی‌بودن»: توافق‌های شفاهی ـ هرچند ممکن است آثار حقوقی دیگری (مانند تعهد یک‌جانبه) داشته باشند ـ از شمول کنوانسیون وین بیرون‌اند. عنصر سوم، «قصد ایجاد رابطه حقوقی»: طرف‌ها باید خواسته باشند که رابطه‌ای «حقوقی» (الزام‌آور) ایجاد شود، نه صرفاً تفاهمی سیاسی یا اخلاقی؛ و همین عنصر است که «معاهده» را از «تفاهم‌نامه سیاسی» و «بیانیه مشترک» جدا می‌کند. عنصر چهارم، «وحدت یا تعدد سند»: معاهده ممکن است در یک سند واحد (مانند یک عهدنامه) یا در چند سند مرتبط (مانند مبادله یادداشت‌ها) منعقد شود و این تفاوت شکلی، در ماهیت آن اثری ندارد. عنصر پنجم، «بی‌اعتباری عنوان»: عنوان سند (عهدنامه، مقاوله‌نامه، موافقت‌نامه، قرارداد، پیمان، پروتکل، منشور و مانند آن) در ماهیت معاهده‌بودن آن تأثیری ندارد؛ چنان‌که اصل ۷۷ قانون اساسی نیز با ذکر چهار عنوان «عهدنامه، مقاوله‌نامه، قرارداد و موافقت‌نامه» همین منطق را پذیرفته است.</w:t>
      </w:r>
    </w:p>
    <w:p>
      <w:pPr>
        <w:pStyle w:val="TH-Body"/>
        <w:widowControl/>
        <w:bidi w:val="1"/>
        <w:spacing w:before="0" w:after="120" w:line="288" w:lineRule="auto"/>
        <w:jc w:val="both"/>
      </w:pPr>
      <w:r>
        <w:rPr>
          <w:rFonts w:ascii="B Lotus" w:hAnsi="B Lotus" w:cs="B Lotus" w:eastAsia="B Lotus"/>
          <w:b w:val="0"/>
          <w:i w:val="0"/>
          <w:sz w:val="28"/>
          <w:szCs w:val="28"/>
        </w:rPr>
        <w:t>در دکترین حقوق بین‌الملل نیز تعاریف گوناگونی از معاهده ارائه شده که همگی بر همین عناصر می‌چرخند: برخی بر «توافق اراده‌ها» تأکید کرده‌اند و برخی بر «ایجاد قاعده حقوقی»؛ اما قدر مشترک همه، همان عناصر پنج‌گانه بالا است. بنابراین، در این رساله هرجا از «معاهده» سخن می‌رود، مقصود، معنای عام فنی آن است که همه اسناد یادشده را در بر می‌گیرد، مگر آن‌که قرینه‌ای بر معنای خاص باشد.</w:t>
      </w:r>
    </w:p>
    <w:p>
      <w:pPr>
        <w:pStyle w:val="TH-Body"/>
        <w:widowControl/>
        <w:bidi w:val="1"/>
        <w:spacing w:before="0" w:after="120" w:line="288" w:lineRule="auto"/>
        <w:jc w:val="both"/>
      </w:pPr>
      <w:r>
        <w:rPr>
          <w:rFonts w:ascii="B Lotus" w:hAnsi="B Lotus" w:cs="B Lotus" w:eastAsia="B Lotus"/>
          <w:b w:val="0"/>
          <w:i w:val="0"/>
          <w:sz w:val="28"/>
          <w:szCs w:val="28"/>
        </w:rPr>
        <w:t>«توافق بین‌المللی» در ادبیات حقوقی، گاه مترادف معاهده و گاه اعم از آن به کار می‌رود؛ یعنی شامل تفاهم‌نامه‌های سیاسی و اسناد غیرالزام‌آور نیز می‌شود. دقت در این تمایز از آن جهت اهمیت دارد که برخی اسناد بین‌المللیِ دولت ایران ـ مانند برخی تفاهم‌نامه‌ها ـ ممکن است اساساً «معاهده» به معنای فنی نباشند و در نتیجه، از قلمرو مسئله این رساله (که ناظر به تعهدات الزام‌آور است) بیرون باشند. تشخیص معاهده‌بودن یا نبودن یک سند، خود نیازمند بررسی قصد اطراف، متن سند و اوضاع احوال انعقاد است و قاعده کلی آن است که در صورت تردید، باید به معیارهای ماده ۲ کنوانسیون وین بازگشت.</w:t>
      </w:r>
    </w:p>
    <w:p>
      <w:pPr>
        <w:pStyle w:val="TH-Body"/>
        <w:widowControl/>
        <w:bidi w:val="1"/>
        <w:spacing w:before="0" w:after="120" w:line="288" w:lineRule="auto"/>
        <w:jc w:val="both"/>
      </w:pPr>
      <w:r>
        <w:rPr>
          <w:rFonts w:ascii="B Lotus" w:hAnsi="B Lotus" w:cs="B Lotus" w:eastAsia="B Lotus"/>
          <w:b w:val="0"/>
          <w:i w:val="0"/>
          <w:sz w:val="28"/>
          <w:szCs w:val="28"/>
        </w:rPr>
        <w:t>اما «تعهد بین‌المللی»، نتیجه و ثمره معاهده است: هر معاهده، مجموعه‌ای از تعهدات (تکالیف به فعل یا ترک فعل) را برای اطراف خود ایجاد می‌کند. تمایز میان «معاهده» (به‌مثابه منبع و ظرف تعهد) و «تعهد» (به‌مثابه محتوا و مظروف آن) در تحلیل مسئولیت بین‌المللی اهمیت بنیادین دارد؛ زیرا آن‌چه نقض می‌شود، در واقع «تعهد» است و معاهده، ظرف آن به شمار می‌آید؛ چنان‌که ممکن است معاهده‌ای پابرجا بماند اما یک تعهد خاص از آن نقض شود، یا برعکس، معاهده‌ای خاتمه یابد اما برخی آثار تعهدات گذشته آن باقی بماند (ماده ۷۰ وین).</w:t>
      </w:r>
    </w:p>
    <w:p>
      <w:pPr>
        <w:pStyle w:val="TH-Body"/>
        <w:widowControl/>
        <w:bidi w:val="1"/>
        <w:spacing w:before="0" w:after="120" w:line="288" w:lineRule="auto"/>
        <w:jc w:val="both"/>
      </w:pPr>
      <w:r>
        <w:rPr>
          <w:rFonts w:ascii="B Lotus" w:hAnsi="B Lotus" w:cs="B Lotus" w:eastAsia="B Lotus"/>
          <w:b w:val="0"/>
          <w:i w:val="0"/>
          <w:sz w:val="28"/>
          <w:szCs w:val="28"/>
        </w:rPr>
        <w:t>سه مفهوم «انعقاد»، «تصویب» و «الحاق» نیز ناظر به مراحل شکل‌گیری التزام دولت‌اند و باید از یکدیگر تفکیک شوند: «انعقاد» به معنای عام، فرایند مذاکره، تنظیم متن و امضای آن است؛ «تصویب» (Ratification) به معنای اعلام رضایت نهایی و قطعی دولت به التزام در برابر معاهده است که در نظام حقوقی ایران، دو مرحله دارد: تصویب مجلس شورای اسلامی (اصل ۷۷) و امضای رئیس‌جمهور یا نماینده قانونی او (اصل ۱۲۵)؛ و «الحاق» (Accession) به معنای پیوستن دولتی به معاهده‌ای است که در مذاکرات آن شرکت نداشته و اکنون یکجا به آن می‌پیوندد. این سه مفهوم، مقدمه مسئله این رساله‌اند نه خود آن؛ زیرا مسئله رساله، ناظر به مرحله «پس از التزام» است؛ یعنی زمانی که دولت، به‌طور معتبر متعهد شده و اکنون پرسش از سرنوشت این تعهد در برابر اراده حاکم است.</w:t>
      </w:r>
    </w:p>
    <w:p>
      <w:pPr>
        <w:pStyle w:val="TH-Band"/>
        <w:widowControl/>
        <w:bidi w:val="1"/>
        <w:spacing w:before="200" w:after="120" w:line="288" w:lineRule="auto"/>
        <w:jc w:val="right"/>
      </w:pPr>
      <w:r>
        <w:rPr>
          <w:rFonts w:ascii="B Traffic" w:hAnsi="B Traffic" w:cs="B Traffic" w:eastAsia="B Traffic"/>
          <w:b/>
          <w:i w:val="0"/>
          <w:sz w:val="28"/>
          <w:szCs w:val="28"/>
        </w:rPr>
        <w:t>بند دوم: مفاهیم ناظر به سرنوشت معاهده</w:t>
      </w:r>
    </w:p>
    <w:p>
      <w:pPr>
        <w:pStyle w:val="TH-Body"/>
        <w:widowControl/>
        <w:bidi w:val="1"/>
        <w:spacing w:before="0" w:after="120" w:line="288" w:lineRule="auto"/>
        <w:jc w:val="both"/>
      </w:pPr>
      <w:r>
        <w:rPr>
          <w:rFonts w:ascii="B Lotus" w:hAnsi="B Lotus" w:cs="B Lotus" w:eastAsia="B Lotus"/>
          <w:b w:val="0"/>
          <w:i w:val="0"/>
          <w:sz w:val="28"/>
          <w:szCs w:val="28"/>
        </w:rPr>
        <w:t>مهم‌ترین بخش مفهوم‌شناسی این پژوهش، تفکیک مفاهیم ناظر به سرنوشت معاهده پس از لازم‌الاجرا شدن آن است. این مفاهیم هفت‌گانه، هر یک بار حقوقی خاص خود را دارند و خلط میان آن‌ها، تحلیل را به بیراهه می‌برد:</w:t>
      </w:r>
    </w:p>
    <w:p>
      <w:pPr>
        <w:pStyle w:val="TH-Body"/>
        <w:widowControl/>
        <w:bidi w:val="1"/>
        <w:spacing w:before="0" w:after="120" w:line="288" w:lineRule="auto"/>
        <w:jc w:val="both"/>
      </w:pPr>
      <w:r>
        <w:rPr>
          <w:rFonts w:ascii="B Lotus" w:hAnsi="B Lotus" w:cs="B Lotus" w:eastAsia="B Lotus"/>
          <w:b w:val="0"/>
          <w:i w:val="0"/>
          <w:sz w:val="28"/>
          <w:szCs w:val="28"/>
        </w:rPr>
        <w:t>یکم. «اجرا» (Performance): به معنای انجام تعهدات ناشی از معاهده با حسن نیت است. اصل بنیادین «وفای به عهد» (Pacta Sunt Servanda) در ماده ۲۶ کنوانسیون وین چنین صورت‌بندی شده است: هر معاهده لازم‌الاجرایی، اطراف خود را ملزم می‌کند و باید با حسن نیت اجرا شود.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 عنصر در این صورت‌بندی اهمیت دارد: نخست «الزام‌آوربودن» که معاهده را از وعده سیاسی و اخلاقی متمایز می‌کند، و دوم «حسن نیت» که شیوه اجرا را مقید می‌کند: اجرای صوری، اجرای همراه با حیله و سوءاستفاده، یا بهره‌برداری مغرضانه از ابهام متن، با حسن نیت ناسازگار است و خود نوعی نقض محسوب می‌شود. اجرا، وضعیت طبیعی و مطلوب معاهده است و همه مفاهیم دیگر، انحراف از این وضعیت طبیعی‌اند.</w:t>
      </w:r>
    </w:p>
    <w:p>
      <w:pPr>
        <w:pStyle w:val="TH-Body"/>
        <w:widowControl/>
        <w:bidi w:val="1"/>
        <w:spacing w:before="0" w:after="120" w:line="288" w:lineRule="auto"/>
        <w:jc w:val="both"/>
      </w:pPr>
      <w:r>
        <w:rPr>
          <w:rFonts w:ascii="B Lotus" w:hAnsi="B Lotus" w:cs="B Lotus" w:eastAsia="B Lotus"/>
          <w:b w:val="0"/>
          <w:i w:val="0"/>
          <w:sz w:val="28"/>
          <w:szCs w:val="28"/>
        </w:rPr>
        <w:t>دوم. «تعلیق» (Suspension): به معنای توقف «موقت» اجرای معاهده (به‌طور کلی یا جزئی) است، بی‌آن‌که به «اعتبار» آن خدشه‌ای وارد شود. معاهده معلق، همچنان معتبر و موجود است و با رفع سبب تعلیق، اجرای آن از سر گرفته می‌شود؛ درست مانند بیماری که به خواب مصنوعی رفته اما زنده است. کنوانسیون وین، تعلیق را در مواردی مانند توافق اطراف (مواد ۵۷ و ۵۸)، نقض اساسی از سوی طرف مقابل (ماده ۶۰) و عدم امکان موقت اجرا پذیرفته و آثار آن را در ماده ۷۲ بیان کرده است: در مدت تعلیق، اطراف از اجرای تعهدات متقابل معاف‌اند، اما روابط حقوقی ناشی از معاهده به‌طور کامل از بین نمی‌رود و اطراف باید از اقداماتی که مانع ازسرگیری اجراست، خودداری کنند.</w:t>
      </w:r>
      <w:r>
        <w:rPr>
          <w:rFonts w:ascii="B Lotus" w:hAnsi="B Lotus" w:cs="B Lotus" w:eastAsia="B Lotus"/>
          <w:b w:val="0"/>
          <w:i w:val="0"/>
          <w:sz w:val="28"/>
          <w:szCs w:val="28"/>
          <w:vertAlign w:val="superscript"/>
        </w:rPr>
        <w:footnoteReference w:id="14"/>
      </w:r>
    </w:p>
    <w:p>
      <w:pPr>
        <w:pStyle w:val="TH-Body"/>
        <w:widowControl/>
        <w:bidi w:val="1"/>
        <w:spacing w:before="0" w:after="120" w:line="288" w:lineRule="auto"/>
        <w:jc w:val="both"/>
      </w:pPr>
      <w:r>
        <w:rPr>
          <w:rFonts w:ascii="B Lotus" w:hAnsi="B Lotus" w:cs="B Lotus" w:eastAsia="B Lotus"/>
          <w:b w:val="0"/>
          <w:i w:val="0"/>
          <w:sz w:val="28"/>
          <w:szCs w:val="28"/>
        </w:rPr>
        <w:t>سوم. «نقض» (Breach/Violation): به معنای رفتار (فعل یا ترک فعل) مغایر با آن‌چه تعهد بین‌المللی ایجاب می‌کند. به تعبیر طرح مواد مسئولیت بین‌المللی دولت‌ها، «نقض تعهد بین‌المللی هنگامی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5"/>
      </w:r>
      <w:r>
        <w:rPr>
          <w:rFonts w:ascii="B Lotus" w:hAnsi="B Lotus" w:cs="B Lotus" w:eastAsia="B Lotus"/>
          <w:b w:val="0"/>
          <w:i w:val="0"/>
          <w:sz w:val="28"/>
          <w:szCs w:val="28"/>
        </w:rPr>
        <w:t xml:space="preserve"> نکته کلیدی ـ که بنیادِ تفکیک «جواز فقهی» از «مسئولیت بین‌المللی» در فصل پنجم خواهد بود ـ آن است که «نقض» در حقوق بین‌الملل، مفهومی «عینی» است: یعنی صرف عدم انطباق رفتار با تعهد، نقض به شمار می‌آید، هرچند دولتِ ناقض، برای رفتار خود توجیه شرعی، قانونی، اخلاقی یا سیاسی داشته باشد. انگیزه و مجوز داخلی، در «تحقق» نقض نقشی ندارد و حداکثر ممکن است در «رافع‌بودن» یا «تخفیف آثار» مؤثر باشد.</w:t>
      </w:r>
    </w:p>
    <w:p>
      <w:pPr>
        <w:pStyle w:val="TH-Body"/>
        <w:widowControl/>
        <w:bidi w:val="1"/>
        <w:spacing w:before="0" w:after="120" w:line="288" w:lineRule="auto"/>
        <w:jc w:val="both"/>
      </w:pPr>
      <w:r>
        <w:rPr>
          <w:rFonts w:ascii="B Lotus" w:hAnsi="B Lotus" w:cs="B Lotus" w:eastAsia="B Lotus"/>
          <w:b w:val="0"/>
          <w:i w:val="0"/>
          <w:sz w:val="28"/>
          <w:szCs w:val="28"/>
        </w:rPr>
        <w:t>چهارم. «خاتمه» (Termination): به معنای پایان‌دادن به «اعتبار» معاهده است؛ به‌گونه‌ای که پس از آن، دیگر هیچ تعهد اجرایی از آن معاهده باقی نمی‌ماند (با رعایت آثار گذشته و حقوق مکتسبه). خاتمه ممکن است با توافق اطراف (مواد ۵۴ و ۵۹)، بر اساس شرط مندرج در خود معاهده (ماده ۵۴)، یا به اسباب خاصی مانند نقض اساسی (ماده ۶۰)، عدم امکان اجرا (ماده ۶۱)، تغییر بنیادین اوضاع و احوال (ماده ۶۲) و تعارض با قاعده آمره جدید (ماده ۶۴) باشد. تفاوت بنیادین خاتمه با تعلیق در همین نکته است: تعلیق، «اجرا» را متوقف می‌کند اما «اعتبار» را نگه می‌دارد؛ خاتمه، «اعتبار» را از بین می‌برد.</w:t>
      </w:r>
    </w:p>
    <w:p>
      <w:pPr>
        <w:pStyle w:val="TH-Body"/>
        <w:widowControl/>
        <w:bidi w:val="1"/>
        <w:spacing w:before="0" w:after="120" w:line="288" w:lineRule="auto"/>
        <w:jc w:val="both"/>
      </w:pPr>
      <w:r>
        <w:rPr>
          <w:rFonts w:ascii="B Lotus" w:hAnsi="B Lotus" w:cs="B Lotus" w:eastAsia="B Lotus"/>
          <w:b w:val="0"/>
          <w:i w:val="0"/>
          <w:sz w:val="28"/>
          <w:szCs w:val="28"/>
        </w:rPr>
        <w:t>پنجم. «خروج» (Withdrawal/Denunciation): به معنای انصراف یک‌جانبه یک طرف از معاهده چندجانبه است؛ با این تفاوت مهم که خروج، اعتبار معاهده را برای سایر اطراف از بین نمی‌برد و تنها رابطه دولت خارج‌شونده با معاهده را قطع می‌کند. ماده ۵۶ کنوانسیون وین، خروج از معاهده‌ای را که شرطی درباره خاتمه یا خروج ندارد، تنها در شرایط محدودی (قصد ضمنی اطراف یا طبیعت معاهده) پذیرفته است. خروج، شایع‌ترین صورتِ عملیِ «عدول یک‌جانبه» در معاهدات چندجانبه است و ازاین‌رو، برای مسئله این رساله اهمیت ویژه دارد.</w:t>
      </w:r>
    </w:p>
    <w:p>
      <w:pPr>
        <w:pStyle w:val="TH-Body"/>
        <w:widowControl/>
        <w:bidi w:val="1"/>
        <w:spacing w:before="0" w:after="120" w:line="288" w:lineRule="auto"/>
        <w:jc w:val="both"/>
      </w:pPr>
      <w:r>
        <w:rPr>
          <w:rFonts w:ascii="B Lotus" w:hAnsi="B Lotus" w:cs="B Lotus" w:eastAsia="B Lotus"/>
          <w:b w:val="0"/>
          <w:i w:val="0"/>
          <w:sz w:val="28"/>
          <w:szCs w:val="28"/>
        </w:rPr>
        <w:t>ششم. «فسخ»: اصطلاحی فقهی و حقوق داخلی است که در ادبیات حقوق معاهدات، معادل دقیقی ندارد. در فقه، فسخ به معنای برهم‌زدن عقد لازم به سببی شرعی (مانند خیار مجلس، خیار عیب یا تخلف شرط) است و در حقوق مدنی نیز همین معنا را دارد. کاربرد این واژه درباره معاهدات بین‌المللی، مسامحه‌آمیز است و بهتر است به‌جای آن ـ بحسب مورد ـ از «خاتمه»، «تعلیق» یا «خروج» استفاده شود. با این حال، از آن‌جا که در ادبیات فارسیِ غیرتخصصی، «فسخ قرارداد بین‌المللی» زیاد به کار می‌رود، لازم بود معنای دقیق آن روشن شود تا خواننده بداند که هر «فسخ» ادعاشده‌ای باید نخست به یکی از نهادهای فنی حقوق معاهدات ترجمه شود و سپس حکم آن بررسی گردد.</w:t>
      </w:r>
    </w:p>
    <w:p>
      <w:pPr>
        <w:pStyle w:val="TH-Body"/>
        <w:widowControl/>
        <w:bidi w:val="1"/>
        <w:spacing w:before="0" w:after="120" w:line="288" w:lineRule="auto"/>
        <w:jc w:val="both"/>
      </w:pPr>
      <w:r>
        <w:rPr>
          <w:rFonts w:ascii="B Lotus" w:hAnsi="B Lotus" w:cs="B Lotus" w:eastAsia="B Lotus"/>
          <w:b w:val="0"/>
          <w:i w:val="0"/>
          <w:sz w:val="28"/>
          <w:szCs w:val="28"/>
        </w:rPr>
        <w:t>هفتم. «عدم اجرا» (Non-performance): مفهومی عام و چتری است که هم «تعلیق موجه»، هم «نقض»، هم «عدم اجرای موقت به سبب فورس‌ماژور»، و هم «خودداری واکنشی» را در بر می‌گیرد. به همین دلیل، این واژه به‌تنهایی بار حقوقی مشخصی ندارد و هرگاه به کار رود، باید روشن شود که عدم اجرا از کدام نوع است: موجه یا ناموجه، موقت یا دائم، کلی یا جزئی، اعلام‌شده یا پنهانی. یکی از خطاهای رایج در تحلیل‌های غیرتخصصی، همین است که هر «عدم اجرا»یی را «نقض» می‌شمارند، در حالی که عدم اجرای موجه (مانند تعلیق قانونی) اساساً نقض نیست.</w:t>
      </w:r>
    </w:p>
    <w:p>
      <w:pPr>
        <w:pStyle w:val="TH-Band"/>
        <w:widowControl/>
        <w:bidi w:val="1"/>
        <w:spacing w:before="200" w:after="120" w:line="288" w:lineRule="auto"/>
        <w:jc w:val="right"/>
      </w:pPr>
      <w:r>
        <w:rPr>
          <w:rFonts w:ascii="B Traffic" w:hAnsi="B Traffic" w:cs="B Traffic" w:eastAsia="B Traffic"/>
          <w:b/>
          <w:i w:val="0"/>
          <w:sz w:val="28"/>
          <w:szCs w:val="28"/>
        </w:rPr>
        <w:t>بند سوم: تفکیک تحلیلی مفاهیم سرنوشت‌ساز</w:t>
      </w:r>
    </w:p>
    <w:p>
      <w:pPr>
        <w:pStyle w:val="TH-Body"/>
        <w:widowControl/>
        <w:bidi w:val="1"/>
        <w:spacing w:before="0" w:after="120" w:line="288" w:lineRule="auto"/>
        <w:jc w:val="both"/>
      </w:pPr>
      <w:r>
        <w:rPr>
          <w:rFonts w:ascii="B Lotus" w:hAnsi="B Lotus" w:cs="B Lotus" w:eastAsia="B Lotus"/>
          <w:b w:val="0"/>
          <w:i w:val="0"/>
          <w:sz w:val="28"/>
          <w:szCs w:val="28"/>
        </w:rPr>
        <w:t>برای جلوگیری از هرگونه خلط، نسبت این مفاهیم با یکدیگر در قالب چند گزاره تحلیلی بیان می‌شود: گزاره یکم: «تعلیق» و «نقض» به‌هیچ‌وجه یکسان نیستند؛ تعلیق، نهادی حقوقی و غالباً موجه برای مدیریت موقت معاهده است، در حالی که نقض، وصف رفتار مغایر با تعهد است که ـ در صورت نبود سبب رافع ـ موجب مسئولیت بین‌المللی می‌شود. هر تصمیمی مبنی بر «تعلیق یک‌جانبه» باید با معیارهای حقوق بین‌الملل سنجیده شود تا معلوم گردد آیا «تعلیق موجه» است یا در واقع «نقض» به شمار می‌آید. گزاره دوم: «خاتمه» با «تعلیق» در اثر (زوال اعتبار در برابر بقای اعتبار) و با «نقض» در ماهیت (پایان‌دادن به اعتبار در برابر رفتار مغایر با تعهدِ معتبر) تفاوت دارد. گزاره سوم: «خروج» نوعی خاتمه نسبی (نسبت به یک طرف) است و احکام خاص خود را دارد. گزاره چهارم: «فسخ» اصطلاحی فقهی ـ داخلی است و باید به نهادهای فنی ترجمه شود. گزاره پنجم: «عدم اجرا» مفهومی عام است و تا نوع آن روشن نشود، حکمی بر آن بار نمی‌شود. این پنج گزاره، ستون فقرات تحلیل فصل‌های چهارم و پنجم است و در سراسر رساله مبنا قرار می‌گیرد.</w:t>
      </w:r>
    </w:p>
    <w:p>
      <w:pPr>
        <w:pStyle w:val="TH-Goftar"/>
        <w:widowControl/>
        <w:bidi w:val="1"/>
        <w:spacing w:before="200" w:after="120" w:line="288" w:lineRule="auto"/>
        <w:jc w:val="right"/>
      </w:pPr>
      <w:r>
        <w:rPr>
          <w:rFonts w:ascii="B Titr" w:hAnsi="B Titr" w:cs="B Titr" w:eastAsia="B Titr"/>
          <w:b/>
          <w:i w:val="0"/>
          <w:sz w:val="32"/>
          <w:szCs w:val="32"/>
        </w:rPr>
        <w:t>گفتار دوم: مفاهیم فقهی</w:t>
      </w:r>
    </w:p>
    <w:p>
      <w:pPr>
        <w:pStyle w:val="TH-Band"/>
        <w:widowControl/>
        <w:bidi w:val="1"/>
        <w:spacing w:before="200" w:after="120" w:line="288" w:lineRule="auto"/>
        <w:jc w:val="right"/>
      </w:pPr>
      <w:r>
        <w:rPr>
          <w:rFonts w:ascii="B Traffic" w:hAnsi="B Traffic" w:cs="B Traffic" w:eastAsia="B Traffic"/>
          <w:b/>
          <w:i w:val="0"/>
          <w:sz w:val="28"/>
          <w:szCs w:val="28"/>
        </w:rPr>
        <w:t>بند اول: عهد، عقد، شرط، ذمه، امان، صلح و هدنه در فقه</w:t>
      </w:r>
    </w:p>
    <w:p>
      <w:pPr>
        <w:pStyle w:val="TH-Body"/>
        <w:widowControl/>
        <w:bidi w:val="1"/>
        <w:spacing w:before="0" w:after="120" w:line="288" w:lineRule="auto"/>
        <w:jc w:val="both"/>
      </w:pPr>
      <w:r>
        <w:rPr>
          <w:rFonts w:ascii="B Lotus" w:hAnsi="B Lotus" w:cs="B Lotus" w:eastAsia="B Lotus"/>
          <w:b w:val="0"/>
          <w:i w:val="0"/>
          <w:sz w:val="28"/>
          <w:szCs w:val="28"/>
        </w:rPr>
        <w:t>در فقه امامیه، شبکه‌ای از واژگان، مفهوم التزام را پوشش می‌دهند که شناخت دقیق هر یک و نسبت آن‌ها با یکدیگر، برای مسئله این رساله ضروری است:</w:t>
      </w:r>
    </w:p>
    <w:p>
      <w:pPr>
        <w:pStyle w:val="TH-Body"/>
        <w:widowControl/>
        <w:bidi w:val="1"/>
        <w:spacing w:before="0" w:after="120" w:line="288" w:lineRule="auto"/>
        <w:jc w:val="both"/>
      </w:pPr>
      <w:r>
        <w:rPr>
          <w:rFonts w:ascii="B Lotus" w:hAnsi="B Lotus" w:cs="B Lotus" w:eastAsia="B Lotus"/>
          <w:b w:val="0"/>
          <w:i w:val="0"/>
          <w:sz w:val="28"/>
          <w:szCs w:val="28"/>
        </w:rPr>
        <w:t>«عهد» در لغت به معنای پیمان، امان، وصیت و دیدار است و در کاربرد فقهی، به معنای التزام و پیمان است، اعم از پیمان با خدا (مانند نذر و عهد اصطلاحی در ابواب یمین و نذر) و پیمان با مردم (از جمله پیمان‌های سیاسی دولت اسلامی). طریحی در مجمع‌البحرین، «عهد» را به «پیمان استوار» معنا کرده و فیومی در مصباح‌المنیر، ریشه آن را به معنای «نگه‌داری و مراعات» دانسته است.</w:t>
      </w:r>
      <w:r>
        <w:rPr>
          <w:rFonts w:ascii="B Lotus" w:hAnsi="B Lotus" w:cs="B Lotus" w:eastAsia="B Lotus"/>
          <w:b w:val="0"/>
          <w:i w:val="0"/>
          <w:sz w:val="28"/>
          <w:szCs w:val="28"/>
          <w:vertAlign w:val="superscript"/>
        </w:rPr>
        <w:footnoteReference w:id="16"/>
      </w:r>
    </w:p>
    <w:p>
      <w:pPr>
        <w:pStyle w:val="TH-Body"/>
        <w:widowControl/>
        <w:bidi w:val="1"/>
        <w:spacing w:before="0" w:after="120" w:line="288" w:lineRule="auto"/>
        <w:jc w:val="both"/>
      </w:pPr>
      <w:r>
        <w:rPr>
          <w:rFonts w:ascii="B Lotus" w:hAnsi="B Lotus" w:cs="B Lotus" w:eastAsia="B Lotus"/>
          <w:b w:val="0"/>
          <w:i w:val="0"/>
          <w:sz w:val="28"/>
          <w:szCs w:val="28"/>
        </w:rPr>
        <w:t>«عقد» در لغت به معنای گره‌زدن و استوارساختن است و در اصطلاح فقها، به معنای قرارداد و توافق الزام‌آور میان دو طرف است که اثر حقوقی خاصی (مانند انتقال مالکیت در بیع یا زوجیت در نکاح) بر آن بار می‌شود. نسبت عقد با عهد، نسبت عموم و خصوص من‌وجه است: هر عقدی، نوعی عهد (التزام) است، اما هر عهدی عقد به معنای فنی نیست؛ و از سوی دیگر، عهد اعم است و پیمان‌های سیاسی را نیز در بر می‌گیرد.</w:t>
      </w:r>
    </w:p>
    <w:p>
      <w:pPr>
        <w:pStyle w:val="TH-Body"/>
        <w:widowControl/>
        <w:bidi w:val="1"/>
        <w:spacing w:before="0" w:after="120" w:line="288" w:lineRule="auto"/>
        <w:jc w:val="both"/>
      </w:pPr>
      <w:r>
        <w:rPr>
          <w:rFonts w:ascii="B Lotus" w:hAnsi="B Lotus" w:cs="B Lotus" w:eastAsia="B Lotus"/>
          <w:b w:val="0"/>
          <w:i w:val="0"/>
          <w:sz w:val="28"/>
          <w:szCs w:val="28"/>
        </w:rPr>
        <w:t>«شرط» در لغت به معنای علامت و التزام، و در اصطلاح، به معنای التزامِ تبعی در ضمن عقد است؛ هرچند در کاربرد قرآنی و روایی (مانند «المسلمون عند شروطهم») معنایی اعم دارد و هرگونه التزام را در بر می‌گیرد. آیه شریفه «یَا أَیُّهَا الَّذِینَ آمَنُوا أَوْفُوا بِالْعُقُودِ» (مائده، ۱) با واژه عام «عقود»، همه انواع قراردادها ـ از جمله پیمان‌های سیاسی دولت اسلامی ـ را در بر می‌گیرد و فقها از همین عموم، برای اثبات لزوم وفای به پیمان‌های بین‌المللی نیز بهره برده‌اند.</w:t>
      </w:r>
    </w:p>
    <w:p>
      <w:pPr>
        <w:pStyle w:val="TH-Body"/>
        <w:widowControl/>
        <w:bidi w:val="1"/>
        <w:spacing w:before="0" w:after="120" w:line="288" w:lineRule="auto"/>
        <w:jc w:val="both"/>
      </w:pPr>
      <w:r>
        <w:rPr>
          <w:rFonts w:ascii="B Lotus" w:hAnsi="B Lotus" w:cs="B Lotus" w:eastAsia="B Lotus"/>
          <w:b w:val="0"/>
          <w:i w:val="0"/>
          <w:sz w:val="28"/>
          <w:szCs w:val="28"/>
        </w:rPr>
        <w:t>در کنار این سه واژه عام، فقه امامیه برای پیمان‌های دولت اسلامی با غیرمسلمانان، اصطلاحات خاصی نیز دارد که هر یک نهاد مستقلی با احکام ویژه خود است: «صلح» به معنای قرارداد ترک مخاصمه و آشتی؛ «هدنه» و «مهادنه» به معنای آتش‌بس موقت با مدت معین؛ «امان» به معنای تأمین‌دادن به افراد یا گروه‌های خاص (مانند امان‌نامه برای بازرگانان یا فرستادگان)؛ و «ذمه» و «عقد ذمه» به معنای پیمان دائم با اهل کتاب در قلمرو اسلامی در برابر پرداخت جزیه و رعایت شرایط. هرچند مصادیق تاریخی این نهادها با معاهدات مدرن تفاوت دارد، اما «روح» احکام آن‌ها ـ به‌ویژه اصل وفا، شرایط جواز، و اختیار امام در فسخ به‌مصلحت ـ در تحلیل مسئله حاضر راهگشاست و در فصل‌های سوم و چهارم به آن‌ها استناد خواهد شد.</w:t>
      </w:r>
    </w:p>
    <w:p>
      <w:pPr>
        <w:pStyle w:val="TH-Band"/>
        <w:widowControl/>
        <w:bidi w:val="1"/>
        <w:spacing w:before="200" w:after="120" w:line="288" w:lineRule="auto"/>
        <w:jc w:val="right"/>
      </w:pPr>
      <w:r>
        <w:rPr>
          <w:rFonts w:ascii="B Traffic" w:hAnsi="B Traffic" w:cs="B Traffic" w:eastAsia="B Traffic"/>
          <w:b/>
          <w:i w:val="0"/>
          <w:sz w:val="28"/>
          <w:szCs w:val="28"/>
        </w:rPr>
        <w:t>بند دوم: ولی فقیه و حکم حکومتی</w:t>
      </w:r>
    </w:p>
    <w:p>
      <w:pPr>
        <w:pStyle w:val="TH-Body"/>
        <w:widowControl/>
        <w:bidi w:val="1"/>
        <w:spacing w:before="0" w:after="120" w:line="288" w:lineRule="auto"/>
        <w:jc w:val="both"/>
      </w:pPr>
      <w:r>
        <w:rPr>
          <w:rFonts w:ascii="B Lotus" w:hAnsi="B Lotus" w:cs="B Lotus" w:eastAsia="B Lotus"/>
          <w:b w:val="0"/>
          <w:i w:val="0"/>
          <w:sz w:val="28"/>
          <w:szCs w:val="28"/>
        </w:rPr>
        <w:t>«ولی فقیه» در این رساله به معنای فقیه جامع‌الشرایطی است که در عصر غیبت، ولایت اداره نظام اسلامی را بر عهده دارد و در نظام حقوقی جمهوری اسلامی ایران، در جایگاه «رهبری» (مقام معظم رهبری) تجسم یافته است. شرایط فقیه (فقاهت، عدالت، کفایت و مانند آن) و ادله اثبات ولایت او، از مباحث مبسوط فقه سیاسی است که در این‌جا ـ مطابق پیش‌فرض یکم ـ مفروض گرفته می‌شود و تنها به‌اندازه‌ای از آن سخن می‌رود که برای پاسخ به مسئله «اختیار در تعلیق یا نقض معاهده» لازم است. نکته مفهومی مهم در این‌جا، تمایز میان سه کاربرد واژه «ولایت» است: ولایت به معنای سرپرستی در امور شخصی (مانند ولایت پدر بر صغیر)، ولایت به معنای مرجعیت در فتوا و قضا، و ولایت به معنای حکومت و اداره نظام؛ و مراد در این رساله، معنای سوم است.</w:t>
      </w:r>
    </w:p>
    <w:p>
      <w:pPr>
        <w:pStyle w:val="TH-Body"/>
        <w:widowControl/>
        <w:bidi w:val="1"/>
        <w:spacing w:before="0" w:after="120" w:line="288" w:lineRule="auto"/>
        <w:jc w:val="both"/>
      </w:pPr>
      <w:r>
        <w:rPr>
          <w:rFonts w:ascii="B Lotus" w:hAnsi="B Lotus" w:cs="B Lotus" w:eastAsia="B Lotus"/>
          <w:b w:val="0"/>
          <w:i w:val="0"/>
          <w:sz w:val="28"/>
          <w:szCs w:val="28"/>
        </w:rPr>
        <w:t>«حکم حکومتی» نیز به معنای حکمی است که حاکم اسلامی در مقام اداره نظام و بر اساس مصلحت، در حوزه اختیارات حکومتی خود صادر می‌کند؛ مانند دستور منع حج در شرایط خاص، تعیین قیمت‌ها، اعلام جنگ و صلح، و ـ به فرض این رساله ـ تصمیم درباره سرنوشت یک معاهده. این حکم از «حکم اولی» (حکم ثابت شرعی مانند وجوب نماز و حرمت ربا) و «حکم ثانوی» (حکم ناشی از عناوین ثانویه مانند ضرورت، اضطرار و حرج) متمایز است؛ هرچند نسبت دقیق آن با این دو ـ به‌ویژه این‌که آیا حکم حکومتی خود نوعی حکم اولی است (چنان‌که از برخی بیانات امام خمینی استفاده می‌شود) یا مقوله‌ای مستقل و سوم است ـ محل اختلاف فقهای معاصر است و در فصل چهارم بررسی خواهد شد. اجمالاً، فرضیه این رساله آن است که تصمیم ولی فقیه درباره تعلیق یا نقض معاهده ـ در صورت ثبوت اختیار ـ از سنخ حکم حکومتی است، و همین سنخ‌شناسی، ضوابط خاص خود (مصلحت‌سنجی، موقت‌بودن، تناسب و مانند آن) را به همراه دارد.</w:t>
      </w:r>
    </w:p>
    <w:p>
      <w:pPr>
        <w:pStyle w:val="TH-Band"/>
        <w:widowControl/>
        <w:bidi w:val="1"/>
        <w:spacing w:before="200" w:after="120" w:line="288" w:lineRule="auto"/>
        <w:jc w:val="right"/>
      </w:pPr>
      <w:r>
        <w:rPr>
          <w:rFonts w:ascii="B Traffic" w:hAnsi="B Traffic" w:cs="B Traffic" w:eastAsia="B Traffic"/>
          <w:b/>
          <w:i w:val="0"/>
          <w:sz w:val="28"/>
          <w:szCs w:val="28"/>
        </w:rPr>
        <w:t>بند سوم: مصلحت، ضرورت، اضطرار، حفظ نظام و اهم و مهم</w:t>
      </w:r>
    </w:p>
    <w:p>
      <w:pPr>
        <w:pStyle w:val="TH-Body"/>
        <w:widowControl/>
        <w:bidi w:val="1"/>
        <w:spacing w:before="0" w:after="120" w:line="288" w:lineRule="auto"/>
        <w:jc w:val="both"/>
      </w:pPr>
      <w:r>
        <w:rPr>
          <w:rFonts w:ascii="B Lotus" w:hAnsi="B Lotus" w:cs="B Lotus" w:eastAsia="B Lotus"/>
          <w:b w:val="0"/>
          <w:i w:val="0"/>
          <w:sz w:val="28"/>
          <w:szCs w:val="28"/>
        </w:rPr>
        <w:t>این پنج مفهوم، ابزارهای تحلیلی فصل چهارم‌اند و در این‌جا تنها تعریف اجمالی آن‌ها می‌آید و تفصیل استدلالی به آن‌جا موکول می‌شود:</w:t>
      </w:r>
    </w:p>
    <w:p>
      <w:pPr>
        <w:pStyle w:val="TH-Body"/>
        <w:widowControl/>
        <w:bidi w:val="1"/>
        <w:spacing w:before="0" w:after="120" w:line="288" w:lineRule="auto"/>
        <w:jc w:val="both"/>
      </w:pPr>
      <w:r>
        <w:rPr>
          <w:rFonts w:ascii="B Lotus" w:hAnsi="B Lotus" w:cs="B Lotus" w:eastAsia="B Lotus"/>
          <w:b w:val="0"/>
          <w:i w:val="0"/>
          <w:sz w:val="28"/>
          <w:szCs w:val="28"/>
        </w:rPr>
        <w:t>«مصلحت» در لغت به معنای منفعت و خیر، و در اصطلاح، به معنای منفعت واقعی و معتبری است که شارع در تشریع احکام لحاظ کرده یا عقلا در اداره امور بدان توجه دارند. در ادبیات فقه سیاسی معاصر، «مصلحت نظام» به معنای آن‌چه بقا، عزت و کارآمدی نظام اسلامی بدان وابسته است، به کار می‌رود. تمایز مصلحت «واقعی» از مصلحت «موهوم»، مصلحت «نوعی» از مصلحت «شخصی»، و مصلحت «اهم» از مصلحت «مهم»، در فصل چهارم بررسی خواهد شد و در این‌جا همین اندازه کافی است که مصلحتِ مجوزِ عدول، نه هر منفعتی، بلکه مصلحت واقعیِ نوعیِ اهم است.</w:t>
      </w:r>
    </w:p>
    <w:p>
      <w:pPr>
        <w:pStyle w:val="TH-Body"/>
        <w:widowControl/>
        <w:bidi w:val="1"/>
        <w:spacing w:before="0" w:after="120" w:line="288" w:lineRule="auto"/>
        <w:jc w:val="both"/>
      </w:pPr>
      <w:r>
        <w:rPr>
          <w:rFonts w:ascii="B Lotus" w:hAnsi="B Lotus" w:cs="B Lotus" w:eastAsia="B Lotus"/>
          <w:b w:val="0"/>
          <w:i w:val="0"/>
          <w:sz w:val="28"/>
          <w:szCs w:val="28"/>
        </w:rPr>
        <w:t>«ضرورت» و «اضطرار» دو عنوان ثانوی‌اند که در مواردی، حکم اولی را تغییر می‌دهند. هرچند این دو واژه گاه به‌جای یکدیگر به کار می‌روند، اما دقیق آن است که «اضطرار» ناظر به وضعیت اکراه‌آمیز و نبود راه چاره (مانند اضطرار به خوردن میته برای نجات از مرگ)، و «ضرورت» اعم از آن است و شامل نیازهای شدید نوعیِ غیراکراهی نیز می‌شود (مانند ضرورت اقتصادی نظام). نسبت این دو با «مصلحت» (که اعم و مبنایی‌تر است) در فصل چهارم تحلیل خواهد شد؛ اجمالاً، هر ضرورت و اضطراری، مصلحت است، اما هر مصلحتی به مرحله ضرورت و اضطرار نمی‌رسد.</w:t>
      </w:r>
    </w:p>
    <w:p>
      <w:pPr>
        <w:pStyle w:val="TH-Body"/>
        <w:widowControl/>
        <w:bidi w:val="1"/>
        <w:spacing w:before="0" w:after="120" w:line="288" w:lineRule="auto"/>
        <w:jc w:val="both"/>
      </w:pPr>
      <w:r>
        <w:rPr>
          <w:rFonts w:ascii="B Lotus" w:hAnsi="B Lotus" w:cs="B Lotus" w:eastAsia="B Lotus"/>
          <w:b w:val="0"/>
          <w:i w:val="0"/>
          <w:sz w:val="28"/>
          <w:szCs w:val="28"/>
        </w:rPr>
        <w:t>«حفظ نظام» به معنای صیانت از کیان نظام اسلامی و جلوگیری از اختلال، هرج‌ومرج و فروپاشی آن است. مشهور فقها، حفظ نظام را از «واجبات» ـ و به تعبیر برخی، از اهم واجبات ـ می‌دانند و امام خمینی (رحمة‌الله‌علیه) نیز بر آن تأکید ویژه دارد و حفظ نظام جمهوری اسلامی را از اوجب واجبات می‌شمارد.</w:t>
      </w:r>
      <w:r>
        <w:rPr>
          <w:rFonts w:ascii="B Lotus" w:hAnsi="B Lotus" w:cs="B Lotus" w:eastAsia="B Lotus"/>
          <w:b w:val="0"/>
          <w:i w:val="0"/>
          <w:sz w:val="28"/>
          <w:szCs w:val="28"/>
          <w:vertAlign w:val="superscript"/>
        </w:rPr>
        <w:footnoteReference w:id="17"/>
      </w:r>
      <w:r>
        <w:rPr>
          <w:rFonts w:ascii="B Lotus" w:hAnsi="B Lotus" w:cs="B Lotus" w:eastAsia="B Lotus"/>
          <w:b w:val="0"/>
          <w:i w:val="0"/>
          <w:sz w:val="28"/>
          <w:szCs w:val="28"/>
        </w:rPr>
        <w:t xml:space="preserve"> این مفهوم، پل ارتباطی میان «مصلحت» و «اختیار حاکم» است: مصلحت، مبناست؛ حفظ نظام، اهم مصادیق مبناست؛ و اختیار حاکم، ابزار تحقق آن است.</w:t>
      </w:r>
    </w:p>
    <w:p>
      <w:pPr>
        <w:pStyle w:val="TH-Body"/>
        <w:widowControl/>
        <w:bidi w:val="1"/>
        <w:spacing w:before="0" w:after="120" w:line="288" w:lineRule="auto"/>
        <w:jc w:val="both"/>
      </w:pPr>
      <w:r>
        <w:rPr>
          <w:rFonts w:ascii="B Lotus" w:hAnsi="B Lotus" w:cs="B Lotus" w:eastAsia="B Lotus"/>
          <w:b w:val="0"/>
          <w:i w:val="0"/>
          <w:sz w:val="28"/>
          <w:szCs w:val="28"/>
        </w:rPr>
        <w:t>«اهم و مهم» نیز قاعده‌ای اصولی برای حل «تزاحم» است: هرگاه دو تکلیف هم‌زمان قابل امتثال نباشند، تکلیف «اهم» (مهم‌تر) مقدم می‌شود و تکلیف «مهم» به‌طور موقت کنار می‌رود، بی‌آن‌که ساقط شود. فرضیه این رساله ـ چنان‌که گذشت و در فصل چهارم مستدل خواهد شد ـ آن است که رابطه وجوب وفا با اختیار حاکم، از نوع تزاحم است و با همین قاعده حل می‌شود؛ و همین تزاحمی‌بودن است که «موقت‌بودن» عدول و «بازگشت» تکلیف وفا را با رفع تزاحم، نتیجه می‌دهد.</w:t>
      </w:r>
    </w:p>
    <w:p>
      <w:pPr>
        <w:pStyle w:val="TH-Goftar"/>
        <w:widowControl/>
        <w:bidi w:val="1"/>
        <w:spacing w:before="200" w:after="120" w:line="288" w:lineRule="auto"/>
        <w:jc w:val="right"/>
      </w:pPr>
      <w:r>
        <w:rPr>
          <w:rFonts w:ascii="B Titr" w:hAnsi="B Titr" w:cs="B Titr" w:eastAsia="B Titr"/>
          <w:b/>
          <w:i w:val="0"/>
          <w:sz w:val="32"/>
          <w:szCs w:val="32"/>
        </w:rPr>
        <w:t>گفتار سوم: مفاهیم حقوق اساسی مرتبط با معاهدات</w:t>
      </w:r>
    </w:p>
    <w:p>
      <w:pPr>
        <w:pStyle w:val="TH-Body"/>
        <w:widowControl/>
        <w:bidi w:val="1"/>
        <w:spacing w:before="0" w:after="120" w:line="288" w:lineRule="auto"/>
        <w:jc w:val="both"/>
      </w:pPr>
      <w:r>
        <w:rPr>
          <w:rFonts w:ascii="B Lotus" w:hAnsi="B Lotus" w:cs="B Lotus" w:eastAsia="B Lotus"/>
          <w:b w:val="0"/>
          <w:i w:val="0"/>
          <w:sz w:val="28"/>
          <w:szCs w:val="28"/>
        </w:rPr>
        <w:t>در کنار مفاهیم حقوق بین‌الملل و فقه، چند مفهوم حقوق اساسی نیز در تحلیل مسئله نقش دارند و باید پیشاپیش تعریف شوند تا تحلیل فصل پنجم بر زمین مفهومی روشنی استوار شود:</w:t>
      </w:r>
    </w:p>
    <w:p>
      <w:pPr>
        <w:pStyle w:val="TH-Body"/>
        <w:widowControl/>
        <w:bidi w:val="1"/>
        <w:spacing w:before="0" w:after="120" w:line="288" w:lineRule="auto"/>
        <w:jc w:val="both"/>
      </w:pPr>
      <w:r>
        <w:rPr>
          <w:rFonts w:ascii="B Lotus" w:hAnsi="B Lotus" w:cs="B Lotus" w:eastAsia="B Lotus"/>
          <w:b w:val="0"/>
          <w:i w:val="0"/>
          <w:sz w:val="28"/>
          <w:szCs w:val="28"/>
        </w:rPr>
        <w:t>یکم. «تصویب»: به معنای گذراندن معاهده از مجرای قوه مقننه است. به موجب اصل ۷۷ قانون اساسی، معاهده بدون تصویب مجلس شورای اسلامی، در نظام داخلی لازم‌الاتباع نمی‌شود. تصویب، معاهده را به «قانون عادی» بدل می‌کند و از این‌رو، از حیث سلسله‌مراتب هنجارها، در رتبه قوانین عادی مجلس قرار می‌گیرد؛ نکته‌ای که در بحث نسبت حکم حکومتی با قانون (فصل پنجم) اهمیت می‌یابد: آیا حکم حکومتی ولی فقیه می‌تواند قانونی را که خودِ مجلس تصویب کرده، به حالت تعلیق درآورد؟</w:t>
      </w:r>
    </w:p>
    <w:p>
      <w:pPr>
        <w:pStyle w:val="TH-Body"/>
        <w:widowControl/>
        <w:bidi w:val="1"/>
        <w:spacing w:before="0" w:after="120" w:line="288" w:lineRule="auto"/>
        <w:jc w:val="both"/>
      </w:pPr>
      <w:r>
        <w:rPr>
          <w:rFonts w:ascii="B Lotus" w:hAnsi="B Lotus" w:cs="B Lotus" w:eastAsia="B Lotus"/>
          <w:b w:val="0"/>
          <w:i w:val="0"/>
          <w:sz w:val="28"/>
          <w:szCs w:val="28"/>
        </w:rPr>
        <w:t>دوم. «امضا»: به معنای اعلام التزام نهایی دولت در سطح بین‌المللی است که به موجب اصل ۱۲۵ با رئیس‌جمهور یا نماینده قانونی اوست. تمایز «تصویب» (عمل داخلیِ تقنینی) از «امضا» (عمل بین‌المللیِ اعلام التزام) در فهم نظام تصمیم‌گیری ایران ضروری است؛ زیرا ممکن است معاهده‌ای در مجلس تصویب شود اما هرگز امضا و مبادله نشود، یا برعکس، در سطح بین‌المللی امضا شود اما تصویب داخلی آن با تأخیر انجام گیرد.</w:t>
      </w:r>
    </w:p>
    <w:p>
      <w:pPr>
        <w:pStyle w:val="TH-Body"/>
        <w:widowControl/>
        <w:bidi w:val="1"/>
        <w:spacing w:before="0" w:after="120" w:line="288" w:lineRule="auto"/>
        <w:jc w:val="both"/>
      </w:pPr>
      <w:r>
        <w:rPr>
          <w:rFonts w:ascii="B Lotus" w:hAnsi="B Lotus" w:cs="B Lotus" w:eastAsia="B Lotus"/>
          <w:b w:val="0"/>
          <w:i w:val="0"/>
          <w:sz w:val="28"/>
          <w:szCs w:val="28"/>
        </w:rPr>
        <w:t>سوم. «سیاست‌های کلی نظام»: جهت‌گیری‌های کلانی است که به موجب بند ۱ اصل ۱۱۰، تعیین آن پس از مشورت با مجمع تشخیص مصلحت نظام، با رهبری است. هر معاهده‌ای که با سیاست‌های کلی (به‌ویژه سیاست‌های کلی روابط خارجی، اقتصاد مقاومتی و امنیت ملی) ناسازگار شود، از مجرای همین بند، در دایره تصمیم رهبری قرار می‌گیرد؛ و همین، یکی از مستندات «اختیار ضمنی» رهبری در حوزه معاهدات است.</w:t>
      </w:r>
    </w:p>
    <w:p>
      <w:pPr>
        <w:pStyle w:val="TH-Body"/>
        <w:widowControl/>
        <w:bidi w:val="1"/>
        <w:spacing w:before="0" w:after="120" w:line="288" w:lineRule="auto"/>
        <w:jc w:val="both"/>
      </w:pPr>
      <w:r>
        <w:rPr>
          <w:rFonts w:ascii="B Lotus" w:hAnsi="B Lotus" w:cs="B Lotus" w:eastAsia="B Lotus"/>
          <w:b w:val="0"/>
          <w:i w:val="0"/>
          <w:sz w:val="28"/>
          <w:szCs w:val="28"/>
        </w:rPr>
        <w:t>چهارم. «معضل نظام»: وضعیت فوق‌العاده‌ای است که «از طرق عادی قابل حل نیست» و به موجب بند ۸ اصل ۱۱۰، حل آن از طریق مجمع تشخیص مصلحت نظام، با رهبری است. این مفهوم، دروازه ورود تصمیم‌های فوق‌العاده ـ از جمله تصمیم درباره سرنوشت معاهده‌ای بحران‌ساز ـ به حوزه اختیار رهبری است و در فصل پنجم به تفصیل تحلیل خواهد شد.</w:t>
      </w:r>
    </w:p>
    <w:p>
      <w:pPr>
        <w:pStyle w:val="TH-Body"/>
        <w:widowControl/>
        <w:bidi w:val="1"/>
        <w:spacing w:before="0" w:after="120" w:line="288" w:lineRule="auto"/>
        <w:jc w:val="both"/>
      </w:pPr>
      <w:r>
        <w:rPr>
          <w:rFonts w:ascii="B Lotus" w:hAnsi="B Lotus" w:cs="B Lotus" w:eastAsia="B Lotus"/>
          <w:b w:val="0"/>
          <w:i w:val="0"/>
          <w:sz w:val="28"/>
          <w:szCs w:val="28"/>
        </w:rPr>
        <w:t>پنجم. «نظارت شورای نگهبان»: مصوبات مجلس ـ از جمله قوانین تصویب معاهدات ـ برای اظهارنظر از جهت انطباق با موازین شرع و قانون اساسی، به شورای نگهبان ارسال می‌شود (اصل ۹۴).</w:t>
      </w:r>
      <w:r>
        <w:rPr>
          <w:rFonts w:ascii="B Lotus" w:hAnsi="B Lotus" w:cs="B Lotus" w:eastAsia="B Lotus"/>
          <w:b w:val="0"/>
          <w:i w:val="0"/>
          <w:sz w:val="28"/>
          <w:szCs w:val="28"/>
          <w:vertAlign w:val="superscript"/>
        </w:rPr>
        <w:footnoteReference w:id="18"/>
      </w:r>
      <w:r>
        <w:rPr>
          <w:rFonts w:ascii="B Lotus" w:hAnsi="B Lotus" w:cs="B Lotus" w:eastAsia="B Lotus"/>
          <w:b w:val="0"/>
          <w:i w:val="0"/>
          <w:sz w:val="28"/>
          <w:szCs w:val="28"/>
        </w:rPr>
        <w:t xml:space="preserve"> این نظارت، ناظر به مرحله «ورود» معاهده به نظام داخلی است و درباره مرحله «خروج» (موضوع این رساله) ساکت است؛ سکوتی که در فصل پنجم تحلیل خواهد شد. همچنین تفسیر اصول قانون اساسی ـ از جمله اصول ناظر به معاهدات ـ بر عهده شورای نگهبان است (اصل ۹۸)</w:t>
      </w:r>
      <w:r>
        <w:rPr>
          <w:rFonts w:ascii="B Lotus" w:hAnsi="B Lotus" w:cs="B Lotus" w:eastAsia="B Lotus"/>
          <w:b w:val="0"/>
          <w:i w:val="0"/>
          <w:sz w:val="28"/>
          <w:szCs w:val="28"/>
          <w:vertAlign w:val="superscript"/>
        </w:rPr>
        <w:footnoteReference w:id="19"/>
      </w:r>
      <w:r>
        <w:rPr>
          <w:rFonts w:ascii="B Lotus" w:hAnsi="B Lotus" w:cs="B Lotus" w:eastAsia="B Lotus"/>
          <w:b w:val="0"/>
          <w:i w:val="0"/>
          <w:sz w:val="28"/>
          <w:szCs w:val="28"/>
        </w:rPr>
        <w:t xml:space="preserve"> و همین، جایگاه نظریات تفسیری این شورا را در بحث حقوق اساسی برجسته می‌کند.</w:t>
      </w:r>
    </w:p>
    <w:p>
      <w:pPr>
        <w:pStyle w:val="TH-Goftar"/>
        <w:widowControl/>
        <w:bidi w:val="1"/>
        <w:spacing w:before="200" w:after="120" w:line="288" w:lineRule="auto"/>
        <w:jc w:val="right"/>
      </w:pPr>
      <w:r>
        <w:rPr>
          <w:rFonts w:ascii="B Titr" w:hAnsi="B Titr" w:cs="B Titr" w:eastAsia="B Titr"/>
          <w:b/>
          <w:i w:val="0"/>
          <w:sz w:val="32"/>
          <w:szCs w:val="32"/>
        </w:rPr>
        <w:t>حاصل فصل اول</w:t>
      </w:r>
    </w:p>
    <w:p>
      <w:pPr>
        <w:pStyle w:val="TH-Body"/>
        <w:widowControl/>
        <w:bidi w:val="1"/>
        <w:spacing w:before="0" w:after="120" w:line="288" w:lineRule="auto"/>
        <w:jc w:val="both"/>
      </w:pPr>
      <w:r>
        <w:rPr>
          <w:rFonts w:ascii="B Lotus" w:hAnsi="B Lotus" w:cs="B Lotus" w:eastAsia="B Lotus"/>
          <w:b w:val="0"/>
          <w:i w:val="0"/>
          <w:sz w:val="28"/>
          <w:szCs w:val="28"/>
        </w:rPr>
        <w:t>حاصل این فصل، تنقیح سه دسته مفهوم است: در شبکه حقوق بین‌الملل، روشن شد که «تعلیق» (توقف موقت و غالباً موجه) با «نقض» (رفتار مغایر با تعهد و مسئولیت‌آور) متفاوت است و مفاهیمی مانند خاتمه، خروج، فسخ و عدم اجرا نیز هر یک معنای فنی خاص خود را دارند و پنج گزاره تحلیلی، نسبت آن‌ها را روشن کرد. در شبکه فقهی، روشن شد که مسئله این رساله در تقاطع «عهد» (به‌مثابه موضوع تکلیف)، «حکم حکومتی» (به‌مثابه قالب تصمیم حاکم)، و «مصلحت و تزاحم» (به‌مثابه مبنای تصمیم) قرار دارد و خانواده مفاهیم عهد تا اهم و مهم، تنقیح شد. و در شبکه حقوق اساسی، مفاهیم تصویب، امضا، سیاست‌های کلی، معضل نظام و نظارت شورای نگهبان تعریف شد تا تحلیل جایگاه تصمیم در فصل پنجم، بر زمین مفهومی روشنی استوار شود. با این تنقیح سه‌گانه، اکنون می‌توان به «کلیات و مبانی» مسئله ـ یعنی تصویر اجمالی نظام‌های حقوقی درگیر در مسئله و تاریخچه آن ـ پرداخت.</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دوم: کلیات و مبانی</w:t>
      </w:r>
    </w:p>
    <w:p>
      <w:pPr>
        <w:pStyle w:val="TH-Body"/>
        <w:widowControl/>
        <w:bidi w:val="1"/>
        <w:spacing w:before="0" w:after="120" w:line="288" w:lineRule="auto"/>
        <w:jc w:val="both"/>
      </w:pPr>
      <w:r>
        <w:rPr>
          <w:rFonts w:ascii="B Lotus" w:hAnsi="B Lotus" w:cs="B Lotus" w:eastAsia="B Lotus"/>
          <w:b w:val="0"/>
          <w:i w:val="0"/>
          <w:sz w:val="28"/>
          <w:szCs w:val="28"/>
        </w:rPr>
        <w:t>این فصل، «مبادی تصدیقی قریب» پژوهش را ـ یعنی پیش‌دانسته‌هایی که فهم مسئله بدون آن‌ها ممکن نیست ـ به‌صورت اجمالی اما هدفمند ارائه می‌کند. مسئله این رساله در تقاطع سه نظام حقوقی قرار دارد: حقوق بین‌الملل، حقوق اساسی جمهوری اسلامی ایران، و فقه امامیه. مبانی فقهی (ادله وفا و ادله اختیار حاکم) خودِ مسئله‌اند و در بخش دوم به تفصیل بررسی می‌شوند؛ اما مبانی حقوق بین‌الملل و حقوق اساسی، پیش‌نیاز فهم مسئله‌اند و باید پیشاپیش دانسته شوند. افزون بر این، فهم تاریخی مسئله ـ از پیمان‌های صدر اسلام تا کنوانسیون وین ـ چشم‌اندازی را فراهم می‌کند که ژرفای مسئله را نشان می‌دهد. ازاین‌رو، این فصل در چهار گفتار سامان یافته است: تاریخچه پیمان‌سپاری، اصل وفای به عهد در حقوق بین‌الملل، نظام تعلیق و خاتمه در کنوانسیون وین، و جایگاه معاهدات در قانون اساسی.</w:t>
      </w:r>
    </w:p>
    <w:p>
      <w:pPr>
        <w:pStyle w:val="TH-Goftar"/>
        <w:widowControl/>
        <w:bidi w:val="1"/>
        <w:spacing w:before="200" w:after="120" w:line="288" w:lineRule="auto"/>
        <w:jc w:val="right"/>
      </w:pPr>
      <w:r>
        <w:rPr>
          <w:rFonts w:ascii="B Titr" w:hAnsi="B Titr" w:cs="B Titr" w:eastAsia="B Titr"/>
          <w:b/>
          <w:i w:val="0"/>
          <w:sz w:val="32"/>
          <w:szCs w:val="32"/>
        </w:rPr>
        <w:t>گفتار اول: تاریخچه پیمان‌سپاری؛ از صدر اسلام تا کنوانسیون وین</w:t>
      </w:r>
    </w:p>
    <w:p>
      <w:pPr>
        <w:pStyle w:val="TH-Body"/>
        <w:widowControl/>
        <w:bidi w:val="1"/>
        <w:spacing w:before="0" w:after="120" w:line="288" w:lineRule="auto"/>
        <w:jc w:val="both"/>
      </w:pPr>
      <w:r>
        <w:rPr>
          <w:rFonts w:ascii="B Lotus" w:hAnsi="B Lotus" w:cs="B Lotus" w:eastAsia="B Lotus"/>
          <w:b w:val="0"/>
          <w:i w:val="0"/>
          <w:sz w:val="28"/>
          <w:szCs w:val="28"/>
        </w:rPr>
        <w:t>پیمان‌سپاری میان جوامع انسانی، قدمتی به درازای تاریخ تمدن دارد؛ اما آن‌چه برای این پژوهش اهمیت دارد، دو خط تاریخی است: خط اسلامی و خط بین‌المللی مدرن.</w:t>
      </w:r>
    </w:p>
    <w:p>
      <w:pPr>
        <w:pStyle w:val="TH-Body"/>
        <w:widowControl/>
        <w:bidi w:val="1"/>
        <w:spacing w:before="0" w:after="120" w:line="288" w:lineRule="auto"/>
        <w:jc w:val="both"/>
      </w:pPr>
      <w:r>
        <w:rPr>
          <w:rFonts w:ascii="B Lotus" w:hAnsi="B Lotus" w:cs="B Lotus" w:eastAsia="B Lotus"/>
          <w:b w:val="0"/>
          <w:i w:val="0"/>
          <w:sz w:val="28"/>
          <w:szCs w:val="28"/>
        </w:rPr>
        <w:t>در خط اسلامی، نخستین سند پیمانی دولت نبوی، «میثاق مدینه» (صحیفه مدینه) است: پیمانی که پیامبر اکرم (صلی‌الله‌علیه‌وآله) پس از هجرت، میان مهاجران، انصار و قبایل یهود مدینه منعقد کرد و در آن، حقوق و تکالیف متقابل، مرجعیت داوری، و قواعد همزیستی و دفاع مشترک را مقرر داشت.</w:t>
      </w:r>
      <w:r>
        <w:rPr>
          <w:rFonts w:ascii="B Lotus" w:hAnsi="B Lotus" w:cs="B Lotus" w:eastAsia="B Lotus"/>
          <w:b w:val="0"/>
          <w:i w:val="0"/>
          <w:sz w:val="28"/>
          <w:szCs w:val="28"/>
          <w:vertAlign w:val="superscript"/>
        </w:rPr>
        <w:footnoteReference w:id="20"/>
      </w:r>
      <w:r>
        <w:rPr>
          <w:rFonts w:ascii="B Lotus" w:hAnsi="B Lotus" w:cs="B Lotus" w:eastAsia="B Lotus"/>
          <w:b w:val="0"/>
          <w:i w:val="0"/>
          <w:sz w:val="28"/>
          <w:szCs w:val="28"/>
        </w:rPr>
        <w:t xml:space="preserve"> این سند نشان می‌دهد که پیمان‌سپاری حکومتی در اسلام، از آغاز با «وفاداری متقابل» و «داوری عادلانه» همراه بوده است. دومین سند بزرگ، «صلح حدیبیه» (سال ششم هجری) با قریش مکه است که الگوی پایبندی به پیمان حتی در شرایط دشوار به شمار می‌آید و در فصل سوم به تفصیل بررسی خواهد شد. سومین نمونه، «عهدنامه پیامبر (ص) با نصارای نجران» است که در آن، امنیت جان، مال و دین آنان تضمین شد و الگویی از پیمان با اهل کتاب ارائه گردید.</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سه سند، در کنار عهدنامه مالک اشتر، سنت پیمانی اسلام را تشکیل می‌دهند که دو ویژگی بنیادین دارد: «وفای محکم» و «عدالت در مفاد».</w:t>
      </w:r>
    </w:p>
    <w:p>
      <w:pPr>
        <w:pStyle w:val="TH-Body"/>
        <w:widowControl/>
        <w:bidi w:val="1"/>
        <w:spacing w:before="0" w:after="120" w:line="288" w:lineRule="auto"/>
        <w:jc w:val="both"/>
      </w:pPr>
      <w:r>
        <w:rPr>
          <w:rFonts w:ascii="B Lotus" w:hAnsi="B Lotus" w:cs="B Lotus" w:eastAsia="B Lotus"/>
          <w:b w:val="0"/>
          <w:i w:val="0"/>
          <w:sz w:val="28"/>
          <w:szCs w:val="28"/>
        </w:rPr>
        <w:t>در خط بین‌المللی مدرن، نظام معاهدات پس از جنگ‌های جهانی و با تأسیس سازمان ملل متحد (۱۹۴۵) به بلوغ رسید. کمیسیون حقوق بین‌الملل ـ که مأمور تدوین و توسعه تدریجی حقوق بین‌الملل است ـ پس از سال‌ها کار، پیش‌نویس مواد حقوق معاهدات را آماده کرد و بر اساس آن، «کنوانسیون وین حقوق معاهدات» در سال ۱۹۶۹ به تصویب رسید و در سال ۱۹۸۰ لازم‌الاجرا شد.</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کنوانسیون ـ که به «میثاق میثاق‌ها» (Treaty of Treaties) مشهور است ـ قواعد انعقاد، تفسیر، اجرا، تعلیق، خاتمه و بطلان معاهدات را مدون کرد و امروزه ـ چنان‌که رویه دیوان بین‌المللی دادگستری نشان می‌دهد ـ بسیاری از قواعد آن جنبه عرفی یافته و حتی برای دولت‌های غیرعضو نیز لازم‌الاجرا است.</w:t>
      </w:r>
    </w:p>
    <w:p>
      <w:pPr>
        <w:pStyle w:val="TH-Body"/>
        <w:widowControl/>
        <w:bidi w:val="1"/>
        <w:spacing w:before="0" w:after="120" w:line="288" w:lineRule="auto"/>
        <w:jc w:val="both"/>
      </w:pPr>
      <w:r>
        <w:rPr>
          <w:rFonts w:ascii="B Lotus" w:hAnsi="B Lotus" w:cs="B Lotus" w:eastAsia="B Lotus"/>
          <w:b w:val="0"/>
          <w:i w:val="0"/>
          <w:sz w:val="28"/>
          <w:szCs w:val="28"/>
        </w:rPr>
        <w:t>نکته تاریخی مهم برای این پژوهش، وضعیت جمهوری اسلامی ایران در برابر این کنوانسیون است: ایران، کنوانسیون وین را امضا کرده ولی تاکنون به تصویب مجلس شورای اسلامی نرسانده است.</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با این حال، چنان‌که گذشت، جنبه عرفی بسیاری از قواعد کنوانسیون ـ به‌ویژه اصل وفای به عهد، قواعد تفسیر، و قواعد بنیادین تعلیق و خاتمه ـ موجب می‌شود که این قواعد برای ایران نیز لازم‌الاجرا باشد. منابع حقوق بین‌الملل ـ به موجب ماده ۳۸ اساسنامه دیوان بین‌المللی دادگستری ـ افزون بر معاهدات، شامل «عرف بین‌المللی»، «اصول کلی حقوقی» و ـ به‌عنوان وسایل فرعی ـ «آرای قضایی و دکترین» نیز می‌شود؛</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و همین، مبنای لازم‌الاجرا بودن قواعد عرفی معاهدات برای همه دولت‌هاست.</w:t>
      </w:r>
    </w:p>
    <w:p>
      <w:pPr>
        <w:pStyle w:val="TH-Goftar"/>
        <w:widowControl/>
        <w:bidi w:val="1"/>
        <w:spacing w:before="200" w:after="120" w:line="288" w:lineRule="auto"/>
        <w:jc w:val="right"/>
      </w:pPr>
      <w:r>
        <w:rPr>
          <w:rFonts w:ascii="B Titr" w:hAnsi="B Titr" w:cs="B Titr" w:eastAsia="B Titr"/>
          <w:b/>
          <w:i w:val="0"/>
          <w:sz w:val="32"/>
          <w:szCs w:val="32"/>
        </w:rPr>
        <w:t>گفتار دوم: اصل وفای به عهد در حقوق بین‌الملل</w:t>
      </w:r>
    </w:p>
    <w:p>
      <w:pPr>
        <w:pStyle w:val="TH-Body"/>
        <w:widowControl/>
        <w:bidi w:val="1"/>
        <w:spacing w:before="0" w:after="120" w:line="288" w:lineRule="auto"/>
        <w:jc w:val="both"/>
      </w:pPr>
      <w:r>
        <w:rPr>
          <w:rFonts w:ascii="B Lotus" w:hAnsi="B Lotus" w:cs="B Lotus" w:eastAsia="B Lotus"/>
          <w:b w:val="0"/>
          <w:i w:val="0"/>
          <w:sz w:val="28"/>
          <w:szCs w:val="28"/>
        </w:rPr>
        <w:t>اصل «وفای به عهد» (Pacta Sunt Servanda) بنیادی‌ترین قاعده حقوق معاهدات و بلکه یکی از بنیادی‌ترین قواعد کل حقوق بین‌الملل است. اهمیت این اصل تا بدان‌جاست که بدون آن، هیچ نظام حقوقی بین‌المللی قابل تصور نیست؛ زیرا اگر دولت‌ها خود را به آن‌چه پذیرفته‌اند ملزم ندانند، معاهده به کاغذپاره‌ای بی‌اثر بدل می‌شود. در دکترین کلاسیک حقوق بین‌الملل نیز، برخی بزرگان ـ مانند آنزیلوتی ـ این اصل را قاعده بنیادین و زیربنای الزام‌آوری کل نظام حقوق بین‌الملل دانسته‌اند.</w:t>
      </w:r>
      <w:r>
        <w:rPr>
          <w:rFonts w:ascii="B Lotus" w:hAnsi="B Lotus" w:cs="B Lotus" w:eastAsia="B Lotus"/>
          <w:b w:val="0"/>
          <w:i w:val="0"/>
          <w:sz w:val="28"/>
          <w:szCs w:val="28"/>
          <w:vertAlign w:val="superscript"/>
        </w:rPr>
        <w:footnoteReference w:id="25"/>
      </w:r>
    </w:p>
    <w:p>
      <w:pPr>
        <w:pStyle w:val="TH-Body"/>
        <w:widowControl/>
        <w:bidi w:val="1"/>
        <w:spacing w:before="0" w:after="120" w:line="288" w:lineRule="auto"/>
        <w:jc w:val="both"/>
      </w:pPr>
      <w:r>
        <w:rPr>
          <w:rFonts w:ascii="B Lotus" w:hAnsi="B Lotus" w:cs="B Lotus" w:eastAsia="B Lotus"/>
          <w:b w:val="0"/>
          <w:i w:val="0"/>
          <w:sz w:val="28"/>
          <w:szCs w:val="28"/>
        </w:rPr>
        <w:t>ماده ۲۶ کنوانسیون وین این اصل را چنین صورت‌بندی کرده است: «هر معاهده لازم‌الاجرایی، اطراف خود را ملزم می‌سازد و باید توسط آن‌ها با حسن نیت اجرا شود».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سه عنصر در این صورت‌بندی اهمیت دارد: نخست «لازم‌الاجرا بودن» (یعنی معاهده‌ای که هنوز لازم‌الاجرا نشده، الزامی ایجاد نمی‌کند)؛ دوم «الزام‌آور بودن» (که معاهده را از وعده سیاسی و اخلاقی متمایز می‌کند)؛ و سوم «حسن نیت» (که شیوه اجرا را مقید می‌کند: اجرای صوری، اجرای همراه با حیله، سوءاستفاده از ابهام متن، یا کارشکنی در تحقق هدف معاهده، همگی با حسن نیت ناسازگارند و خود نوعی نقض محسوب می‌شوند).</w:t>
      </w:r>
    </w:p>
    <w:p>
      <w:pPr>
        <w:pStyle w:val="TH-Body"/>
        <w:widowControl/>
        <w:bidi w:val="1"/>
        <w:spacing w:before="0" w:after="120" w:line="288" w:lineRule="auto"/>
        <w:jc w:val="both"/>
      </w:pPr>
      <w:r>
        <w:rPr>
          <w:rFonts w:ascii="B Lotus" w:hAnsi="B Lotus" w:cs="B Lotus" w:eastAsia="B Lotus"/>
          <w:b w:val="0"/>
          <w:i w:val="0"/>
          <w:sz w:val="28"/>
          <w:szCs w:val="28"/>
        </w:rPr>
        <w:t>در کنار ماده ۲۶، ماده ۲۷ کنوانسیون وین، ضمانت‌اجرای منطقی این اصل است: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27"/>
      </w:r>
      <w:r>
        <w:rPr>
          <w:rFonts w:ascii="B Lotus" w:hAnsi="B Lotus" w:cs="B Lotus" w:eastAsia="B Lotus"/>
          <w:b w:val="0"/>
          <w:i w:val="0"/>
          <w:sz w:val="28"/>
          <w:szCs w:val="28"/>
        </w:rPr>
        <w:t xml:space="preserve"> معنای این ماده برای پژوهش حاضر، حیاتی و تعیین‌کننده است: حتی اگر در نظام حقوقی داخلی ایران ـ اعم از قانون اساسی، قانون عادی یا حکم فقهی ـ مجوزی برای عدم اجرای معاهده یافت شود، چنین مجوزی در برابر طرف مقابل و در سطح بین‌المللی، توجیه محسوب نمی‌شود و رفع مسئولیت نمی‌کند. تنها استثنای محدود این قاعده، در ماده ۴۶ آمده است: نقض مقررات داخلی درباره صلاحیت انعقاد معاهدات، تنها در صورتی قابل استناد است که آن نقض، «آشکار» باشد (یعنی برای هر دولت رفتارکننده با حسن نیت، به‌طور عینی روشن باشد) و به «قاعده‌ای بنیادین از حقوق داخلی» مربوط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روشن است که این استثنا، ناظر به مرحله «انعقاد» است نه مرحله «اجرا»؛ و تصمیم بعدیِ یک مقام داخلی مبنی بر عدم اجرا، در شمول آن نمی‌گنجد. تفصیل آثار این ماده در فصل پنجم خواهد آمد.</w:t>
      </w:r>
    </w:p>
    <w:p>
      <w:pPr>
        <w:pStyle w:val="TH-Goftar"/>
        <w:widowControl/>
        <w:bidi w:val="1"/>
        <w:spacing w:before="200" w:after="120" w:line="288" w:lineRule="auto"/>
        <w:jc w:val="right"/>
      </w:pPr>
      <w:r>
        <w:rPr>
          <w:rFonts w:ascii="B Titr" w:hAnsi="B Titr" w:cs="B Titr" w:eastAsia="B Titr"/>
          <w:b/>
          <w:i w:val="0"/>
          <w:sz w:val="32"/>
          <w:szCs w:val="32"/>
        </w:rPr>
        <w:t>گفتار سوم: نظام تعلیق و خاتمه در کنوانسیون وین</w:t>
      </w:r>
    </w:p>
    <w:p>
      <w:pPr>
        <w:pStyle w:val="TH-Body"/>
        <w:widowControl/>
        <w:bidi w:val="1"/>
        <w:spacing w:before="0" w:after="120" w:line="288" w:lineRule="auto"/>
        <w:jc w:val="both"/>
      </w:pPr>
      <w:r>
        <w:rPr>
          <w:rFonts w:ascii="B Lotus" w:hAnsi="B Lotus" w:cs="B Lotus" w:eastAsia="B Lotus"/>
          <w:b w:val="0"/>
          <w:i w:val="0"/>
          <w:sz w:val="28"/>
          <w:szCs w:val="28"/>
        </w:rPr>
        <w:t>کنوانسیون وین، در برابر اصل وفای به عهد، نظامی استثنایی اما دقیق و مضیق برای «تعلیق» و «خاتمه» معاهدات پیش‌بینی کرده است. منطق این نظام، ایجاد توازن میان «ثبات» معاهدات (که لازمه اعتماد بین‌المللی است) و «انعطاف» در برابر دگرگونی‌های بنیادین (که لازمه عدالت و واقع‌بینی است) می‌باشد. مهم‌ترین اسباب تعلیق و خاتمه در کنوانسیون عبارت‌اند از:</w:t>
      </w:r>
    </w:p>
    <w:p>
      <w:pPr>
        <w:pStyle w:val="TH-Body"/>
        <w:widowControl/>
        <w:bidi w:val="1"/>
        <w:spacing w:before="0" w:after="120" w:line="288" w:lineRule="auto"/>
        <w:jc w:val="both"/>
      </w:pPr>
      <w:r>
        <w:rPr>
          <w:rFonts w:ascii="B Lotus" w:hAnsi="B Lotus" w:cs="B Lotus" w:eastAsia="B Lotus"/>
          <w:b w:val="0"/>
          <w:i w:val="0"/>
          <w:sz w:val="28"/>
          <w:szCs w:val="28"/>
        </w:rPr>
        <w:t>یکم. توافق اطراف: مطابق مواد ۵۴ و ۵۷، اطراف معاهده می‌توانند در هر زمان، با توافق یکدیگر، معاهده را خاتمه دهند یا اجرای آن را به حالت تعلیق درآورند. این مورد، از محل بحث پژوهش حاضر بیرون است؛ زیرا مسئله رساله، «اقدام یک‌جانبه» است نه توافقی؛ اما از جهت ضابطه دوم فصل چهارم (تقدم راه‌های توافقی) اهمیت دارد: هر تصمیم یک‌جانبه‌ای باید پس از ناکامی راه توافقی اتخاذ شود.</w:t>
      </w:r>
    </w:p>
    <w:p>
      <w:pPr>
        <w:pStyle w:val="TH-Body"/>
        <w:widowControl/>
        <w:bidi w:val="1"/>
        <w:spacing w:before="0" w:after="120" w:line="288" w:lineRule="auto"/>
        <w:jc w:val="both"/>
      </w:pPr>
      <w:r>
        <w:rPr>
          <w:rFonts w:ascii="B Lotus" w:hAnsi="B Lotus" w:cs="B Lotus" w:eastAsia="B Lotus"/>
          <w:b w:val="0"/>
          <w:i w:val="0"/>
          <w:sz w:val="28"/>
          <w:szCs w:val="28"/>
        </w:rPr>
        <w:t>دوم. شرط مندرج در خود معاهده: بسیاری از معاهدات، شرطی درباره خاتمه، خروج، بازنگری یا تعلیق دارند و اعمال آن شرط، اقدامی موجه و پیش‌بینی‌شده است که اساساً «نقض» محسوب نمی‌شود. ازاین‌رو، نخستین گام در هر تصمیمی درباره سرنوشت معاهده، مراجعه به «متن خود معاهده» است؛ نکته‌ای که در ضوابط فصل چهارم (تقدم راه‌های حقوقی مندرج) و راهبردهای فصل پنجم (گنجاندن شرط در معاهدات آتی) بازخواهد گشت.</w:t>
      </w:r>
    </w:p>
    <w:p>
      <w:pPr>
        <w:pStyle w:val="TH-Body"/>
        <w:widowControl/>
        <w:bidi w:val="1"/>
        <w:spacing w:before="0" w:after="120" w:line="288" w:lineRule="auto"/>
        <w:jc w:val="both"/>
      </w:pPr>
      <w:r>
        <w:rPr>
          <w:rFonts w:ascii="B Lotus" w:hAnsi="B Lotus" w:cs="B Lotus" w:eastAsia="B Lotus"/>
          <w:b w:val="0"/>
          <w:i w:val="0"/>
          <w:sz w:val="28"/>
          <w:szCs w:val="28"/>
        </w:rPr>
        <w:t>سوم. نقض اساسی از سوی طرف مقابل (ماده ۶۰): هرگاه یک طرف، معاهده را به‌صورت «اساسی» نقض کند ـ یعنی یا معاهده را برخلاف کنوانسیون رد کند یا مقرره‌ای اساسی برای تحقق موضوع و هدف معاهده را نقض کند ـ طرف دیگر (در معاهده دوجانبه) یا اطراف دیگر (در معاهده چندجانبه، با شرایطی) می‌تواند اجرای معاهده را به‌طور کلی یا جزئی به حالت تعلیق درآورد یا به آن خاتمه دهد.</w:t>
      </w:r>
      <w:r>
        <w:rPr>
          <w:rFonts w:ascii="B Lotus" w:hAnsi="B Lotus" w:cs="B Lotus" w:eastAsia="B Lotus"/>
          <w:b w:val="0"/>
          <w:i w:val="0"/>
          <w:sz w:val="28"/>
          <w:szCs w:val="28"/>
          <w:vertAlign w:val="superscript"/>
        </w:rPr>
        <w:footnoteReference w:id="29"/>
      </w:r>
      <w:r>
        <w:rPr>
          <w:rFonts w:ascii="B Lotus" w:hAnsi="B Lotus" w:cs="B Lotus" w:eastAsia="B Lotus"/>
          <w:b w:val="0"/>
          <w:i w:val="0"/>
          <w:sz w:val="28"/>
          <w:szCs w:val="28"/>
        </w:rPr>
        <w:t xml:space="preserve"> این ماده، نزدیک‌ترین نهاد حقوقی به مسئله «عدول واکنشی» است و در فصل پنجم تحلیل خواهد شد. قید «اساسی‌بودن» نشان می‌دهد که هر نقض جزئی، مجوز تعلیق نیست و باید میان شدت نقض و شدت واکنش، تناسب باشد.</w:t>
      </w:r>
    </w:p>
    <w:p>
      <w:pPr>
        <w:pStyle w:val="TH-Body"/>
        <w:widowControl/>
        <w:bidi w:val="1"/>
        <w:spacing w:before="0" w:after="120" w:line="288" w:lineRule="auto"/>
        <w:jc w:val="both"/>
      </w:pPr>
      <w:r>
        <w:rPr>
          <w:rFonts w:ascii="B Lotus" w:hAnsi="B Lotus" w:cs="B Lotus" w:eastAsia="B Lotus"/>
          <w:b w:val="0"/>
          <w:i w:val="0"/>
          <w:sz w:val="28"/>
          <w:szCs w:val="28"/>
        </w:rPr>
        <w:t>چهارم. عدم امکان اجرا (ماده ۶۱): هرگاه اجرای معاهده به دلیل «از بین رفتن یا نابودی دائمی موضوع آن» (مانند خشک‌شدن رودخانه موضوع معاهده آبی) ناممکن شود، می‌توان به معاهده خاتمه داد یا ـ در فرض موقت‌بودن ـ آن را تعلیق کرد. قید «دائمی‌بودن» و «عینی‌بودن» عدم امکان، دایره این ماده را بسیار تنگ کرده است و دشواری‌های سیاسی، اقتصادی یا امنیتی ـ هر اندازه شدید ـ در شمول آن نمی‌گنجد؛ مگر آن‌که به نابودی عینی موضوع بینجامد.</w:t>
      </w:r>
      <w:r>
        <w:rPr>
          <w:rFonts w:ascii="B Lotus" w:hAnsi="B Lotus" w:cs="B Lotus" w:eastAsia="B Lotus"/>
          <w:b w:val="0"/>
          <w:i w:val="0"/>
          <w:sz w:val="28"/>
          <w:szCs w:val="28"/>
          <w:vertAlign w:val="superscript"/>
        </w:rPr>
        <w:footnoteReference w:id="30"/>
      </w:r>
    </w:p>
    <w:p>
      <w:pPr>
        <w:pStyle w:val="TH-Body"/>
        <w:widowControl/>
        <w:bidi w:val="1"/>
        <w:spacing w:before="0" w:after="120" w:line="288" w:lineRule="auto"/>
        <w:jc w:val="both"/>
      </w:pPr>
      <w:r>
        <w:rPr>
          <w:rFonts w:ascii="B Lotus" w:hAnsi="B Lotus" w:cs="B Lotus" w:eastAsia="B Lotus"/>
          <w:b w:val="0"/>
          <w:i w:val="0"/>
          <w:sz w:val="28"/>
          <w:szCs w:val="28"/>
        </w:rPr>
        <w:t>پنجم. تغییر بنیادین اوضاع و احوال (ماده ۶۲): این ماده که بیان حقوقی قاعده کهن «rebus sic stantibus» (امور بر همان حال می‌ماند) است، در شرایط بسیار سخت‌گیرانه‌ای اجازه خاتمه یا خروج می‌دهد: اوضاعِ تغییرکرده باید «مبنای اساسی» رضایت اطراف به التزام بوده، تغییر، «بنیادین» و «غیرقابل پیش‌بینی» بوده، اثر آن بر تعهداتِ باقی‌مانده، «بنیادین» باشد، و تغییر، ناشی از نقض خودِ دولتِ استنادکننده نباشد. افزون بر این، این ماده درباره معاهدات مرزی قابل استناد نیست و در معاهدات چندجانبه نیز شرایط ویژه‌ای دارد.</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دیوان بین‌المللی دادگستری در قضیه مشهور «گابچیکوو ـ ناگیماروش» (۱۹۹۷) میان مجارستان و اسلواکی،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32"/>
      </w:r>
    </w:p>
    <w:p>
      <w:pPr>
        <w:pStyle w:val="TH-Body"/>
        <w:widowControl/>
        <w:bidi w:val="1"/>
        <w:spacing w:before="0" w:after="120" w:line="288" w:lineRule="auto"/>
        <w:jc w:val="both"/>
      </w:pPr>
      <w:r>
        <w:rPr>
          <w:rFonts w:ascii="B Lotus" w:hAnsi="B Lotus" w:cs="B Lotus" w:eastAsia="B Lotus"/>
          <w:b w:val="0"/>
          <w:i w:val="0"/>
          <w:sz w:val="28"/>
          <w:szCs w:val="28"/>
        </w:rPr>
        <w:t>ششم. تعارض با قاعده آمره (مواد ۵۳ و ۶۴): هر معاهده‌ای که در زمان انعقاد با یک «قاعده آمره حقوق بین‌الملل» (Jus Cogens) ـ یعنی قاعده‌ای که کل جامعه بین‌المللی دولت‌ها آن را تخلف‌ناپذیر می‌داند و تنها با قاعده آمره بعدیِ هم‌ارزش قابل تغییر است ـ متعارض باشد، باطل و بی‌اعتبار است؛ و هرگاه قاعده آمره جدیدی پدید آید، معاهده موجودِ متعارض با آن، خاتمه می‌یابد.</w:t>
      </w:r>
      <w:r>
        <w:rPr>
          <w:rFonts w:ascii="B Lotus" w:hAnsi="B Lotus" w:cs="B Lotus" w:eastAsia="B Lotus"/>
          <w:b w:val="0"/>
          <w:i w:val="0"/>
          <w:sz w:val="28"/>
          <w:szCs w:val="28"/>
          <w:vertAlign w:val="superscript"/>
        </w:rPr>
        <w:footnoteReference w:id="33"/>
      </w:r>
      <w:r>
        <w:rPr>
          <w:rFonts w:ascii="B Lotus" w:hAnsi="B Lotus" w:cs="B Lotus" w:eastAsia="B Lotus"/>
          <w:b w:val="0"/>
          <w:i w:val="0"/>
          <w:sz w:val="28"/>
          <w:szCs w:val="28"/>
        </w:rPr>
        <w:t xml:space="preserve"> نمونه‌های مشهور قواعد آمره عبارت‌اند از: منع تجاوز و توسل به زور، منع نسل‌کشی، منع جنایت علیه بشریت، منع شکنجه، و حق تعیین سرنوشت. این نهاد، سقف نظام معاهدات است و هیچ توافقی ـ حتی به نام مصلحت ـ نمی‌تواند از آن فراتر رود؛ و همین، مبنای بین‌المللیِ «ضابطه هفتم» فصل چهارم است.</w:t>
      </w:r>
    </w:p>
    <w:p>
      <w:pPr>
        <w:pStyle w:val="TH-Body"/>
        <w:widowControl/>
        <w:bidi w:val="1"/>
        <w:spacing w:before="0" w:after="120" w:line="288" w:lineRule="auto"/>
        <w:jc w:val="both"/>
      </w:pPr>
      <w:r>
        <w:rPr>
          <w:rFonts w:ascii="B Lotus" w:hAnsi="B Lotus" w:cs="B Lotus" w:eastAsia="B Lotus"/>
          <w:b w:val="0"/>
          <w:i w:val="0"/>
          <w:sz w:val="28"/>
          <w:szCs w:val="28"/>
        </w:rPr>
        <w:t>افزون بر اسباب، کنوانسیون وین «آیین» خاصی نیز برای تعلیق و خاتمه مقرر کرده است (مواد ۶۵ تا ۶۸): دولتی که قصد استناد به یکی از اسباب یادشده را دارد، باید قصد خود را به‌صورت کتبی و مستدل به سایر اطراف «اطلاع» دهد، «مهلت» مقرر (دست‌کم سه ماه، مگر در موارد فوریت خاص) را رعایت کند، و در صورت اعتراض سایر اطراف، راه‌های حل‌وفصل مسالمت‌آمیز اختلاف (مذاکره، میانجیگری، داوری یا دادرسی) را بپیماید.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این آیین، شباهت معنادار و عمیقی با نهاد فقهی «انباذ علی سواء» (اعلام آشکار پایان پیمان) دارد که در فصل سوم بررسی خواهد شد؛ و همین شباهت ـ که نشان‌دهنده هم‌گرایی عقلانیت فقهی و عقلانیت حقوقی در این نقطه است ـ یکی از پایه‌های ضابطه «اعلام و شفافیت» در فصل چهارم خواهد بود.</w:t>
      </w:r>
    </w:p>
    <w:p>
      <w:pPr>
        <w:pStyle w:val="TH-Goftar"/>
        <w:widowControl/>
        <w:bidi w:val="1"/>
        <w:spacing w:before="200" w:after="120" w:line="288" w:lineRule="auto"/>
        <w:jc w:val="right"/>
      </w:pPr>
      <w:r>
        <w:rPr>
          <w:rFonts w:ascii="B Titr" w:hAnsi="B Titr" w:cs="B Titr" w:eastAsia="B Titr"/>
          <w:b/>
          <w:i w:val="0"/>
          <w:sz w:val="32"/>
          <w:szCs w:val="32"/>
        </w:rPr>
        <w:t>گفتار چهارم: جایگاه معاهدات در قانون اساسی جمهوری اسلامی ایران</w:t>
      </w:r>
    </w:p>
    <w:p>
      <w:pPr>
        <w:pStyle w:val="TH-Body"/>
        <w:widowControl/>
        <w:bidi w:val="1"/>
        <w:spacing w:before="0" w:after="120" w:line="288" w:lineRule="auto"/>
        <w:jc w:val="both"/>
      </w:pPr>
      <w:r>
        <w:rPr>
          <w:rFonts w:ascii="B Lotus" w:hAnsi="B Lotus" w:cs="B Lotus" w:eastAsia="B Lotus"/>
          <w:b w:val="0"/>
          <w:i w:val="0"/>
          <w:sz w:val="28"/>
          <w:szCs w:val="28"/>
        </w:rPr>
        <w:t>قانون اساسی جمهوری اسلامی ایران، نظام تصمیم‌گیری درباره معاهدات را در دو لایه سامان داده است: لایه اصول سیاست خارجی (فصل دهم) و لایه اصول نهادی (توزیع صلاحیت‌ها). شناخت هر دو لایه برای فهم مسئله ضروری است.</w:t>
      </w:r>
    </w:p>
    <w:p>
      <w:pPr>
        <w:pStyle w:val="TH-Body"/>
        <w:widowControl/>
        <w:bidi w:val="1"/>
        <w:spacing w:before="0" w:after="120" w:line="288" w:lineRule="auto"/>
        <w:jc w:val="both"/>
      </w:pPr>
      <w:r>
        <w:rPr>
          <w:rFonts w:ascii="B Lotus" w:hAnsi="B Lotus" w:cs="B Lotus" w:eastAsia="B Lotus"/>
          <w:b w:val="0"/>
          <w:i w:val="0"/>
          <w:sz w:val="28"/>
          <w:szCs w:val="28"/>
        </w:rPr>
        <w:t>در لایه سیاست خارجی، اصول ۱۵۲ تا ۱۵۴، جهت‌گیری کلان نظام را در روابط بین‌المللی ترسیم می‌کنند: اصل ۱۵۲، سیاست خارجی را بر اساس «نفی هرگونه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 استوار می‌کند؛</w:t>
      </w:r>
      <w:r>
        <w:rPr>
          <w:rFonts w:ascii="B Lotus" w:hAnsi="B Lotus" w:cs="B Lotus" w:eastAsia="B Lotus"/>
          <w:b w:val="0"/>
          <w:i w:val="0"/>
          <w:sz w:val="28"/>
          <w:szCs w:val="28"/>
          <w:vertAlign w:val="superscript"/>
        </w:rPr>
        <w:footnoteReference w:id="35"/>
      </w:r>
      <w:r>
        <w:rPr>
          <w:rFonts w:ascii="B Lotus" w:hAnsi="B Lotus" w:cs="B Lotus" w:eastAsia="B Lotus"/>
          <w:b w:val="0"/>
          <w:i w:val="0"/>
          <w:sz w:val="28"/>
          <w:szCs w:val="28"/>
        </w:rPr>
        <w:t xml:space="preserve"> اصل ۱۵۳، «هرگونه قرارداد که موجب سلطه بیگانه بر منابع طبیعی و اقتصادی، فرهنگ، ارتش و دیگر شئون کشور گردد» را ممنوع می‌شمارد؛</w:t>
      </w:r>
      <w:r>
        <w:rPr>
          <w:rFonts w:ascii="B Lotus" w:hAnsi="B Lotus" w:cs="B Lotus" w:eastAsia="B Lotus"/>
          <w:b w:val="0"/>
          <w:i w:val="0"/>
          <w:sz w:val="28"/>
          <w:szCs w:val="28"/>
          <w:vertAlign w:val="superscript"/>
        </w:rPr>
        <w:footnoteReference w:id="36"/>
      </w:r>
      <w:r>
        <w:rPr>
          <w:rFonts w:ascii="B Lotus" w:hAnsi="B Lotus" w:cs="B Lotus" w:eastAsia="B Lotus"/>
          <w:b w:val="0"/>
          <w:i w:val="0"/>
          <w:sz w:val="28"/>
          <w:szCs w:val="28"/>
        </w:rPr>
        <w:t xml:space="preserve"> و اصل ۱۵۴، ضمن حمایت از «مبارزه حق‌طلبانه مستضعفین در برابر مستکبرین در هر نقطه جهان»، هرگونه مداخله در امور داخلی ملت‌ها را نفی می‌کند.</w:t>
      </w:r>
      <w:r>
        <w:rPr>
          <w:rFonts w:ascii="B Lotus" w:hAnsi="B Lotus" w:cs="B Lotus" w:eastAsia="B Lotus"/>
          <w:b w:val="0"/>
          <w:i w:val="0"/>
          <w:sz w:val="28"/>
          <w:szCs w:val="28"/>
          <w:vertAlign w:val="superscript"/>
        </w:rPr>
        <w:footnoteReference w:id="37"/>
      </w:r>
      <w:r>
        <w:rPr>
          <w:rFonts w:ascii="B Lotus" w:hAnsi="B Lotus" w:cs="B Lotus" w:eastAsia="B Lotus"/>
          <w:b w:val="0"/>
          <w:i w:val="0"/>
          <w:sz w:val="28"/>
          <w:szCs w:val="28"/>
        </w:rPr>
        <w:t xml:space="preserve"> اهمیت این اصول برای پژوهش حاضر در دو نکته است: نخست، اصل ۱۵۳ با ممنوع‌شمردن قراردادهای سلطه‌آور، صورتِ قانون اساسیِ «قاعده نفی سبیل» است و نشان می‌دهد که نظام حقوقی ایران، از ابتدا، «سلطه‌ستیزی» را در تاروپود معاهدات خود تنیده است. دوم، این اصول، «معیار» ارزیابی معاهدات‌اند: معاهده‌ای که با این اصول ناسازگار شود، از مجرای سیاست‌های کلی و تشخیص رهبری، در دایره تصمیم حکومتی قرار می‌گیرد.</w:t>
      </w:r>
    </w:p>
    <w:p>
      <w:pPr>
        <w:pStyle w:val="TH-Body"/>
        <w:widowControl/>
        <w:bidi w:val="1"/>
        <w:spacing w:before="0" w:after="120" w:line="288" w:lineRule="auto"/>
        <w:jc w:val="both"/>
      </w:pPr>
      <w:r>
        <w:rPr>
          <w:rFonts w:ascii="B Lotus" w:hAnsi="B Lotus" w:cs="B Lotus" w:eastAsia="B Lotus"/>
          <w:b w:val="0"/>
          <w:i w:val="0"/>
          <w:sz w:val="28"/>
          <w:szCs w:val="28"/>
        </w:rPr>
        <w:t>در لایه نهادی، صلاحیت‌ها میان سه نهاد «مجلس شورای اسلامی»، «رئیس‌جمهور» و «رهبری» توزیع شده است؛ هرچند سهم هر یک، یکسان نیست و همین توزیع نامتقارن، یکی از گره‌های پژوهش حاضر است. اصل ۷۷ مقرر می‌دارد: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38"/>
      </w:r>
      <w:r>
        <w:rPr>
          <w:rFonts w:ascii="B Lotus" w:hAnsi="B Lotus" w:cs="B Lotus" w:eastAsia="B Lotus"/>
          <w:b w:val="0"/>
          <w:i w:val="0"/>
          <w:sz w:val="28"/>
          <w:szCs w:val="28"/>
        </w:rPr>
        <w:t xml:space="preserve"> دلالت این اصل بر مسئله، غیرمستقیم اما مهم است: این اصل، «تصویب» را شرط لازم‌الاتباع‌شدن معاهده در نظام داخلی می‌داند و نشان می‌دهد که معاهده در نظام حقوقی ایران، از مجرای قوه مقننه وارد حقوق داخلی می‌شود. پرسشی که در فصل پنجم بررسی خواهد شد آن است که آیا «خروج» از همین مجرا نیز ـ یعنی تصویب مجلس ـ برای تعلیق یا خاتمه لازم است یا تصمیم مقام دیگری (رهبری) کفایت می‌کند.</w:t>
      </w:r>
    </w:p>
    <w:p>
      <w:pPr>
        <w:pStyle w:val="TH-Body"/>
        <w:widowControl/>
        <w:bidi w:val="1"/>
        <w:spacing w:before="0" w:after="120" w:line="288" w:lineRule="auto"/>
        <w:jc w:val="both"/>
      </w:pPr>
      <w:r>
        <w:rPr>
          <w:rFonts w:ascii="B Lotus" w:hAnsi="B Lotus" w:cs="B Lotus" w:eastAsia="B Lotus"/>
          <w:b w:val="0"/>
          <w:i w:val="0"/>
          <w:sz w:val="28"/>
          <w:szCs w:val="28"/>
        </w:rPr>
        <w:t>اصل ۱۲۵ مقرر می‌دارد: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Lotus" w:hAnsi="B Lotus" w:cs="B Lotus" w:eastAsia="B Lotus"/>
          <w:b w:val="0"/>
          <w:i w:val="0"/>
          <w:sz w:val="28"/>
          <w:szCs w:val="28"/>
          <w:vertAlign w:val="superscript"/>
        </w:rPr>
        <w:footnoteReference w:id="39"/>
      </w:r>
      <w:r>
        <w:rPr>
          <w:rFonts w:ascii="B Lotus" w:hAnsi="B Lotus" w:cs="B Lotus" w:eastAsia="B Lotus"/>
          <w:b w:val="0"/>
          <w:i w:val="0"/>
          <w:sz w:val="28"/>
          <w:szCs w:val="28"/>
        </w:rPr>
        <w:t xml:space="preserve"> دلالت این اصل نیز غیرمستقیم است: این اصل، «امضا» (به معنای اعلام التزام نهایی) را از آنِ رئیس‌جمهور می‌داند و از رهبری نامی نمی‌برد. همین سکوت، دستمایه یکی از استدلال‌های موافقان «حصر اختیارات رهبری» است که در فصل پنجم نقد خواهد شد.</w:t>
      </w:r>
    </w:p>
    <w:p>
      <w:pPr>
        <w:pStyle w:val="TH-Body"/>
        <w:widowControl/>
        <w:bidi w:val="1"/>
        <w:spacing w:before="0" w:after="120" w:line="288" w:lineRule="auto"/>
        <w:jc w:val="both"/>
      </w:pPr>
      <w:r>
        <w:rPr>
          <w:rFonts w:ascii="B Lotus" w:hAnsi="B Lotus" w:cs="B Lotus" w:eastAsia="B Lotus"/>
          <w:b w:val="0"/>
          <w:i w:val="0"/>
          <w:sz w:val="28"/>
          <w:szCs w:val="28"/>
        </w:rPr>
        <w:t>اصل ۵۷، چارچوب کلان نظام را چنین ترسیم می‌کند: قوای حاکم (مقننه، مجریه و قضائیه) «زیر نظر ولایت مطلقه امر و امامت امت» و «بر طبق اصول آینده این قانون» اعمال می‌گردند و «مستقل از یکدیگرند».</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دو قید این اصل ـ «ولایت مطلقه امر» از یک‌سو و «بر طبق اصول آینده» از سوی دیگر ـ منشأ یکی از مهم‌ترین مناقشات حقوق اساسی ایران است: آیا قید دوم، قید اول را محدود می‌کند (و در نتیجه اختیارات رهبری منحصر در اصل ۱۱۰ است) یا قید اول، مبنای اختیاراتی فراتر از اصل ۱۱۰ است؟ اجمال این مناقشه در این‌جا کافی است و تفصیل آن ـ با نقد منصفانه هر دو دیدگاه ـ به فصل پنجم موکول می‌شود.</w:t>
      </w:r>
    </w:p>
    <w:p>
      <w:pPr>
        <w:pStyle w:val="TH-Body"/>
        <w:widowControl/>
        <w:bidi w:val="1"/>
        <w:spacing w:before="0" w:after="120" w:line="288" w:lineRule="auto"/>
        <w:jc w:val="both"/>
      </w:pPr>
      <w:r>
        <w:rPr>
          <w:rFonts w:ascii="B Lotus" w:hAnsi="B Lotus" w:cs="B Lotus" w:eastAsia="B Lotus"/>
          <w:b w:val="0"/>
          <w:i w:val="0"/>
          <w:sz w:val="28"/>
          <w:szCs w:val="28"/>
        </w:rPr>
        <w:t>اصل ۱۱۰، «وظایف و اختیارات رهبر» را در یازده بند برمی‌شمارد: تعیین سیاست‌های کلی نظام، نظارت بر حسن اجرای آن‌ها، فرمان همه‌پرسی، فرماندهی کل نیروهای مسلح، اعلان جنگ و صلح و بسیج نیروها، نصب و عزل مقامات عالی، حل اختلاف و تنظیم روابط قوای سه‌گانه، حل معضلات نظام از طریق مجمع تشخیص مصلحت، امضای حکم ریاست‌جمهوری، عزل رئیس‌جمهور با شرایط مقرر، و عفو یا تخفیف مجازات.</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نکته‌ای که باید از هم‌اکنون با صراحت ثبت شود آن است که در هیچ‌یک از این یازده بند، اختیاری درباره «انعقاد، تعلیق یا نقض معاهدات بین‌المللی» به‌صراحت ذکر نشده است. این واقعیتِ متنی، هرگونه استدلال درباره اختیار رهبری در حوزه معاهدات را ناگزیر به یکی از این سه مسیر می‌کشاند: استناد به «بندهای عام» اصل ۱۱۰ (به‌ویژه بندهای ۱، ۵، ۷ و ۸)، استناد به «ولایت مطلقه» مذکور در اصل ۵۷، یا پذیرش «سکوت» قانون اساسی و ارجاع مسئله به فقه و عرف اساسی. داوری میان این سه مسیر، از وظایف فصل پنجم است.</w:t>
      </w:r>
    </w:p>
    <w:p>
      <w:pPr>
        <w:pStyle w:val="TH-Body"/>
        <w:widowControl/>
        <w:bidi w:val="1"/>
        <w:spacing w:before="0" w:after="120" w:line="288" w:lineRule="auto"/>
        <w:jc w:val="both"/>
      </w:pPr>
      <w:r>
        <w:rPr>
          <w:rFonts w:ascii="B Lotus" w:hAnsi="B Lotus" w:cs="B Lotus" w:eastAsia="B Lotus"/>
          <w:b w:val="0"/>
          <w:i w:val="0"/>
          <w:sz w:val="28"/>
          <w:szCs w:val="28"/>
        </w:rPr>
        <w:t>اصل ۱۱۲ نیز با تأسیس «مجمع تشخیص مصلحت نظام» ـ که به دستور رهبری تشکیل می‌شود و در حل اختلاف مجلس و شورای نگهبان و نیز در مشاوره درباره معضلات نظام نقش دارد ـ نهاد تخصصی تشخیص مصلحت را در نظام حقوقی ایران رسمیت بخشیده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و اصل ۱۷۶ با تأسیس «شورای عالی امنیت ملی» ـ که مصوبات آن پس از تأیید مقام رهبری قابل اجراست ـ نهاد تخصصی تصمیم‌سازی امنیتی را پیش‌بینی کرده است.</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 این دو نهاد با تشخیص مصلحت توسط شخص ولی فقیه، در فصل چهارم (مرجع تشخیص مصلحت) بررسی خواهد شد.</w:t>
      </w:r>
    </w:p>
    <w:p>
      <w:pPr>
        <w:pStyle w:val="TH-Goftar"/>
        <w:widowControl/>
        <w:bidi w:val="1"/>
        <w:spacing w:before="200" w:after="120" w:line="288" w:lineRule="auto"/>
        <w:jc w:val="right"/>
      </w:pPr>
      <w:r>
        <w:rPr>
          <w:rFonts w:ascii="B Titr" w:hAnsi="B Titr" w:cs="B Titr" w:eastAsia="B Titr"/>
          <w:b/>
          <w:i w:val="0"/>
          <w:sz w:val="32"/>
          <w:szCs w:val="32"/>
        </w:rPr>
        <w:t>حاصل فصل دوم</w:t>
      </w:r>
    </w:p>
    <w:p>
      <w:pPr>
        <w:pStyle w:val="TH-Body"/>
        <w:widowControl/>
        <w:bidi w:val="1"/>
        <w:spacing w:before="0" w:after="120" w:line="288" w:lineRule="auto"/>
        <w:jc w:val="both"/>
      </w:pPr>
      <w:r>
        <w:rPr>
          <w:rFonts w:ascii="B Lotus" w:hAnsi="B Lotus" w:cs="B Lotus" w:eastAsia="B Lotus"/>
          <w:b w:val="0"/>
          <w:i w:val="0"/>
          <w:sz w:val="28"/>
          <w:szCs w:val="28"/>
        </w:rPr>
        <w:t>حاصل این فصل، ترسیم نقشه تاریخی و نهادی مسئله است: از نظر تاریخی، سنت پیمانی اسلام (میثاق مدینه، حدیبیه، عهد نجران و عهدنامه مالک اشتر) بر دو پایه «وفای محکم» و «عدالت در مفاد» استوار است و نظام مدرن معاهدات (کنوانسیون وین ۱۹۶۹) نیز همین دو پایه را در زبان حقوقی صورت‌بندی کرده است. در حقوق بین‌الملل، اصل، «وفای با حسن نیت» است (ماده ۲۶) و استناد به حقوق داخلی، توجیه عدم اجرا نیست (ماده ۲۷)؛ اما نظام استثناییِ مضیقی برای تعلیق و خاتمه (مواد ۵۴ تا ۶۴) با آیین خاص (مواد ۶۵ تا ۶۸) وجود دارد. در حقوق اساسی ایران، سیاست خارجی بر سلطه‌ستیزی استوار است (اصول ۱۵۲ تا ۱۵۴)، تصویب معاهدات با مجلس (اصل ۷۷) و امضای آن با رئیس‌جمهور (اصل ۱۲۵) است، و اختیار رهبری در این حوزه، صراحتاً در اصل ۱۱۰ نیامده و باید از بندهای عام یا از اصل ۵۷ استنباط شود. با این نقشه جامع، اکنون می‌توان وارد تحلیل فقهی مسئله شد.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دوم: تحلیل فقهی مسئله</w:t>
      </w:r>
    </w:p>
    <w:p>
      <w:r>
        <w:br w:type="page"/>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سوم: ادله وجوب وفای به عهد و ممنوعیت نقض</w:t>
      </w:r>
    </w:p>
    <w:p>
      <w:pPr>
        <w:pStyle w:val="TH-Body"/>
        <w:widowControl/>
        <w:bidi w:val="1"/>
        <w:spacing w:before="0" w:after="120" w:line="288" w:lineRule="auto"/>
        <w:jc w:val="both"/>
      </w:pPr>
      <w:r>
        <w:rPr>
          <w:rFonts w:ascii="B Lotus" w:hAnsi="B Lotus" w:cs="B Lotus" w:eastAsia="B Lotus"/>
          <w:b w:val="0"/>
          <w:i w:val="0"/>
          <w:sz w:val="28"/>
          <w:szCs w:val="28"/>
        </w:rPr>
        <w:t>بخش دوم رساله، قلب فقهی پژوهش است. در این بخش، دو دسته ادله در برابر یکدیگر نهاده می‌شوند: ادله وجوب وفای به عهد (فصل سوم) و ادله اختیار حاکم اسلامی در عدول از عهد (فصل چهارم). منطق این تفکیک، منطق «تنقیح طرفین مسئله» پیش از داوری است: تا گستره، قوت و قلمرو هر دسته از ادله روشن نشود، هرگونه جمع‌بندی، شتاب‌زده و ناپخته خواهد بود. ازاین‌رو، در این فصل، ادله وجوب وفا ـ اعم از قرآنی، روایی، سیره، عقلی و فقهی ـ با روش توصیف، تحلیل دلالت، نقد و جمع‌بندی بررسی می‌شوند؛ و در پایان، به شبهه «اطلاق» این ادله نیز پاسخ داده می‌شود تا راه برای ورود به فصل چهارم هموار گردد.</w:t>
      </w:r>
    </w:p>
    <w:p>
      <w:pPr>
        <w:pStyle w:val="TH-Goftar"/>
        <w:widowControl/>
        <w:bidi w:val="1"/>
        <w:spacing w:before="200" w:after="120" w:line="288" w:lineRule="auto"/>
        <w:jc w:val="right"/>
      </w:pPr>
      <w:r>
        <w:rPr>
          <w:rFonts w:ascii="B Titr" w:hAnsi="B Titr" w:cs="B Titr" w:eastAsia="B Titr"/>
          <w:b/>
          <w:i w:val="0"/>
          <w:sz w:val="32"/>
          <w:szCs w:val="32"/>
        </w:rPr>
        <w:t>گفتار اول: ادله قرآنی</w:t>
      </w:r>
    </w:p>
    <w:p>
      <w:pPr>
        <w:pStyle w:val="TH-Band"/>
        <w:widowControl/>
        <w:bidi w:val="1"/>
        <w:spacing w:before="200" w:after="120" w:line="288" w:lineRule="auto"/>
        <w:jc w:val="right"/>
      </w:pPr>
      <w:r>
        <w:rPr>
          <w:rFonts w:ascii="B Traffic" w:hAnsi="B Traffic" w:cs="B Traffic" w:eastAsia="B Traffic"/>
          <w:b/>
          <w:i w:val="0"/>
          <w:sz w:val="28"/>
          <w:szCs w:val="28"/>
        </w:rPr>
        <w:t>بند اول: آیات عام وفا به عقد و عهد و امانت</w:t>
      </w:r>
    </w:p>
    <w:p>
      <w:pPr>
        <w:pStyle w:val="TH-Body"/>
        <w:widowControl/>
        <w:bidi w:val="1"/>
        <w:spacing w:before="0" w:after="120" w:line="288" w:lineRule="auto"/>
        <w:jc w:val="both"/>
      </w:pPr>
      <w:r>
        <w:rPr>
          <w:rFonts w:ascii="B Lotus" w:hAnsi="B Lotus" w:cs="B Lotus" w:eastAsia="B Lotus"/>
          <w:b w:val="0"/>
          <w:i w:val="0"/>
          <w:sz w:val="28"/>
          <w:szCs w:val="28"/>
        </w:rPr>
        <w:t>قرآن کریم با تعابیر گوناگون و در سیاق‌های مختلف، به وفای به عهد فرمان داده و از نقض آن نهی کرده است. پنج آیه، محور اصلی استدلال فقها در این باب‌اند:</w:t>
      </w:r>
    </w:p>
    <w:p>
      <w:pPr>
        <w:pStyle w:val="TH-Body"/>
        <w:widowControl/>
        <w:bidi w:val="1"/>
        <w:spacing w:before="0" w:after="120" w:line="288" w:lineRule="auto"/>
        <w:jc w:val="both"/>
      </w:pPr>
      <w:r>
        <w:rPr>
          <w:rFonts w:ascii="B Lotus" w:hAnsi="B Lotus" w:cs="B Lotus" w:eastAsia="B Lotus"/>
          <w:b w:val="0"/>
          <w:i w:val="0"/>
          <w:sz w:val="28"/>
          <w:szCs w:val="28"/>
        </w:rPr>
        <w:t>آیه نخست: «یَا أَیُّهَا الَّذِینَ آمَنُوا أَوْفُوا بِالْعُقُودِ» (مائده، ۱). واژه «عقود» جمع «عقد» است و «عقد» در لغت و عرف، به معنای هرگونه گره و التزام استوار میان دو طرف است، اعم از عقدهای معاملی (مانند بیع و اجاره)، عقدهای خانوادگی (مانند نکاح)، و پیمان‌های سیاسی و اجتماعی. عموم این واژه ـ که با الف و لام جمع نیز تأکید شده ـ همه انواع التزام را در بر می‌گیرد و تخصیص آن به عقود معاملی، نیازمند دلیل است و دلیلی بر آن اقامه نشده است. مفسران امامیه نیز همین عموم را پذیرفته‌اند و مراد از عقود را اعم از «عقود الله» (تکالیف و پیمان‌های الهی) و «عقود الناس» (پیمان‌های میان مردم) دانسته‌اند.</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بنابراین، پیمان دولت اسلامی با دولت‌های دیگر ـ که بی‌تردید نوعی «عقد» به معنای عرفی (توافق الزام‌آور دو طرف) است ـ در شمول این آیه قرار می‌گیرد و مشمول وجوب وفا می‌شود. مخاطب آیه («یَا أَیُّهَا الَّذِینَ آمَنُوا») نیز عام است و حاکم و محکوم، فرد و دولت را یکسان در بر می‌گیرد.</w:t>
      </w:r>
    </w:p>
    <w:p>
      <w:pPr>
        <w:pStyle w:val="TH-Body"/>
        <w:widowControl/>
        <w:bidi w:val="1"/>
        <w:spacing w:before="0" w:after="120" w:line="288" w:lineRule="auto"/>
        <w:jc w:val="both"/>
      </w:pPr>
      <w:r>
        <w:rPr>
          <w:rFonts w:ascii="B Lotus" w:hAnsi="B Lotus" w:cs="B Lotus" w:eastAsia="B Lotus"/>
          <w:b w:val="0"/>
          <w:i w:val="0"/>
          <w:sz w:val="28"/>
          <w:szCs w:val="28"/>
        </w:rPr>
        <w:t>آیه دوم: «وَأَوْفُوا بِعَهْدِ اللَّهِ إِذَا عَاهَدْتُمْ وَلَا تَنْقُضُوا الْأَیْمَانَ بَعْدَ تَوْکِیدِهَا» (نحل، ۹۱). این آیه از سه جهت اهمیت دارد: نخست، تعبیر «عهد الله» که نشان می‌دهد عهد مؤمنان، در واقع عهدی با خداست و نقض آن، نقض پیمان الهی و خیانتی در برابر خداست، نه صرفاً تخلفی در برابر طرف مقابل. دوم، نهی صریح از «نقض» پس از «توکید» (استوارساختن)، که دقیقاً ناظر به مرحله پساانعقاد ـ یعنی مرحله مورد بحث این رساله ـ است: آیه نمی‌گوید پیمان نبندید، بلکه می‌گوید پس از بستن و استوارساختن، نشکنید. سوم، سیاق آیات پیش و پس (نهی از سوگندهای فریبکارانه برای حیله‌گری و برتری‌جویی) که نشان می‌دهد مراد، پایبندی واقعی و همراه با حسن نیت است، نه وفای صوری و ظاهری.</w:t>
      </w:r>
    </w:p>
    <w:p>
      <w:pPr>
        <w:pStyle w:val="TH-Body"/>
        <w:widowControl/>
        <w:bidi w:val="1"/>
        <w:spacing w:before="0" w:after="120" w:line="288" w:lineRule="auto"/>
        <w:jc w:val="both"/>
      </w:pPr>
      <w:r>
        <w:rPr>
          <w:rFonts w:ascii="B Lotus" w:hAnsi="B Lotus" w:cs="B Lotus" w:eastAsia="B Lotus"/>
          <w:b w:val="0"/>
          <w:i w:val="0"/>
          <w:sz w:val="28"/>
          <w:szCs w:val="28"/>
        </w:rPr>
        <w:t>آیه سوم، متمم آیه دوم است: «وَلَا تَکُونُوا کَالَّتِی نَقَضَتْ غَزْلَهَا مِنْ بَعْدِ قُوَّةٍ أَنْکَاثًا» (نحل، ۹۲)؛ یعنی مانند آن زنی نباشید که رشته تابیده خود را پس از محکم‌شدن، باز می‌کند و پنبه می‌سازد. این تمثیل قرآنی، پیمان‌شکنی را به کاری عبث، نابخردانه و مایه عبرت تشبیه می‌کند و بار عاطفی ـ اخلاقی سنگینی بر دوش ناقضان می‌نهد.</w:t>
      </w:r>
    </w:p>
    <w:p>
      <w:pPr>
        <w:pStyle w:val="TH-Body"/>
        <w:widowControl/>
        <w:bidi w:val="1"/>
        <w:spacing w:before="0" w:after="120" w:line="288" w:lineRule="auto"/>
        <w:jc w:val="both"/>
      </w:pPr>
      <w:r>
        <w:rPr>
          <w:rFonts w:ascii="B Lotus" w:hAnsi="B Lotus" w:cs="B Lotus" w:eastAsia="B Lotus"/>
          <w:b w:val="0"/>
          <w:i w:val="0"/>
          <w:sz w:val="28"/>
          <w:szCs w:val="28"/>
        </w:rPr>
        <w:t>آیه چهارم: «وَأَوْفُوا بِالْعَهْدِ إِنَّ الْعَهْدَ کَانَ مَسْئُولًا» (اسراء، ۳۴). جمله «إِنَّ الْعَهْدَ کَانَ مَسْئُولًا» (همانا عهد، مورد سؤال و بازخواست است) بار معنایی ویژه‌ای دارد: عهد، امانتی است که صاحب آن در برابر خدا مسئول است و این مسئولیت، جنبه اخروی و قطعی دارد. این آیه، پشتوانه «اخلاقی ـ اعتقادی» وجوب وفاست و نشان می‌دهد که پیمان‌شکنی، صرفاً یک تخلف حقوقی یا سیاسی نیست، بلکه خیانتی در امانت الهی است که بازخواست اخروی در پی دارد.</w:t>
      </w:r>
    </w:p>
    <w:p>
      <w:pPr>
        <w:pStyle w:val="TH-Body"/>
        <w:widowControl/>
        <w:bidi w:val="1"/>
        <w:spacing w:before="0" w:after="120" w:line="288" w:lineRule="auto"/>
        <w:jc w:val="both"/>
      </w:pPr>
      <w:r>
        <w:rPr>
          <w:rFonts w:ascii="B Lotus" w:hAnsi="B Lotus" w:cs="B Lotus" w:eastAsia="B Lotus"/>
          <w:b w:val="0"/>
          <w:i w:val="0"/>
          <w:sz w:val="28"/>
          <w:szCs w:val="28"/>
        </w:rPr>
        <w:t>آیه پنجم: «الَّذِینَ یُوفُونَ بِعَهْدِ اللَّهِ وَلَا یَنْقُضُونَ الْمِیثَاقَ» (رعد، ۲۰) در کنار «وَالَّذِینَ هُمْ لِأَمَانَاتِهِمْ وَعَهْدِهِمْ رَاعُونَ» (مؤمنون، ۸). این دو آیه، وفای به عهد را در شمار «اوصاف مؤمنان راستین» و «اولوالالباب» قرار می‌دهند و نشان می‌دهند که وفا، نه صرفاً یک تکلیف حقوقی، بلکه جزء هویت ایمانی است. کسی که پیمان می‌شکند، از زمره «راعون» (پاسداران عهد) بیرون می‌رود.</w:t>
      </w:r>
    </w:p>
    <w:p>
      <w:pPr>
        <w:pStyle w:val="TH-Body"/>
        <w:widowControl/>
        <w:bidi w:val="1"/>
        <w:spacing w:before="0" w:after="120" w:line="288" w:lineRule="auto"/>
        <w:jc w:val="both"/>
      </w:pPr>
      <w:r>
        <w:rPr>
          <w:rFonts w:ascii="B Lotus" w:hAnsi="B Lotus" w:cs="B Lotus" w:eastAsia="B Lotus"/>
          <w:b w:val="0"/>
          <w:i w:val="0"/>
          <w:sz w:val="28"/>
          <w:szCs w:val="28"/>
        </w:rPr>
        <w:t>تحلیل مجموعی: این آیات، یک نظام معنایی منسجم و چندلایه می‌سازند: مائده/۱، «قلمرو» وجوب (همه عقود و همه مؤمنان) را بیان می‌کند؛ نحل/۹۱ و ۹۲، «کیفیت» وجوب (وفای واقعی، نهی از نقض حیله‌گرانه، و نکوهش تمثیلی ناقضان) را بیان می‌کند؛ اسراء/۳۴، «ضمانت» وجوب (مسئولیت اخروی) را بیان می‌کند؛ و رعد/۲۰ و مؤمنون/۸، «جایگاه هویتی» وفا (وصف مؤمنان) را بیان می‌کنند. هیچ‌یک از این آیات، استثنایی برای «حاکم» یا «مصلحت» ذکر نکرده‌اند؛ و همین اطلاق، دستمایه استدلال قائلان به ممنوعیت مطلق نقض است. اما ـ چنان‌که در بند پایانی این گفتار و در فصل چهارم خواهد آمد ـ اطلاق، با ادله مقیدِ دیگر قابل جمع است و اطلاقِ به‌تنهایی، به معنای نفی هرگونه استثنا نیست؛ وگرنه باید بسیاری از احکامِ مطلقِ دیگر (مانند وجوب نماز) را نیز بی‌استثنا دانست، در حالی که استثناهای آن‌ها (مانند نماز مسافر و مریض) مسلم است.</w:t>
      </w:r>
    </w:p>
    <w:p>
      <w:pPr>
        <w:pStyle w:val="TH-Band"/>
        <w:widowControl/>
        <w:bidi w:val="1"/>
        <w:spacing w:before="200" w:after="120" w:line="288" w:lineRule="auto"/>
        <w:jc w:val="right"/>
      </w:pPr>
      <w:r>
        <w:rPr>
          <w:rFonts w:ascii="B Traffic" w:hAnsi="B Traffic" w:cs="B Traffic" w:eastAsia="B Traffic"/>
          <w:b/>
          <w:i w:val="0"/>
          <w:sz w:val="28"/>
          <w:szCs w:val="28"/>
        </w:rPr>
        <w:t>بند دوم: آیات خاص عهد با غیرمسلمانان و آیه انباذ</w:t>
      </w:r>
    </w:p>
    <w:p>
      <w:pPr>
        <w:pStyle w:val="TH-Body"/>
        <w:widowControl/>
        <w:bidi w:val="1"/>
        <w:spacing w:before="0" w:after="120" w:line="288" w:lineRule="auto"/>
        <w:jc w:val="both"/>
      </w:pPr>
      <w:r>
        <w:rPr>
          <w:rFonts w:ascii="B Lotus" w:hAnsi="B Lotus" w:cs="B Lotus" w:eastAsia="B Lotus"/>
          <w:b w:val="0"/>
          <w:i w:val="0"/>
          <w:sz w:val="28"/>
          <w:szCs w:val="28"/>
        </w:rPr>
        <w:t>در کنار آیات عام، دو دسته آیه خاص نیز وجود دارد که مستقیماً ناظر به پیمان با غیرمسلمانان‌اند و برای مسئله این رساله، از آیات عام مهم‌تر و تعیین‌کننده‌ترند؛ زیرا مسئله رساله، دقیقاً درباره پیمان با دولت‌های غیرمسلمان است:</w:t>
      </w:r>
    </w:p>
    <w:p>
      <w:pPr>
        <w:pStyle w:val="TH-Body"/>
        <w:widowControl/>
        <w:bidi w:val="1"/>
        <w:spacing w:before="0" w:after="120" w:line="288" w:lineRule="auto"/>
        <w:jc w:val="both"/>
      </w:pPr>
      <w:r>
        <w:rPr>
          <w:rFonts w:ascii="B Lotus" w:hAnsi="B Lotus" w:cs="B Lotus" w:eastAsia="B Lotus"/>
          <w:b w:val="0"/>
          <w:i w:val="0"/>
          <w:sz w:val="28"/>
          <w:szCs w:val="28"/>
        </w:rPr>
        <w:t>دسته نخست، آیات اتمام عهد با مشرکان پایبند است: «إِلَّا الَّذِینَ عَاهَدْتُمْ مِنَ الْمُشْرِکِینَ ثُمَّ لَمْ یَنْقُصُوکُمْ شَیْئًا وَلَمْ یُظَاهِرُوا عَلَیْکُمْ أَحَدًا فَأَتِمُّوا إِلَيْهِمْ عَهْدَهُمْ إِلَى مُدَّتِهِمْ إِنَّ اللَّهَ یُحِبُّ الْمُتَّقِینَ» (توبه، ۴). این آیه در سیاق آیات برائت ـ که عهد با مشرکان پیمان‌شکن را ملغی اعلام می‌کند ـ استثنایی مهم و معنادار می‌زند: مشرکانی که به عهد خود پایبند مانده‌اند (نه کاسته‌اند و نه علیه مسلمانان با دشمن همدستی کرده‌اند)، عهدشان باید «تا پایان مدتش» (إِلَى مُدَّتِهِمْ) تمام شود؛ یعنی حتی در بحبوحه برائت عمومی، عهدِ خاصِ پایبندان محترم می‌ماند. دلالت این آیه بر مسئله، دوگانه و عمیق است: از یک‌سو، وجوب وفا حتی با مشرک را اثبات می‌کند و نشان می‌دهد که کفرِ طرف مقابل، به‌تنهایی مجوز نقض نیست (تقویت ادله وفا)؛ و از سوی دیگر، با دو قید «لَمْ یَنْقُصُوکُمْ» و «لَمْ یُظَاهِرُوا»، نشان می‌دهد که وجوب وفا، «مشروط به وفای متقابل» است و در فرض نقض یا همدستی با دشمن از سوی طرف مقابل، حکم دگرگون می‌شود (گشایش باب تحلیل فصل چهارم). آیه «فَمَا اسْتَقَامُوا لَکُمْ فَاسْتَقِیمُوا لَهُمْ إِنَّ اللَّهَ یُحِبُّ الْمُتَّقِینَ» (توبه، ۷) نیز همین منطق «تقابل» را تأکید می‌کند: پایداری ما در برابر پایداری آن‌ها؛ و مفهوم مخالف آن، جواز عدم پایداری در برابر عدم پایداری آن‌هاست.</w:t>
      </w:r>
    </w:p>
    <w:p>
      <w:pPr>
        <w:pStyle w:val="TH-Body"/>
        <w:widowControl/>
        <w:bidi w:val="1"/>
        <w:spacing w:before="0" w:after="120" w:line="288" w:lineRule="auto"/>
        <w:jc w:val="both"/>
      </w:pPr>
      <w:r>
        <w:rPr>
          <w:rFonts w:ascii="B Lotus" w:hAnsi="B Lotus" w:cs="B Lotus" w:eastAsia="B Lotus"/>
          <w:b w:val="0"/>
          <w:i w:val="0"/>
          <w:sz w:val="28"/>
          <w:szCs w:val="28"/>
        </w:rPr>
        <w:t>دسته دوم، آیه «انباذ» است: «وَإِمَّا تَخَافَنَّ مِنْ قَوْمٍ خِیَانَةً فَانْبِذْ إِلَيْهِمْ عَلَى سَوَاءٍ إِنَّ اللَّهَ لَا یُحِبُّ الْخَائِنِینَ» (انفال، ۵۸). این آیه، مهم‌ترین و کانونی‌ترین آیه برای مسئله این رساله است و باید با دقت تمام تحلیل شود. مفاد آیه: هرگاه از قومی (که با آن‌ها پیمان داری) بیم خیانت داری، پیمان را به‌سوی آن‌ها بیفکن؛ یعنی اعلام کن که پیمان پایان یافته است؛ و این کار را «عَلَى سَوَاءٍ» انجام بده، یعنی به‌صورت برابر و آشکار، به‌گونه‌ای که هر دو طرف بدانند پیمانی در کار نیست و هیچ‌یک دیگری را غافلگیر نکند؛ زیرا خدا خائنان را دوست ندارد.</w:t>
      </w:r>
    </w:p>
    <w:p>
      <w:pPr>
        <w:pStyle w:val="TH-Body"/>
        <w:widowControl/>
        <w:bidi w:val="1"/>
        <w:spacing w:before="0" w:after="120" w:line="288" w:lineRule="auto"/>
        <w:jc w:val="both"/>
      </w:pPr>
      <w:r>
        <w:rPr>
          <w:rFonts w:ascii="B Lotus" w:hAnsi="B Lotus" w:cs="B Lotus" w:eastAsia="B Lotus"/>
          <w:b w:val="0"/>
          <w:i w:val="0"/>
          <w:sz w:val="28"/>
          <w:szCs w:val="28"/>
        </w:rPr>
        <w:t>پنج نکته تحلیلی از این آیه به دست می‌آید که هر یک ستونی از بنای فصل چهارم است: نکته یکم: آیه، «خوف از خیانت» (و نه خیانت قطعی و واقع‌شده) را برای پایان‌دادن به پیمان کافی می‌داند؛ یعنی لازم نیست حاکم منتظر وقوع خیانت و تحمیل خسارت بماند، بلکه خوف عقلاییِ مستند، کافی است. نکته دوم: پایان‌دادن، مشروط به «اعلام آشکار» است؛ به بیان دیگر، آن‌چه حرام است، «خیانت و غدر» (پیمان‌شکنی پنهانی و غافلگیرانه) است، نه «پایان‌دادن اعلام‌شده». نکته سوم: تعبیر «عَلَى سَوَاءٍ» (برابری در آگاهی) نشان می‌دهد که شارع، حتی در مقام پایان‌دادن به پیمان، «شفافیت» و «اطلاع طرف مقابل» را واجب می‌داند؛ و این، مبنای قرآنیِ مستقیمِ ضابطه «اعلام و شفافیت» در فصل چهارم است. نکته چهارم: مخاطب آیه، «حاکم» است (پیامبر به‌مثابه حاکم دولت اسلامی) و فعل «فَانْبِذْ» امر به اقدام حکومتی است؛ پس خودِ قرآن، برای حاکم، «اختیار مدیریتِ پایانِ پیمان» قائل شده است. نکته پنجم: جمله پایانی «إِنَّ اللَّهَ لَا یُحِبُّ الْخَائِنِینَ» مرز میان «انباذ مشروع» و «خیانت ممنوع» را روشن می‌کند: انباذِ اعلام‌شده، خیانت نیست و مشمول این نکوهش نمی‌شود؛ خیانت، نقض پنهانی و غافلگیرانه است.</w:t>
      </w:r>
    </w:p>
    <w:p>
      <w:pPr>
        <w:pStyle w:val="TH-Body"/>
        <w:widowControl/>
        <w:bidi w:val="1"/>
        <w:spacing w:before="0" w:after="120" w:line="288" w:lineRule="auto"/>
        <w:jc w:val="both"/>
      </w:pPr>
      <w:r>
        <w:rPr>
          <w:rFonts w:ascii="B Lotus" w:hAnsi="B Lotus" w:cs="B Lotus" w:eastAsia="B Lotus"/>
          <w:b w:val="0"/>
          <w:i w:val="0"/>
          <w:sz w:val="28"/>
          <w:szCs w:val="28"/>
        </w:rPr>
        <w:t>نتیجه این بند آن است که ادله قرآنی، نظامی «دوسطحی» و متوازن می‌سازند: سطح نخست، اصل محکم و فراگیر وجوب وفا (آیات عام و توبه/۴)؛ و سطح دوم، سازوکار مشروعِ پایان‌دادن به پیمان در شرایط خاص (انفال/۵۸ و منطق تقابل توبه/۷). این ساختار دوسطحی، از هم‌اکنون نشان می‌دهد که فرضیه «ممنوعیت مطلق و بی‌استثنای هرگونه عدول» با منطق قرآن سازگار نیست؛ هرچند فرضیه «جواز مطلق و بی‌ضابطه» نیز با آن ناسازگار است. راه میانه ـ یعنی جواز مشروط و ضابطه‌مند ـ همان است که در فصل چهارم صورت‌بندی خواهد شد.</w:t>
      </w:r>
    </w:p>
    <w:p>
      <w:pPr>
        <w:pStyle w:val="TH-Goftar"/>
        <w:widowControl/>
        <w:bidi w:val="1"/>
        <w:spacing w:before="200" w:after="120" w:line="288" w:lineRule="auto"/>
        <w:jc w:val="right"/>
      </w:pPr>
      <w:r>
        <w:rPr>
          <w:rFonts w:ascii="B Titr" w:hAnsi="B Titr" w:cs="B Titr" w:eastAsia="B Titr"/>
          <w:b/>
          <w:i w:val="0"/>
          <w:sz w:val="32"/>
          <w:szCs w:val="32"/>
        </w:rPr>
        <w:t>گفتار دوم: روایات، عهدنامه مالک اشتر و سیره</w:t>
      </w:r>
    </w:p>
    <w:p>
      <w:pPr>
        <w:pStyle w:val="TH-Band"/>
        <w:widowControl/>
        <w:bidi w:val="1"/>
        <w:spacing w:before="200" w:after="120" w:line="288" w:lineRule="auto"/>
        <w:jc w:val="right"/>
      </w:pPr>
      <w:r>
        <w:rPr>
          <w:rFonts w:ascii="B Traffic" w:hAnsi="B Traffic" w:cs="B Traffic" w:eastAsia="B Traffic"/>
          <w:b/>
          <w:i w:val="0"/>
          <w:sz w:val="28"/>
          <w:szCs w:val="28"/>
        </w:rPr>
        <w:t>بند اول: قاعده «المسلمون عند شروطهم» و روایات وفا</w:t>
      </w:r>
    </w:p>
    <w:p>
      <w:pPr>
        <w:pStyle w:val="TH-Body"/>
        <w:widowControl/>
        <w:bidi w:val="1"/>
        <w:spacing w:before="0" w:after="120" w:line="288" w:lineRule="auto"/>
        <w:jc w:val="both"/>
      </w:pPr>
      <w:r>
        <w:rPr>
          <w:rFonts w:ascii="B Lotus" w:hAnsi="B Lotus" w:cs="B Lotus" w:eastAsia="B Lotus"/>
          <w:b w:val="0"/>
          <w:i w:val="0"/>
          <w:sz w:val="28"/>
          <w:szCs w:val="28"/>
        </w:rPr>
        <w:t>مشهورترین روایت در باب لزوم وفا به التزام، روایت نبوی «الْمُسْلِمُونَ عِنْدَ شُرُوطِهِمْ» (مسلمانان پایبند به شرط‌های خویش‌اند) است که در جوامع روایی شیعه و سنی نقل شده و فقها از آن، قاعده‌ای عام برای لزوم وفا به همه شروط و التزام‌ها ـ اعم از ضمن عقد و مستقل، و اعم از فردی و حکومتی ـ استنباط کرده‌اند.</w:t>
      </w:r>
      <w:r>
        <w:rPr>
          <w:rFonts w:ascii="B Lotus" w:hAnsi="B Lotus" w:cs="B Lotus" w:eastAsia="B Lotus"/>
          <w:b w:val="0"/>
          <w:i w:val="0"/>
          <w:sz w:val="28"/>
          <w:szCs w:val="28"/>
          <w:vertAlign w:val="superscript"/>
        </w:rPr>
        <w:footnoteReference w:id="45"/>
      </w:r>
      <w:r>
        <w:rPr>
          <w:rFonts w:ascii="B Lotus" w:hAnsi="B Lotus" w:cs="B Lotus" w:eastAsia="B Lotus"/>
          <w:b w:val="0"/>
          <w:i w:val="0"/>
          <w:sz w:val="28"/>
          <w:szCs w:val="28"/>
        </w:rPr>
        <w:t xml:space="preserve"> عموم «شروط» در این روایت، پیمان‌های سیاسی دولت اسلامی را نیز در بر می‌گیرد؛ زیرا این پیمان‌ها، چیزی جز «شرط» و التزام متقابل در سطح کلان نیستند. استثنای مشهور این قاعده («إِلَّا شَرْطًا حَرَّمَ حَلَالًا أَوْ أَحَلَّ حَرَامًا»؛ مگر شرطی که حلالی را حرام یا حرامی را حلال کند) نیز نشان می‌دهد که خودِ روایت، نظام‌مند است و استثنای خود را بیان کرده است.</w:t>
      </w:r>
    </w:p>
    <w:p>
      <w:pPr>
        <w:pStyle w:val="TH-Body"/>
        <w:widowControl/>
        <w:bidi w:val="1"/>
        <w:spacing w:before="0" w:after="120" w:line="288" w:lineRule="auto"/>
        <w:jc w:val="both"/>
      </w:pPr>
      <w:r>
        <w:rPr>
          <w:rFonts w:ascii="B Lotus" w:hAnsi="B Lotus" w:cs="B Lotus" w:eastAsia="B Lotus"/>
          <w:b w:val="0"/>
          <w:i w:val="0"/>
          <w:sz w:val="28"/>
          <w:szCs w:val="28"/>
        </w:rPr>
        <w:t>در کنار این روایت، روایات دیگری نیز بر قبح پیمان‌شکنی و وجوب وفا دلالت دارند؛ از جمله روایت مشهور «لَا إِیمَانَ لِمَنْ لَا أَمَانَةَ لَهُ وَلَا دِینَ لِمَنْ لَا عَهْدَ لَهُ» (کسی که امانت ندارد ایمان ندارد، و کسی که عهد ندارد دین ندارد) که بی‌عهدی را هم‌سنگ بی‌دینی می‌شمارد و نشان می‌دهد که وفا، جزء هویت دینی است.</w:t>
      </w:r>
      <w:r>
        <w:rPr>
          <w:rFonts w:ascii="B Lotus" w:hAnsi="B Lotus" w:cs="B Lotus" w:eastAsia="B Lotus"/>
          <w:b w:val="0"/>
          <w:i w:val="0"/>
          <w:sz w:val="28"/>
          <w:szCs w:val="28"/>
          <w:vertAlign w:val="superscript"/>
        </w:rPr>
        <w:footnoteReference w:id="46"/>
      </w:r>
      <w:r>
        <w:rPr>
          <w:rFonts w:ascii="B Lotus" w:hAnsi="B Lotus" w:cs="B Lotus" w:eastAsia="B Lotus"/>
          <w:b w:val="0"/>
          <w:i w:val="0"/>
          <w:sz w:val="28"/>
          <w:szCs w:val="28"/>
        </w:rPr>
        <w:t xml:space="preserve"> پیام مجموع این روایات، تقویت همان ساختاری است که از آیات به دست آمد: وفا، اصل مسلم است و نقض، استثنایی نیازمند دلیل خاص.</w:t>
      </w:r>
    </w:p>
    <w:p>
      <w:pPr>
        <w:pStyle w:val="TH-Band"/>
        <w:widowControl/>
        <w:bidi w:val="1"/>
        <w:spacing w:before="200" w:after="120" w:line="288" w:lineRule="auto"/>
        <w:jc w:val="right"/>
      </w:pPr>
      <w:r>
        <w:rPr>
          <w:rFonts w:ascii="B Traffic" w:hAnsi="B Traffic" w:cs="B Traffic" w:eastAsia="B Traffic"/>
          <w:b/>
          <w:i w:val="0"/>
          <w:sz w:val="28"/>
          <w:szCs w:val="28"/>
        </w:rPr>
        <w:t>بند دوم: عهدنامه مالک اشتر</w:t>
      </w:r>
    </w:p>
    <w:p>
      <w:pPr>
        <w:pStyle w:val="TH-Body"/>
        <w:widowControl/>
        <w:bidi w:val="1"/>
        <w:spacing w:before="0" w:after="120" w:line="288" w:lineRule="auto"/>
        <w:jc w:val="both"/>
      </w:pPr>
      <w:r>
        <w:rPr>
          <w:rFonts w:ascii="B Lotus" w:hAnsi="B Lotus" w:cs="B Lotus" w:eastAsia="B Lotus"/>
          <w:b w:val="0"/>
          <w:i w:val="0"/>
          <w:sz w:val="28"/>
          <w:szCs w:val="28"/>
        </w:rPr>
        <w:t>عهدنامه مالک اشتر (نامه ۵۳ نهج‌البلاغه) مهم‌ترین و معتبرترین سند روایی ـ حکومتی در باب پیمان‌های دولت اسلامی است؛ و اهمیت آن از چهار جهت است: نخست، از معصوم (علیه‌السلام) صادر شده است؛ دوم، خطاب به یک «حاکم» (والی مصر) است و نه افراد عادی؛ سوم، مستقیماً ناظر به «پیمان با دشمن» است (سخت‌ترین فرض)؛ و چهارم، در قالب «فرمان حکومتی» صادر شده و جنبه اجرایی ـ حکومتی دارد. امیرالمؤمنین (علیه‌السلام) در این عهدنامه می‌فرماید:</w:t>
      </w:r>
    </w:p>
    <w:p>
      <w:pPr>
        <w:pStyle w:val="TH-Quote"/>
        <w:widowControl/>
        <w:bidi w:val="1"/>
        <w:spacing w:before="160" w:after="160" w:line="288" w:lineRule="auto"/>
        <w:ind w:right="567" w:left="567"/>
        <w:jc w:val="center"/>
      </w:pPr>
      <w:r>
        <w:rPr>
          <w:rFonts w:ascii="B Badr" w:hAnsi="B Badr" w:cs="B Badr" w:eastAsia="B Badr"/>
          <w:b/>
          <w:i w:val="0"/>
          <w:sz w:val="26"/>
          <w:szCs w:val="26"/>
        </w:rPr>
        <w:t>وَإِنْ عَقَدْتَ بَیْنَکَ وَبَیْنَ عَدُوِّکَ عُقْدَةً أَوْ أَلْبَسْتَهُ مِنْکَ ذِمَّةً فَحُطَّ عَهْدَکَ بِالْوَفَاءِ وَارْعَ ذِمَّتَکَ بِالْأَمَانَةِ</w:t>
      </w:r>
    </w:p>
    <w:p>
      <w:pPr>
        <w:pStyle w:val="TH-Body"/>
        <w:widowControl/>
        <w:bidi w:val="1"/>
        <w:spacing w:before="0" w:after="120" w:line="288" w:lineRule="auto"/>
        <w:jc w:val="both"/>
      </w:pPr>
      <w:r>
        <w:rPr>
          <w:rFonts w:ascii="B Lotus" w:hAnsi="B Lotus" w:cs="B Lotus" w:eastAsia="B Lotus"/>
          <w:b w:val="0"/>
          <w:i w:val="0"/>
          <w:sz w:val="28"/>
          <w:szCs w:val="28"/>
        </w:rPr>
        <w:t>یعنی: «هرگاه میان خود و دشمنت پیمانی بستی یا از سوی خود به او امانی دادی، پیمانت را با وفا پاس دار و ذمه‌ات را با امانت نگه دار».</w:t>
      </w:r>
      <w:r>
        <w:rPr>
          <w:rFonts w:ascii="B Lotus" w:hAnsi="B Lotus" w:cs="B Lotus" w:eastAsia="B Lotus"/>
          <w:b w:val="0"/>
          <w:i w:val="0"/>
          <w:sz w:val="28"/>
          <w:szCs w:val="28"/>
          <w:vertAlign w:val="superscript"/>
        </w:rPr>
        <w:footnoteReference w:id="47"/>
      </w:r>
      <w:r>
        <w:rPr>
          <w:rFonts w:ascii="B Lotus" w:hAnsi="B Lotus" w:cs="B Lotus" w:eastAsia="B Lotus"/>
          <w:b w:val="0"/>
          <w:i w:val="0"/>
          <w:sz w:val="28"/>
          <w:szCs w:val="28"/>
        </w:rPr>
        <w:t xml:space="preserve"> سپس در ادامه، فلسفه این حکم را چنین بیان می‌کند که هیچ‌یک از فرایض الهی، همچون بزرگداشت وفای به عهدها، مورد اتفاق همگان ـ با همه اختلاف سلیقه‌ها و گرایش‌ها ـ نیست؛ و پس از آن، مالک را از هرگونه «غدر» (حیله و پیمان‌شکنی)، «مکر» و «خیانت» در پیمان برحذر می‌دارد و تأکید می‌کند که شکیبایی بر دشواریِ پیمان، بهتر از عاقبتِ پیمان‌شکنی است.</w:t>
      </w:r>
    </w:p>
    <w:p>
      <w:pPr>
        <w:pStyle w:val="TH-Body"/>
        <w:widowControl/>
        <w:bidi w:val="1"/>
        <w:spacing w:before="0" w:after="120" w:line="288" w:lineRule="auto"/>
        <w:jc w:val="both"/>
      </w:pPr>
      <w:r>
        <w:rPr>
          <w:rFonts w:ascii="B Lotus" w:hAnsi="B Lotus" w:cs="B Lotus" w:eastAsia="B Lotus"/>
          <w:b w:val="0"/>
          <w:i w:val="0"/>
          <w:sz w:val="28"/>
          <w:szCs w:val="28"/>
        </w:rPr>
        <w:t>تحلیل دلالت: این عهدنامه از چند جهت برای مسئله رساله تعیین‌کننده است: (۱) مخاطب آن «حاکم» است، پس نمی‌توان گفت ادله وفا فقط ناظر به روابط فردی است و حاکم را در بر نمی‌گیرد؛ (۲) موضوع آن «پیمان با دشمن» است، پس سخت‌ترین فرض (عهد با غیرمسلمانِ دشمن) را هم در بر می‌گیرد و به طریق اولی، پیمان با دولت‌های غیرمحارب را شامل می‌شود؛ (۳) لحن آن، لحن «وجوب» است نه استحباب («فَحُطَّ» و «ارْعَ» صیغه امرند و در سیاق فرمان حکومتی، ظهور در وجوب دارند)؛ (۴) استدلال آن، هم «شرعی» است (فریضه الهی) و هم «عقلایی» (اتفاق همگان بر آن)؛ و (۵) با این حال، چنان‌که در فصل چهارم خواهد آمد، همین عهدنامه در فرازهای دیگر، حاکم را به «مصلحت‌سنجی»، «حزم و احتیاط»، «مشورت» و «تدبیر» نیز فرمان می‌دهد و نظام توصیه‌های آن، نظامی متوازن و چندبعدی است نه تک‌بعدی؛ و همین توازن، راه را برای جمع میان وفا و مصلحت می‌گشاید.</w:t>
      </w:r>
    </w:p>
    <w:p>
      <w:pPr>
        <w:pStyle w:val="TH-Band"/>
        <w:widowControl/>
        <w:bidi w:val="1"/>
        <w:spacing w:before="200" w:after="120" w:line="288" w:lineRule="auto"/>
        <w:jc w:val="right"/>
      </w:pPr>
      <w:r>
        <w:rPr>
          <w:rFonts w:ascii="B Traffic" w:hAnsi="B Traffic" w:cs="B Traffic" w:eastAsia="B Traffic"/>
          <w:b/>
          <w:i w:val="0"/>
          <w:sz w:val="28"/>
          <w:szCs w:val="28"/>
        </w:rPr>
        <w:t>بند سوم: سیره نبوی و علوی؛ از حدیبیه تا فتح مکه</w:t>
      </w:r>
    </w:p>
    <w:p>
      <w:pPr>
        <w:pStyle w:val="TH-Body"/>
        <w:widowControl/>
        <w:bidi w:val="1"/>
        <w:spacing w:before="0" w:after="120" w:line="288" w:lineRule="auto"/>
        <w:jc w:val="both"/>
      </w:pPr>
      <w:r>
        <w:rPr>
          <w:rFonts w:ascii="B Lotus" w:hAnsi="B Lotus" w:cs="B Lotus" w:eastAsia="B Lotus"/>
          <w:b w:val="0"/>
          <w:i w:val="0"/>
          <w:sz w:val="28"/>
          <w:szCs w:val="28"/>
        </w:rPr>
        <w:t>سیره عملی معصومان (علیهم‌السلام) در باب پیمان، چهار مقطع برجسته دارد که هر یک درسی خاص برای مسئله این رساله دارد:</w:t>
      </w:r>
    </w:p>
    <w:p>
      <w:pPr>
        <w:pStyle w:val="TH-Body"/>
        <w:widowControl/>
        <w:bidi w:val="1"/>
        <w:spacing w:before="0" w:after="120" w:line="288" w:lineRule="auto"/>
        <w:jc w:val="both"/>
      </w:pPr>
      <w:r>
        <w:rPr>
          <w:rFonts w:ascii="B Lotus" w:hAnsi="B Lotus" w:cs="B Lotus" w:eastAsia="B Lotus"/>
          <w:b w:val="0"/>
          <w:i w:val="0"/>
          <w:sz w:val="28"/>
          <w:szCs w:val="28"/>
        </w:rPr>
        <w:t>مقطع یکم: میثاق مدینه. پیامبر (ص) پس از هجرت، با قبایل مدینه ـ از جمله یهود ـ پیمانی جامع بست و به آن پایبند ماند تا آن‌که برخی از آنان (بنی‌قینقاع، بنی‌نضیر و بنی‌قریظه) پیمان را نقض کردند و در برابر هر یک، برخوردی متناسب با نوع نقض صورت گرفت. درس این مقطع: پیمان، دوسویه است و نقضِ یک‌سو، تکلیف سوی دیگر را دگرگون می‌کند.</w:t>
      </w:r>
    </w:p>
    <w:p>
      <w:pPr>
        <w:pStyle w:val="TH-Body"/>
        <w:widowControl/>
        <w:bidi w:val="1"/>
        <w:spacing w:before="0" w:after="120" w:line="288" w:lineRule="auto"/>
        <w:jc w:val="both"/>
      </w:pPr>
      <w:r>
        <w:rPr>
          <w:rFonts w:ascii="B Lotus" w:hAnsi="B Lotus" w:cs="B Lotus" w:eastAsia="B Lotus"/>
          <w:b w:val="0"/>
          <w:i w:val="0"/>
          <w:sz w:val="28"/>
          <w:szCs w:val="28"/>
        </w:rPr>
        <w:t>مقطع دوم: صلح حدیبیه (سال ششم هجری). در این صلح، پیامبر اکرم (صلی‌الله‌علیه‌وآله) با قریش مکه ـ که دشمن آشکار و جنگ‌افروز مسلمانان بودند ـ پیمانی چندساله بست که از جمله مواد آن، بازگرداندن پناهندگان مکی بود. با وجود دشواری این شرط و اعتراض برخی اصحاب، پیامبر (ص) به آن پایبند ماند؛ چنان‌که در ماجرای مشهور ابوجندل، با وجود مشاهده وضعیت رقت‌بار او، فرمود که پیمان بسته شده و نمی‌توان آن را شکست.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درس این مقطع: «دشواری» و «نامطلوب‌بودن» مفاد پیمان، به‌تنهایی مجوز نقض آن نیست؛ و حاکم اسلامی حتی در برابر دشمن نیز به پیمان خود پایبند می‌ماند.</w:t>
      </w:r>
    </w:p>
    <w:p>
      <w:pPr>
        <w:pStyle w:val="TH-Body"/>
        <w:widowControl/>
        <w:bidi w:val="1"/>
        <w:spacing w:before="0" w:after="120" w:line="288" w:lineRule="auto"/>
        <w:jc w:val="both"/>
      </w:pPr>
      <w:r>
        <w:rPr>
          <w:rFonts w:ascii="B Lotus" w:hAnsi="B Lotus" w:cs="B Lotus" w:eastAsia="B Lotus"/>
          <w:b w:val="0"/>
          <w:i w:val="0"/>
          <w:sz w:val="28"/>
          <w:szCs w:val="28"/>
        </w:rPr>
        <w:t>مقطع سوم: فتح مکه. پس از آن‌که قریش با همدستی با بنی‌بکر علیه خزاعه (هم‌پیمان مسلمانان)، صلح حدیبیه را نقض کرد، پیامبر (ص) پیمان را پایان‌یافته دانست و به‌سوی مکه حرکت کرد. درس این مقطع: نقضِ طرف مقابل، پایان‌بخش تکلیف وفاست و حاکم می‌تواند ـ بلکه باید ـ متناسب با شرایط جدید تصمیم بگیرد. این مقطع، سیره عملیِ منطق تقابل (توبه/۷) و ماده ۶۰ کنوانسیون وین است.</w:t>
      </w:r>
    </w:p>
    <w:p>
      <w:pPr>
        <w:pStyle w:val="TH-Body"/>
        <w:widowControl/>
        <w:bidi w:val="1"/>
        <w:spacing w:before="0" w:after="120" w:line="288" w:lineRule="auto"/>
        <w:jc w:val="both"/>
      </w:pPr>
      <w:r>
        <w:rPr>
          <w:rFonts w:ascii="B Lotus" w:hAnsi="B Lotus" w:cs="B Lotus" w:eastAsia="B Lotus"/>
          <w:b w:val="0"/>
          <w:i w:val="0"/>
          <w:sz w:val="28"/>
          <w:szCs w:val="28"/>
        </w:rPr>
        <w:t>مقطع چهارم: عهدنامه مالک اشتر و سیره حکومتی امیرالمؤمنین (علیه‌السلام). چنان‌که گذشت، امام (ع) وفا را فریضه شمرد و در عمل نیز ـ از جمله در برابر معاویه و پیمان‌های دوره خلافت ـ به آن پایبند ماند. درس این مقطع: وفا، حتی در شرایط جنگ قدرت و فتنه داخلی نیز، اصل حکومتی است.</w:t>
      </w:r>
    </w:p>
    <w:p>
      <w:pPr>
        <w:pStyle w:val="TH-Body"/>
        <w:widowControl/>
        <w:bidi w:val="1"/>
        <w:spacing w:before="0" w:after="120" w:line="288" w:lineRule="auto"/>
        <w:jc w:val="both"/>
      </w:pPr>
      <w:r>
        <w:rPr>
          <w:rFonts w:ascii="B Lotus" w:hAnsi="B Lotus" w:cs="B Lotus" w:eastAsia="B Lotus"/>
          <w:b w:val="0"/>
          <w:i w:val="0"/>
          <w:sz w:val="28"/>
          <w:szCs w:val="28"/>
        </w:rPr>
        <w:t>دلالت مجموعی سیره: سیره نشان می‌دهد که «دشواری» مجوز نقض نیست (حدیبیه)، اما «نقض طرف مقابل» پایان‌بخش تکلیف است (فتح مکه)؛ و پیمان، «ابزار» تحقق مصالح امت است نه «هدف» فی‌نفسه و بتِ دست‌نیافتنی. پس منطق سیره نیز همان منطق دوسطحی قرآن است: وفای محکم در فرض پایبندی طرف مقابل، و پایان‌دادن مشروع در فرض نقض یا خیانت.</w:t>
      </w:r>
    </w:p>
    <w:p>
      <w:pPr>
        <w:pStyle w:val="TH-Goftar"/>
        <w:widowControl/>
        <w:bidi w:val="1"/>
        <w:spacing w:before="200" w:after="120" w:line="288" w:lineRule="auto"/>
        <w:jc w:val="right"/>
      </w:pPr>
      <w:r>
        <w:rPr>
          <w:rFonts w:ascii="B Titr" w:hAnsi="B Titr" w:cs="B Titr" w:eastAsia="B Titr"/>
          <w:b/>
          <w:i w:val="0"/>
          <w:sz w:val="32"/>
          <w:szCs w:val="32"/>
        </w:rPr>
        <w:t>گفتار سوم: عقل، بنای عقلا و اقوال فقها</w:t>
      </w:r>
    </w:p>
    <w:p>
      <w:pPr>
        <w:pStyle w:val="TH-Band"/>
        <w:widowControl/>
        <w:bidi w:val="1"/>
        <w:spacing w:before="200" w:after="120" w:line="288" w:lineRule="auto"/>
        <w:jc w:val="right"/>
      </w:pPr>
      <w:r>
        <w:rPr>
          <w:rFonts w:ascii="B Traffic" w:hAnsi="B Traffic" w:cs="B Traffic" w:eastAsia="B Traffic"/>
          <w:b/>
          <w:i w:val="0"/>
          <w:sz w:val="28"/>
          <w:szCs w:val="28"/>
        </w:rPr>
        <w:t>بند اول: دلیل عقل و بنای عقلا</w:t>
      </w:r>
    </w:p>
    <w:p>
      <w:pPr>
        <w:pStyle w:val="TH-Body"/>
        <w:widowControl/>
        <w:bidi w:val="1"/>
        <w:spacing w:before="0" w:after="120" w:line="288" w:lineRule="auto"/>
        <w:jc w:val="both"/>
      </w:pPr>
      <w:r>
        <w:rPr>
          <w:rFonts w:ascii="B Lotus" w:hAnsi="B Lotus" w:cs="B Lotus" w:eastAsia="B Lotus"/>
          <w:b w:val="0"/>
          <w:i w:val="0"/>
          <w:sz w:val="28"/>
          <w:szCs w:val="28"/>
        </w:rPr>
        <w:t>افزون بر ادله نقلی، دو دلیل عقلی نیز بر وجوب وفای به عهد اقامه شده که از استواری ویژه‌ای برخوردارند؛ زیرا مخاطب آن‌ها، حتی منکرِ شرع نیز هست:</w:t>
      </w:r>
    </w:p>
    <w:p>
      <w:pPr>
        <w:pStyle w:val="TH-Body"/>
        <w:widowControl/>
        <w:bidi w:val="1"/>
        <w:spacing w:before="0" w:after="120" w:line="288" w:lineRule="auto"/>
        <w:jc w:val="both"/>
      </w:pPr>
      <w:r>
        <w:rPr>
          <w:rFonts w:ascii="B Lotus" w:hAnsi="B Lotus" w:cs="B Lotus" w:eastAsia="B Lotus"/>
          <w:b w:val="0"/>
          <w:i w:val="0"/>
          <w:sz w:val="28"/>
          <w:szCs w:val="28"/>
        </w:rPr>
        <w:t>دلیل نخست، «حسن و قبح عقلی» است: بر مبنای عدلیه ـ که حسن و قبح افعال را عقلی و ذاتی می‌دانند ـ نقض عهد و پیمان‌شکنی، قبیح ذاتی است؛ زیرا اعتماد عمومی را ـ که بنیاد هرگونه زندگی اجتماعی، تجارت، سیاست و تمدن است ـ ویران می‌کند و جامعه را به جنگلِ بی‌اعتمادی بدل می‌سازد. حاکم اسلامی نیز از این حکم عقلی مستثنا نیست؛ زیرا قبح نقض عهد، به شخص ناقض بستگی ندارد و حاکمِ پیمان‌شکن، به همان اندازه ـ بلکه بیشتر، به دلیل جایگاه الگویی‌اش ـ مستحق نکوهش عقلایی است.</w:t>
      </w:r>
    </w:p>
    <w:p>
      <w:pPr>
        <w:pStyle w:val="TH-Body"/>
        <w:widowControl/>
        <w:bidi w:val="1"/>
        <w:spacing w:before="0" w:after="120" w:line="288" w:lineRule="auto"/>
        <w:jc w:val="both"/>
      </w:pPr>
      <w:r>
        <w:rPr>
          <w:rFonts w:ascii="B Lotus" w:hAnsi="B Lotus" w:cs="B Lotus" w:eastAsia="B Lotus"/>
          <w:b w:val="0"/>
          <w:i w:val="0"/>
          <w:sz w:val="28"/>
          <w:szCs w:val="28"/>
        </w:rPr>
        <w:t>دلیل دوم، «بنای عقلا»ست: عقلای همه جوامع و اعصار ـ از مشرکان جاهلیت تا دولت‌های مدرن ـ بر لزوم وفای به پیمان توافق داشته‌اند؛ چنان‌که امیرالمؤمنین (علیه‌السلام) نیز در عهدنامه مالک اشتر به همین اجماع عقلایی («اتفاق همگان با همه اختلاف‌ها») استناد می‌کند. این بنا، از سوی شارع ردع نشده، بلکه با آیات و روایات پرشمار، تأیید و تقویت شده است (امضا). نتیجه آن‌که وجوب وفا، هم حکم شرعی است و هم حکم عقلایی؛ و همین دوگانگیِ مبنا، آن را به یکی از استوارترین احکام بدل می‌کند؛ به‌گونه‌ای که انکار آن، هم انکار شرع است و هم انکار عقل.</w:t>
      </w:r>
    </w:p>
    <w:p>
      <w:pPr>
        <w:pStyle w:val="TH-Band"/>
        <w:widowControl/>
        <w:bidi w:val="1"/>
        <w:spacing w:before="200" w:after="120" w:line="288" w:lineRule="auto"/>
        <w:jc w:val="right"/>
      </w:pPr>
      <w:r>
        <w:rPr>
          <w:rFonts w:ascii="B Traffic" w:hAnsi="B Traffic" w:cs="B Traffic" w:eastAsia="B Traffic"/>
          <w:b/>
          <w:i w:val="0"/>
          <w:sz w:val="28"/>
          <w:szCs w:val="28"/>
        </w:rPr>
        <w:t>بند دوم: اقوال فقها؛ از متقدمان تا معاصران</w:t>
      </w:r>
    </w:p>
    <w:p>
      <w:pPr>
        <w:pStyle w:val="TH-Body"/>
        <w:widowControl/>
        <w:bidi w:val="1"/>
        <w:spacing w:before="0" w:after="120" w:line="288" w:lineRule="auto"/>
        <w:jc w:val="both"/>
      </w:pPr>
      <w:r>
        <w:rPr>
          <w:rFonts w:ascii="B Lotus" w:hAnsi="B Lotus" w:cs="B Lotus" w:eastAsia="B Lotus"/>
          <w:b w:val="0"/>
          <w:i w:val="0"/>
          <w:sz w:val="28"/>
          <w:szCs w:val="28"/>
        </w:rPr>
        <w:t>فقهای امامیه در ابواب «جهاد»، «صلح»، «شروط»، «امان» و «ذمه»، به احکام پیمان پرداخته‌اند و قول مشهور آنان، وجوب وفای به عهد ـ حتی با کفار ـ در فرض پایبندی طرف مقابل و رعایت شرایط است. شیخ طوسی در مبسوط، محقق حلی در شرائع‌الاسلام، علامه حلی در تذکرة‌الفقهاء، شهید ثانی در مسالک‌الافهام، و صاحب جواهر در جواهرالکلام، در کتاب الجهاد به تفصیل، شرایط صلح و هدنه، احکام امان، و احکام نقض پیمان از سوی طرف مقابل را بررسی کرده‌اند و همگی بر اصل وفا اتفاق دارند.</w:t>
      </w:r>
      <w:r>
        <w:rPr>
          <w:rFonts w:ascii="B Lotus" w:hAnsi="B Lotus" w:cs="B Lotus" w:eastAsia="B Lotus"/>
          <w:b w:val="0"/>
          <w:i w:val="0"/>
          <w:sz w:val="28"/>
          <w:szCs w:val="28"/>
          <w:vertAlign w:val="superscript"/>
        </w:rPr>
        <w:footnoteReference w:id="49"/>
      </w:r>
      <w:r>
        <w:rPr>
          <w:rFonts w:ascii="B Lotus" w:hAnsi="B Lotus" w:cs="B Lotus" w:eastAsia="B Lotus"/>
          <w:b w:val="0"/>
          <w:i w:val="0"/>
          <w:sz w:val="28"/>
          <w:szCs w:val="28"/>
        </w:rPr>
        <w:t xml:space="preserve"> در باب شروط نیز، شیخ انصاری در مکاسب و مرحوم خویی در مصباح‌الفقاهه، قاعده لزوم وفا به شرط را با استناد به «المؤمنون عند شروطهم» تبیین کرده و قلمرو و استثناهای آن را بررسی کرده‌اند.</w:t>
      </w:r>
      <w:r>
        <w:rPr>
          <w:rFonts w:ascii="B Lotus" w:hAnsi="B Lotus" w:cs="B Lotus" w:eastAsia="B Lotus"/>
          <w:b w:val="0"/>
          <w:i w:val="0"/>
          <w:sz w:val="28"/>
          <w:szCs w:val="28"/>
          <w:vertAlign w:val="superscript"/>
        </w:rPr>
        <w:footnoteReference w:id="50"/>
      </w:r>
    </w:p>
    <w:p>
      <w:pPr>
        <w:pStyle w:val="TH-Body"/>
        <w:widowControl/>
        <w:bidi w:val="1"/>
        <w:spacing w:before="0" w:after="120" w:line="288" w:lineRule="auto"/>
        <w:jc w:val="both"/>
      </w:pPr>
      <w:r>
        <w:rPr>
          <w:rFonts w:ascii="B Lotus" w:hAnsi="B Lotus" w:cs="B Lotus" w:eastAsia="B Lotus"/>
          <w:b w:val="0"/>
          <w:i w:val="0"/>
          <w:sz w:val="28"/>
          <w:szCs w:val="28"/>
        </w:rPr>
        <w:t>اما نکته بسیار مهم ـ که پلی به فصل چهارم است ـ آن است که همین فقها، در کنار اصل وفا، «اختیار امام در فسخ هدنه به‌مصلحت» را نیز پذیرفته‌اند: مشهور در کتب جهاد آن است که امام (حاکم اسلامی) می‌تواند در صورت اقتضای مصلحت، پیمان هدنه را ـ با اعلام قبلی (انباذ) ـ فسخ کند؛ زیرا هدنه، عقدی است که مصلحت، شرط بقای آن است و با زوال مصلحت یا پیدایش مصلحت اقوی در فسخ، امام می‌تواند آن را برهم زند.</w:t>
      </w:r>
      <w:r>
        <w:rPr>
          <w:rFonts w:ascii="B Lotus" w:hAnsi="B Lotus" w:cs="B Lotus" w:eastAsia="B Lotus"/>
          <w:b w:val="0"/>
          <w:i w:val="0"/>
          <w:sz w:val="28"/>
          <w:szCs w:val="28"/>
          <w:vertAlign w:val="superscript"/>
        </w:rPr>
        <w:footnoteReference w:id="51"/>
      </w:r>
      <w:r>
        <w:rPr>
          <w:rFonts w:ascii="B Lotus" w:hAnsi="B Lotus" w:cs="B Lotus" w:eastAsia="B Lotus"/>
          <w:b w:val="0"/>
          <w:i w:val="0"/>
          <w:sz w:val="28"/>
          <w:szCs w:val="28"/>
        </w:rPr>
        <w:t xml:space="preserve"> این قول مشهور، در واقع، «سابقه فقهیِ» مستقیمِ فرضیه این رساله است: فقهای متقدم، قرن‌ها پیش از پیدایش حقوق بین‌الملل مدرن، اختیار حاکم در پایان‌دادن مصلحت‌سنجیده و اعلام‌شده به پیمان را پذیرفته‌اند؛ و کار این رساله، صورت‌بندی امروزین، تعمیم و ضابطه‌مندکردن همین قول مشهور است.</w:t>
      </w:r>
    </w:p>
    <w:p>
      <w:pPr>
        <w:pStyle w:val="TH-Band"/>
        <w:widowControl/>
        <w:bidi w:val="1"/>
        <w:spacing w:before="200" w:after="120" w:line="288" w:lineRule="auto"/>
        <w:jc w:val="right"/>
      </w:pPr>
      <w:r>
        <w:rPr>
          <w:rFonts w:ascii="B Traffic" w:hAnsi="B Traffic" w:cs="B Traffic" w:eastAsia="B Traffic"/>
          <w:b/>
          <w:i w:val="0"/>
          <w:sz w:val="28"/>
          <w:szCs w:val="28"/>
        </w:rPr>
        <w:t>بند سوم: نقد و جمع‌بندی؛ پاسخ به شبهه اطلاق</w:t>
      </w:r>
    </w:p>
    <w:p>
      <w:pPr>
        <w:pStyle w:val="TH-Body"/>
        <w:widowControl/>
        <w:bidi w:val="1"/>
        <w:spacing w:before="0" w:after="120" w:line="288" w:lineRule="auto"/>
        <w:jc w:val="both"/>
      </w:pPr>
      <w:r>
        <w:rPr>
          <w:rFonts w:ascii="B Lotus" w:hAnsi="B Lotus" w:cs="B Lotus" w:eastAsia="B Lotus"/>
          <w:b w:val="0"/>
          <w:i w:val="0"/>
          <w:sz w:val="28"/>
          <w:szCs w:val="28"/>
        </w:rPr>
        <w:t>نقد و تحلیل مجموع ادله این فصل، سه نتیجه به دست می‌دهد: نتیجه یکم: وجوب وفای به عهد، اصلی مسلم، متقن و چندمبنایی (قرآنی، روایی، سیره‌ای، عقلی و فقهی) است و هیچ فقیهی در اصل آن تردید نکرده است؛ و هر نظریه‌ای درباره اختیار حاکم، باید این اصل را به‌عنوان نقطه عزیمت بپذیرد، نه آن‌که آن را نادیده بگیرد. نتیجه دوم: همین ادله ـ به‌ویژه آیه انباذ، منطق تقابل در توبه، سیره فتح مکه، و قول مشهور فقها در فسخ هدنه ـ نشان می‌دهند که این اصل، نظامی «دوسطحی» است: اصل محکم وفا، همراه با سازوکار مشروعِ پایان‌دادن به پیمان در شرایط خاص. نتیجه سوم (پاسخ به شبهه اطلاق): این‌که ادله وفا «مطلق»‌اند و استثنایی ذکر نکرده‌اند، به معنای نفی هرگونه استثنا نیست؛ زیرا اولاً، اطلاق در برابر دلیل مقید، مقید می‌شود و ادله فصل چهارم (اختیار حاکم، مصلحت، تزاحم) همان دلیل مقید است؛ ثانیاً، خودِ ادله وفا ـ چنان‌که نشان داده شد ـ دربردارنده سازوکار استثنا (انباذ، تقابل، فسخ هدنه) است و اطلاق آن‌ها، اطلاقِ درون‌نظام است نه اطلاقِ بی‌مرز؛ و ثالثاً، قیاس با سایر احکام مطلق (مانند وجوب نماز که استثناهای مسلم دارد) نشان می‌دهد که اطلاق لفظی، هرگز به معنای بی‌استثنابودن واقعی نیست.</w:t>
      </w:r>
    </w:p>
    <w:p>
      <w:pPr>
        <w:pStyle w:val="TH-Goftar"/>
        <w:widowControl/>
        <w:bidi w:val="1"/>
        <w:spacing w:before="200" w:after="120" w:line="288" w:lineRule="auto"/>
        <w:jc w:val="right"/>
      </w:pPr>
      <w:r>
        <w:rPr>
          <w:rFonts w:ascii="B Titr" w:hAnsi="B Titr" w:cs="B Titr" w:eastAsia="B Titr"/>
          <w:b/>
          <w:i w:val="0"/>
          <w:sz w:val="32"/>
          <w:szCs w:val="32"/>
        </w:rPr>
        <w:t>حاصل فصل سوم</w:t>
      </w:r>
    </w:p>
    <w:p>
      <w:pPr>
        <w:pStyle w:val="TH-Body"/>
        <w:widowControl/>
        <w:bidi w:val="1"/>
        <w:spacing w:before="0" w:after="120" w:line="288" w:lineRule="auto"/>
        <w:jc w:val="both"/>
      </w:pPr>
      <w:r>
        <w:rPr>
          <w:rFonts w:ascii="B Lotus" w:hAnsi="B Lotus" w:cs="B Lotus" w:eastAsia="B Lotus"/>
          <w:b w:val="0"/>
          <w:i w:val="0"/>
          <w:sz w:val="28"/>
          <w:szCs w:val="28"/>
        </w:rPr>
        <w:t>حاصل این فصل، اثبات «اصل» با همه توان استدلالی است: وجوب وفای به عهد، اصلی قرآنی (با پنج آیه محوری عام و سه آیه خاص)، روایی (قاعده شروط و روایات وفا)، حکومتی (عهدنامه مالک اشتر)، سیره‌ای (چهار مقطع از میثاق مدینه تا فتح مکه)، عقلی (حسن و قبح و بنای عقلا) و فقهی (قول مشهور از متقدمان تا معاصران) است. اما همین ادله ـ در اوج قوت خود ـ نشان می‌دهند که نظام وفا، نظامی دوسطحی است و سازوکار پایان‌دادن مشروع (انباذ اعلام‌شده، تقابل، و فسخ مصلحتی هدنه) را در درون خود دارد. ازاین‌رو، پرسش فصل بعد نه «آیا وفا واجب است؟» (که پاسخ آن مثبت و مسلم است)، بلکه «آیا حاکم اسلامی در شرایط خاص می‌تواند از این اصل عدول کند، با چه مبنایی و با چه ضوابطی؟» است؛ و پاسخ، در گرو بررسی ادله اختیار حاکم است.</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چهارم: اختیار حاکم اسلامی و ضوابط عدول از تعهد</w:t>
      </w:r>
    </w:p>
    <w:p>
      <w:pPr>
        <w:pStyle w:val="TH-Body"/>
        <w:widowControl/>
        <w:bidi w:val="1"/>
        <w:spacing w:before="0" w:after="120" w:line="288" w:lineRule="auto"/>
        <w:jc w:val="both"/>
      </w:pPr>
      <w:r>
        <w:rPr>
          <w:rFonts w:ascii="B Lotus" w:hAnsi="B Lotus" w:cs="B Lotus" w:eastAsia="B Lotus"/>
          <w:b w:val="0"/>
          <w:i w:val="0"/>
          <w:sz w:val="28"/>
          <w:szCs w:val="28"/>
        </w:rPr>
        <w:t>در فصل سوم، «اصل» (وجوب وفای به عهد) با همه توان استدلالی اثبات شد. در این فصل ـ که قلب تپنده رساله و پاسخ‌گوی بخش اصلی سؤال اصلی و سؤال فرعی دوم است ـ «استثنای ضابطه‌مند» بررسی می‌شود: آیا حاکم اسلامی می‌تواند در شرایطی خاص از این اصل عدول کند؟ با چه مبنایی؟ و با چه ضوابطی؟ این فصل در چهار گفتار سامان یافته است: گفتار اول، ادله شش‌گانه اختیار حاکم را بررسی می‌کند؛ گفتار دوم، رابطه این ادله با ادله وجوب وفا را می‌سنجد (تعارض، تزاحم، حکومت، تخصیص، تقیید یا ورود) و نظر مختار را اثبات می‌کند؛ گفتار سوم، به شبهات و اشکالات پاسخ می‌دهد؛ و گفتار چهارم، ضوابط هشت‌گانه عدول از تعهد را استخراج و تبیین می‌کند.</w:t>
      </w:r>
    </w:p>
    <w:p>
      <w:pPr>
        <w:pStyle w:val="TH-Goftar"/>
        <w:widowControl/>
        <w:bidi w:val="1"/>
        <w:spacing w:before="200" w:after="120" w:line="288" w:lineRule="auto"/>
        <w:jc w:val="right"/>
      </w:pPr>
      <w:r>
        <w:rPr>
          <w:rFonts w:ascii="B Titr" w:hAnsi="B Titr" w:cs="B Titr" w:eastAsia="B Titr"/>
          <w:b/>
          <w:i w:val="0"/>
          <w:sz w:val="32"/>
          <w:szCs w:val="32"/>
        </w:rPr>
        <w:t>گفتار اول: ادله اختیار حاکم در تعلیق و نقض</w:t>
      </w:r>
    </w:p>
    <w:p>
      <w:pPr>
        <w:pStyle w:val="TH-Band"/>
        <w:widowControl/>
        <w:bidi w:val="1"/>
        <w:spacing w:before="200" w:after="120" w:line="288" w:lineRule="auto"/>
        <w:jc w:val="right"/>
      </w:pPr>
      <w:r>
        <w:rPr>
          <w:rFonts w:ascii="B Traffic" w:hAnsi="B Traffic" w:cs="B Traffic" w:eastAsia="B Traffic"/>
          <w:b/>
          <w:i w:val="0"/>
          <w:sz w:val="28"/>
          <w:szCs w:val="28"/>
        </w:rPr>
        <w:t>بند اول: ولایت عامه فقیه و اطلاق اختیارات حکومتی</w:t>
      </w:r>
    </w:p>
    <w:p>
      <w:pPr>
        <w:pStyle w:val="TH-Body"/>
        <w:widowControl/>
        <w:bidi w:val="1"/>
        <w:spacing w:before="0" w:after="120" w:line="288" w:lineRule="auto"/>
        <w:jc w:val="both"/>
      </w:pPr>
      <w:r>
        <w:rPr>
          <w:rFonts w:ascii="B Lotus" w:hAnsi="B Lotus" w:cs="B Lotus" w:eastAsia="B Lotus"/>
          <w:b w:val="0"/>
          <w:i w:val="0"/>
          <w:sz w:val="28"/>
          <w:szCs w:val="28"/>
        </w:rPr>
        <w:t>نخستین و بنیادی‌ترین دلیل اختیار حاکم، «ولایت عامه فقیه جامع‌الشرایط در عصر غیبت» است. بر مبنای پذیرفته‌شده در این رساله (پیش‌فرض یکم)، فقیه در عصر غیبت، همان ولایتی را دارد که پیامبر (ص) و امام (ع) در امر حکومت و اداره نظام داشته‌اند، مگر آن‌چه با دلیل خاص استثنا شده باشد. ادله این ولایت ـ از آیه اولی‌الامر («أَطِیعُوا اللَّهَ وَأَطِیعُوا الرَّسُولَ وَأُولِی الْأَمْرِ مِنْکُمْ»، نساء، ۵۹) و مقبوله عمر بن حنظله و توقیع شریف («وَأَمَّا الْحَوَادِثُ الْوَاقِعَةُ فَارْجِعُوا فِیهَا إِلَى رُوَاةِ حَدِیثِنَا»)</w:t>
      </w:r>
      <w:r>
        <w:rPr>
          <w:rFonts w:ascii="B Lotus" w:hAnsi="B Lotus" w:cs="B Lotus" w:eastAsia="B Lotus"/>
          <w:b w:val="0"/>
          <w:i w:val="0"/>
          <w:sz w:val="28"/>
          <w:szCs w:val="28"/>
          <w:vertAlign w:val="superscript"/>
        </w:rPr>
        <w:footnoteReference w:id="52"/>
      </w:r>
      <w:r>
        <w:rPr>
          <w:rFonts w:ascii="B Lotus" w:hAnsi="B Lotus" w:cs="B Lotus" w:eastAsia="B Lotus"/>
          <w:b w:val="0"/>
          <w:i w:val="0"/>
          <w:sz w:val="28"/>
          <w:szCs w:val="28"/>
        </w:rPr>
        <w:t xml:space="preserve"> تا دلیل عقلی ضرورت حکومت و تعطیل‌ناپذیری احکام در عصر غیبت ـ در آثار فقها، به‌ویژه کتاب‌البیع و ولایت فقیه امام خمینی (رحمة‌الله‌علیه)، به تفصیل آمده و در این‌جا تکرار نمی‌شود.</w:t>
      </w:r>
      <w:r>
        <w:rPr>
          <w:rFonts w:ascii="B Lotus" w:hAnsi="B Lotus" w:cs="B Lotus" w:eastAsia="B Lotus"/>
          <w:b w:val="0"/>
          <w:i w:val="0"/>
          <w:sz w:val="28"/>
          <w:szCs w:val="28"/>
          <w:vertAlign w:val="superscript"/>
        </w:rPr>
        <w:footnoteReference w:id="53"/>
      </w:r>
    </w:p>
    <w:p>
      <w:pPr>
        <w:pStyle w:val="TH-Body"/>
        <w:widowControl/>
        <w:bidi w:val="1"/>
        <w:spacing w:before="0" w:after="120" w:line="288" w:lineRule="auto"/>
        <w:jc w:val="both"/>
      </w:pPr>
      <w:r>
        <w:rPr>
          <w:rFonts w:ascii="B Lotus" w:hAnsi="B Lotus" w:cs="B Lotus" w:eastAsia="B Lotus"/>
          <w:b w:val="0"/>
          <w:i w:val="0"/>
          <w:sz w:val="28"/>
          <w:szCs w:val="28"/>
        </w:rPr>
        <w:t>آن‌چه برای مسئله حاضر اهمیت دارد، «اطلاق» این ولایت در حوزه اداره نظام و «شمول» آن نسبت به تصمیم‌های فوق‌العاده است. امام خمینی (رحمة‌الله‌علیه) در نامه مشهور زمستان ۱۳۶۶ درباره اختیارات حکومت اسلامی، حکومت را «شعبه‌ای از ولایت مطلقه رسول‌الله (صلی‌الله‌علیه‌وآله)» و از «احکام اولیه اسلام» دانست که «مقدم بر تمام احکام فرعیه حتی نماز و روزه و حج است».</w:t>
      </w:r>
      <w:r>
        <w:rPr>
          <w:rFonts w:ascii="B Lotus" w:hAnsi="B Lotus" w:cs="B Lotus" w:eastAsia="B Lotus"/>
          <w:b w:val="0"/>
          <w:i w:val="0"/>
          <w:sz w:val="28"/>
          <w:szCs w:val="28"/>
          <w:vertAlign w:val="superscript"/>
        </w:rPr>
        <w:footnoteReference w:id="54"/>
      </w:r>
      <w:r>
        <w:rPr>
          <w:rFonts w:ascii="B Lotus" w:hAnsi="B Lotus" w:cs="B Lotus" w:eastAsia="B Lotus"/>
          <w:b w:val="0"/>
          <w:i w:val="0"/>
          <w:sz w:val="28"/>
          <w:szCs w:val="28"/>
        </w:rPr>
        <w:t xml:space="preserve"> مفاد این بیان برای مسئله ما روشن و قاطع است: اگر اختیار حکومتی ولی فقیه حتی بر عباداتی مانند حج ـ که از ارکان دین است ـ مقدم می‌شود (چنان‌که در ماجرای منع حج در سال‌های پایانی جنگ تحمیلی رخ داد و فقها آن را پذیرفتند)، به طریق اولی می‌تواند بر «وجوب وفای به یک پیمان سیاسی» ـ که حکمی فرعی، ابزاری و مشروط است ـ مقدم شود؛ مشروط بر آن‌که شرایط تقدم (مصلحت اهم و ضوابط دیگر) احراز شود. به بیان منطقی: حج، اهم از وفای به پیمان سیاسی است (به دلیل رکن‌بودن)؛ اگر اختیار حکومتی بر اهم مقدم می‌شود، بر مهم نیز ـ به طریق اولی ـ مقدم می‌شود.</w:t>
      </w:r>
    </w:p>
    <w:p>
      <w:pPr>
        <w:pStyle w:val="TH-Body"/>
        <w:widowControl/>
        <w:bidi w:val="1"/>
        <w:spacing w:before="0" w:after="120" w:line="288" w:lineRule="auto"/>
        <w:jc w:val="both"/>
      </w:pPr>
      <w:r>
        <w:rPr>
          <w:rFonts w:ascii="B Lotus" w:hAnsi="B Lotus" w:cs="B Lotus" w:eastAsia="B Lotus"/>
          <w:b w:val="0"/>
          <w:i w:val="0"/>
          <w:sz w:val="28"/>
          <w:szCs w:val="28"/>
        </w:rPr>
        <w:t>تحلیل دلالت: استدلال به ولایت عامه، دو مقدمه دارد: مقدمه یکم (کبرا): ولی فقیه در اداره نظام، ولایت عامه دارد و احکام حکومتی او ـ در چارچوب شرع ـ نافذ و لازم‌الاتباع است. مقدمه دوم (صغرا): تصمیم درباره سرنوشت معاهده بین‌المللی، از شئون اداره نظام است؛ زیرا معاهده، دولت را در برابر قدرت‌های خارجی متعهد می‌کند و سرنوشت آن، مستقیماً با مصالح نظام، امنیت ملی و عزت اسلامی گره خورده است. نتیجه: ولی فقیه در این حوزه اختیار دارد. مقدمه یکم، مبنای پذیرفته‌شده نظام اسلامی است و مقدمه دوم، بدیهی عرفی و حکومتی است. اشکال احتمالی آن است که «ولایت عامه» به معنای «اختیار بی‌حد و بی‌ضابطه» نیست وگرنه به استبداد می‌انجامد؛ پاسخ آن‌که همین اشکالِ وارد، ما را به ضوابط گفتار چهارم می‌رساند و اتفاقاً نقطه قوت این رساله است: اثبات «اصل اختیار» با دلیل ولایت است، و «تحدید» آن با ضوابط است. خلط میان این دو مقام (مقام ثبوت اختیار و مقام تحدید آن)، منشأ بسیاری از افراط‌ها (جواز مطلق) و تفریط‌ها (انکار مطلق) در این بحث است.</w:t>
      </w:r>
    </w:p>
    <w:p>
      <w:pPr>
        <w:pStyle w:val="TH-Band"/>
        <w:widowControl/>
        <w:bidi w:val="1"/>
        <w:spacing w:before="200" w:after="120" w:line="288" w:lineRule="auto"/>
        <w:jc w:val="right"/>
      </w:pPr>
      <w:r>
        <w:rPr>
          <w:rFonts w:ascii="B Traffic" w:hAnsi="B Traffic" w:cs="B Traffic" w:eastAsia="B Traffic"/>
          <w:b/>
          <w:i w:val="0"/>
          <w:sz w:val="28"/>
          <w:szCs w:val="28"/>
        </w:rPr>
        <w:t>بند دوم: حفظ نظام، مصلحت و قاعده اهم و مهم</w:t>
      </w:r>
    </w:p>
    <w:p>
      <w:pPr>
        <w:pStyle w:val="TH-Body"/>
        <w:widowControl/>
        <w:bidi w:val="1"/>
        <w:spacing w:before="0" w:after="120" w:line="288" w:lineRule="auto"/>
        <w:jc w:val="both"/>
      </w:pPr>
      <w:r>
        <w:rPr>
          <w:rFonts w:ascii="B Lotus" w:hAnsi="B Lotus" w:cs="B Lotus" w:eastAsia="B Lotus"/>
          <w:b w:val="0"/>
          <w:i w:val="0"/>
          <w:sz w:val="28"/>
          <w:szCs w:val="28"/>
        </w:rPr>
        <w:t>دومین دلیل، از ترکیب سه مفهوم «حفظ نظام»، «مصلحت» و «اهم و مهم» به دست می‌آید و در واقع، دلیل «محتوایی» اختیار است (در برابر دلیل نخست که دلیل «مقامی» بود). «حفظ نظام» ـ به معنای صیانت از کیان نظام اسلامی و جلوگیری از اختلال، هرج‌ومرج و فروپاشی آن ـ از نظر مشهور فقها، واجب و بلکه از اهم واجبات است؛ زیرا نظام، ظرف تحقق همه احکام است و با فروپاشی آن، هیچ حکمی ـ از نماز تا وفای به عهد ـ قابل تحقق نخواهد بود. امام خمینی نیز بر این وجوب تأکید ویژه دارد و حفظ نظام جمهوری اسلامی را «از اوجب واجبات» می‌شمارد؛ به‌گونه‌ای که حفظ آن بر حفظ جان امام عصر (عج) نیز ـ در فرض تزاحم ـ مقدم دانسته شده است.</w:t>
      </w:r>
      <w:r>
        <w:rPr>
          <w:rFonts w:ascii="B Lotus" w:hAnsi="B Lotus" w:cs="B Lotus" w:eastAsia="B Lotus"/>
          <w:b w:val="0"/>
          <w:i w:val="0"/>
          <w:sz w:val="28"/>
          <w:szCs w:val="28"/>
          <w:vertAlign w:val="superscript"/>
        </w:rPr>
        <w:footnoteReference w:id="55"/>
      </w:r>
    </w:p>
    <w:p>
      <w:pPr>
        <w:pStyle w:val="TH-Body"/>
        <w:widowControl/>
        <w:bidi w:val="1"/>
        <w:spacing w:before="0" w:after="120" w:line="288" w:lineRule="auto"/>
        <w:jc w:val="both"/>
      </w:pPr>
      <w:r>
        <w:rPr>
          <w:rFonts w:ascii="B Lotus" w:hAnsi="B Lotus" w:cs="B Lotus" w:eastAsia="B Lotus"/>
          <w:b w:val="0"/>
          <w:i w:val="0"/>
          <w:sz w:val="28"/>
          <w:szCs w:val="28"/>
        </w:rPr>
        <w:t>تقریب استدلال: هرگاه اجرای یک معاهده، بقای نظام یا مصالح اساسی و بنیادین آن را به خطر اندازد، دو واجب در برابر یکدیگر قرار می‌گیرند: «وجوب وفا به عهد» از یک‌سو و «وجوب حفظ نظام» از سوی دیگر؛ و چون جمع میان آن‌ها ممکن نیست (تزاحم)، ناگزیر باید یکی را برگزید. در این‌جا قاعده «اهم و مهم» به کار می‌آید: هرگاه دو تکلیف هم‌زمان قابل امتثال نباشند، تکلیف اهم مقدم می‌شود. از آن‌جا که حفظ نظام ـ که ظرف تحقق همه احکام از جمله خودِ وفای به عهد است ـ اهم از وفا به یک پیمان خاص و محدود است، در فرض تزاحم واقعی، حفظ نظام مقدم می‌شود و وجوب وفا به‌طور موقت کنار می‌رود (نه آن‌که ساقط شود).</w:t>
      </w:r>
    </w:p>
    <w:p>
      <w:pPr>
        <w:pStyle w:val="TH-Body"/>
        <w:widowControl/>
        <w:bidi w:val="1"/>
        <w:spacing w:before="0" w:after="120" w:line="288" w:lineRule="auto"/>
        <w:jc w:val="both"/>
      </w:pPr>
      <w:r>
        <w:rPr>
          <w:rFonts w:ascii="B Lotus" w:hAnsi="B Lotus" w:cs="B Lotus" w:eastAsia="B Lotus"/>
          <w:b w:val="0"/>
          <w:i w:val="0"/>
          <w:sz w:val="28"/>
          <w:szCs w:val="28"/>
        </w:rPr>
        <w:t>اما پیش از پذیرش این استدلال، باید مفاهیم درگیر در آن دقیقاً از یکدیگر تفکیک شوند؛ زیرا خلط آن‌ها، استدلال را مخدوش می‌کند و راه را برای سوءاستفاده می‌گشاید: «مصلحت» به معنای منفعت واقعی و معتبر (اعم از جلب منفعت و دفع مفسده) است و نقش آن در مسئله، «مبنای عام» تصمیم حکومتی است. «ضرورت» به معنای نیاز شدید نوعی است که بدون رفع آن، نظام دچار اختلال می‌شود و نقش آن، «یکی از مصادیق» مصلحت مجوز است. «اضطرار» به معنای وضعیت اکراهی و بی‌چارگی است و نقش آن، «مصداق خاص و شدید» ضرورت است. «حفظ نظام» به معنای صیانت از کیان نظام است و نقش آن، «اهم مصالح و غایت» تصمیم است. «اهم و مهم» قاعده حل تزاحم است و نقش آن، «سازوکار» تقدیم مصلحت اهم بر وفاست. و «حکم حکومتی» قالب تصمیم است و نقش آن، «صورت» اجرایی تصمیم مصلحت‌سنجیده است.</w:t>
      </w:r>
    </w:p>
    <w:p>
      <w:pPr>
        <w:pStyle w:val="TH-Body"/>
        <w:widowControl/>
        <w:bidi w:val="1"/>
        <w:spacing w:before="0" w:after="120" w:line="288" w:lineRule="auto"/>
        <w:jc w:val="both"/>
      </w:pPr>
      <w:r>
        <w:rPr>
          <w:rFonts w:ascii="B Lotus" w:hAnsi="B Lotus" w:cs="B Lotus" w:eastAsia="B Lotus"/>
          <w:b w:val="0"/>
          <w:i w:val="0"/>
          <w:sz w:val="28"/>
          <w:szCs w:val="28"/>
        </w:rPr>
        <w:t>از این تفکیک شش‌گانه سه نتیجه مهم به دست می‌آید: نخست، «مصلحت» اعم از «ضرورت» و «اضطرار» است؛ یعنی برای جواز عدول، لازم نیست کار حتماً به مرحله اضطرار (بی‌چارگی مطلق) برسد، بلکه مصلحت واقعیِ اهم ـ هرچند به حد اضطرار نرسیده باشد ـ کافی است؛ و همین، پاسخ به یکی از پرسش‌های سؤال فرعی دوم است. دوم، «حفظ نظام» خود نوعی مصلحت (و اهم آن‌ها) است، نه مقوله‌ای جدا و بیگانه از مصلحت؛ پس استدلال به حفظ نظام، در واقع استدلال به مصلحت اهم است و نیازی به دلیل مستقل ندارد. سوم، «حکم حکومتی» قالب تصمیم است نه مبنای آن؛ مبنا، مصلحت است و قالب، حکم حکومتی؛ و خلط میان مبنا و قالب، موجب می‌شود که برخی، هر حکم حکومتی را ـ حتی بدون مصلحت واقعی ـ نافذ بشمارند، در حالی که حکم حکومتیِ بدون مصلحت واقعی، از اساس بی‌اعتبار است.</w:t>
      </w:r>
    </w:p>
    <w:p>
      <w:pPr>
        <w:pStyle w:val="TH-Band"/>
        <w:widowControl/>
        <w:bidi w:val="1"/>
        <w:spacing w:before="200" w:after="120" w:line="288" w:lineRule="auto"/>
        <w:jc w:val="right"/>
      </w:pPr>
      <w:r>
        <w:rPr>
          <w:rFonts w:ascii="B Traffic" w:hAnsi="B Traffic" w:cs="B Traffic" w:eastAsia="B Traffic"/>
          <w:b/>
          <w:i w:val="0"/>
          <w:sz w:val="28"/>
          <w:szCs w:val="28"/>
        </w:rPr>
        <w:t>بند سوم: قواعد ثانوی؛ لاضرر، لاحرج، ضرورت و اضطرار</w:t>
      </w:r>
    </w:p>
    <w:p>
      <w:pPr>
        <w:pStyle w:val="TH-Body"/>
        <w:widowControl/>
        <w:bidi w:val="1"/>
        <w:spacing w:before="0" w:after="120" w:line="288" w:lineRule="auto"/>
        <w:jc w:val="both"/>
      </w:pPr>
      <w:r>
        <w:rPr>
          <w:rFonts w:ascii="B Lotus" w:hAnsi="B Lotus" w:cs="B Lotus" w:eastAsia="B Lotus"/>
          <w:b w:val="0"/>
          <w:i w:val="0"/>
          <w:sz w:val="28"/>
          <w:szCs w:val="28"/>
        </w:rPr>
        <w:t>سومین دسته ادله، قواعد ثانویه‌ای است که در مواردی، حکم اولی را تغییر می‌دهند: قاعده لاضرر («لَا ضَرَرَ وَلَا ضِرَارَ»)،</w:t>
      </w:r>
      <w:r>
        <w:rPr>
          <w:rFonts w:ascii="B Lotus" w:hAnsi="B Lotus" w:cs="B Lotus" w:eastAsia="B Lotus"/>
          <w:b w:val="0"/>
          <w:i w:val="0"/>
          <w:sz w:val="28"/>
          <w:szCs w:val="28"/>
          <w:vertAlign w:val="superscript"/>
        </w:rPr>
        <w:footnoteReference w:id="56"/>
      </w:r>
      <w:r>
        <w:rPr>
          <w:rFonts w:ascii="B Lotus" w:hAnsi="B Lotus" w:cs="B Lotus" w:eastAsia="B Lotus"/>
          <w:b w:val="0"/>
          <w:i w:val="0"/>
          <w:sz w:val="28"/>
          <w:szCs w:val="28"/>
        </w:rPr>
        <w:t xml:space="preserve"> قاعده لاحرج («مَا جَعَلَ عَلَیْکُمْ فِی الدِّینِ مِنْ حَرَجٍ»، حج، ۷۸)، و قاعده اضطرار («فَمَنِ اضْطُرَّ غَیْرَ بَاغٍ وَلَا عَادٍ فَلَا إِثْمَ عَلَیْهِ»، بقره، ۱۷۳) و قاعده مشهور «الضَّرُورَاتُ تُبِیحُ الْمَحْظُورَاتِ» (ضرورت‌ها، محظورات را مباح می‌کنند). تقریب استدلال: هرگاه اجرای معاهده، مستلزم «ضرر» بر نظام اسلامی (لاضرر)، یا «حرج» شدید و غیرقابل تحمل (لاحرج)، یا ورود به «اضطرار» باشد، وجوب وفا ـ که حکمی اولی است ـ با این عناوین ثانویه مقید می‌شود و عدول از آن جایز (و گاه واجب) می‌گردد. به بیان دیگر، شارعی که نماز را در فرض ضرر و حرج ساقط می‌کند، به طریق اولی وفای به یک پیمان سیاسی را در فرض ضرر بر کل نظام ساقط می‌کند.</w:t>
      </w:r>
    </w:p>
    <w:p>
      <w:pPr>
        <w:pStyle w:val="TH-Body"/>
        <w:widowControl/>
        <w:bidi w:val="1"/>
        <w:spacing w:before="0" w:after="120" w:line="288" w:lineRule="auto"/>
        <w:jc w:val="both"/>
      </w:pPr>
      <w:r>
        <w:rPr>
          <w:rFonts w:ascii="B Lotus" w:hAnsi="B Lotus" w:cs="B Lotus" w:eastAsia="B Lotus"/>
          <w:b w:val="0"/>
          <w:i w:val="0"/>
          <w:sz w:val="28"/>
          <w:szCs w:val="28"/>
        </w:rPr>
        <w:t>نقد و تحلیل: این استدلال، صحیح اما «مؤید» است نه «مبنا»؛ به سه دلیل: نخست، قواعد لاضرر و لاحرج و اضطرار، در اصل ناظر به احکام فردی‌اند و تطبیق آن‌ها بر «دولت» و «نظام» نیازمند توسعه‌ای است که خود باید مستدل شود (هرچند این توسعه، با توجه به وحدت ملاک ـ دفع ضرر و حرج از مکلف، خواه فرد و خواه نظام ـ پذیرفتنی است). دوم، این قواعد، «سلبی»‌اند (رفع حکم در فرض ضرر و حرج) و «اختیار ایجابی» حاکم برای مدیریت فعال و پیش‌دستانه معاهده (مانند تعلیق تاکتیکی، مذاکره مجدد از موضع قدرت، یا پایان‌دادن پیشگیرانه) را پوشش نمی‌دهند. سوم، آستانه این قواعد (ضرر، حرج شدید، اضطرار) بالاتر از آستانه مصلحت است و بسیاری از موارد موجهِ عدول (مانند عدول برای تحصیل منفعت بزرگ‌تر، نه صرفاً دفع ضرر) را پوشش نمی‌دهد. ازاین‌رو، مبنای اصلی اختیار حاکم، همان «ولایت و مصلحت» (بندهای اول و دوم) است و قواعد ثانوی، مؤید و مکمل آن‌اند؛ مؤیدی که البته در موارد تحقق خود، قاطع و بی‌چون‌وچراست.</w:t>
      </w:r>
    </w:p>
    <w:p>
      <w:pPr>
        <w:pStyle w:val="TH-Band"/>
        <w:widowControl/>
        <w:bidi w:val="1"/>
        <w:spacing w:before="200" w:after="120" w:line="288" w:lineRule="auto"/>
        <w:jc w:val="right"/>
      </w:pPr>
      <w:r>
        <w:rPr>
          <w:rFonts w:ascii="B Traffic" w:hAnsi="B Traffic" w:cs="B Traffic" w:eastAsia="B Traffic"/>
          <w:b/>
          <w:i w:val="0"/>
          <w:sz w:val="28"/>
          <w:szCs w:val="28"/>
        </w:rPr>
        <w:t>بند چهارم: آیه انباذ و منطق تقابل</w:t>
      </w:r>
    </w:p>
    <w:p>
      <w:pPr>
        <w:pStyle w:val="TH-Body"/>
        <w:widowControl/>
        <w:bidi w:val="1"/>
        <w:spacing w:before="0" w:after="120" w:line="288" w:lineRule="auto"/>
        <w:jc w:val="both"/>
      </w:pPr>
      <w:r>
        <w:rPr>
          <w:rFonts w:ascii="B Lotus" w:hAnsi="B Lotus" w:cs="B Lotus" w:eastAsia="B Lotus"/>
          <w:b w:val="0"/>
          <w:i w:val="0"/>
          <w:sz w:val="28"/>
          <w:szCs w:val="28"/>
        </w:rPr>
        <w:t>چهارمین دلیل، تکمیل‌کننده بحث فصل سوم و در واقع، «دلیل قرآنیِ مستقیمِ» اختیار حاکم است: آیه انباذ («وَإِمَّا تَخَافَنَّ مِنْ قَوْمٍ خِیَانَةً فَانْبِذْ إِلَيْهِمْ عَلَى سَوَاءٍ»، انفال، ۵۸) و منطق تقابل در توبه/۴ و ۷. چنان‌که در فصل سوم گذشت، این آیات نشان می‌دهند که نظام قرآنی وفا، نظامی «مشروط و دوسطحی» است: وفای محکم در فرض پایبندی متقابل، و جواز پایان‌دادنِ اعلام‌شده در فرض خیانت یا خوف عقلایی از خیانت. مخاطب آیه انباذ، «حاکم» (پیامبر به‌مثابه حاکم) است و فعل «فَانْبِذْ» (بیفکن و اعلام کن)، امر به اقدام حکومتی است. پس خودِ قرآن، برای حاکم، «اختیار مدیریتِ پایانِ پیمان» قائل شده است؛ اختیاری که البته مقید به قید «عَلَى سَوَاءٍ» (شفافیت و اعلام برابر) است.</w:t>
      </w:r>
    </w:p>
    <w:p>
      <w:pPr>
        <w:pStyle w:val="TH-Body"/>
        <w:widowControl/>
        <w:bidi w:val="1"/>
        <w:spacing w:before="0" w:after="120" w:line="288" w:lineRule="auto"/>
        <w:jc w:val="both"/>
      </w:pPr>
      <w:r>
        <w:rPr>
          <w:rFonts w:ascii="B Lotus" w:hAnsi="B Lotus" w:cs="B Lotus" w:eastAsia="B Lotus"/>
          <w:b w:val="0"/>
          <w:i w:val="0"/>
          <w:sz w:val="28"/>
          <w:szCs w:val="28"/>
        </w:rPr>
        <w:t>اهمیت این دلیل در آن است که «قرآنی» است و در برابر کسانی که ادله اختیار حاکم را صرفاً عقلی یا مصلحتی (و در نتیجه، سست) می‌شمارند، حجت قاطع است: قرآن، خود، هم وفا را واجب کرده و هم انباذ را ـ در شرایطش ـ تجویز کرده است؛ پس جمع میان این دو، نه بدعت، بلکه عین پیروی از قرآن است. همچنین، این آیه، «الگوی آیینی» عدول را نیز ارائه می‌کند: اعلام، شفافیت، برابری در آگاهی، و پرهیز از غافلگیری؛ الگویی که ـ چنان‌که گذشت ـ با آیین مواد ۶۵ تا ۶۸ کنوانسیون وین نیز هم‌خوان است و همین هم‌خوانی، نشان‌دهنده فطرت عقلایی مشترک در این نقطه است.</w:t>
      </w:r>
    </w:p>
    <w:p>
      <w:pPr>
        <w:pStyle w:val="TH-Band"/>
        <w:widowControl/>
        <w:bidi w:val="1"/>
        <w:spacing w:before="200" w:after="120" w:line="288" w:lineRule="auto"/>
        <w:jc w:val="right"/>
      </w:pPr>
      <w:r>
        <w:rPr>
          <w:rFonts w:ascii="B Traffic" w:hAnsi="B Traffic" w:cs="B Traffic" w:eastAsia="B Traffic"/>
          <w:b/>
          <w:i w:val="0"/>
          <w:sz w:val="28"/>
          <w:szCs w:val="28"/>
        </w:rPr>
        <w:t>بند پنجم: قاعده نفی سبیل</w:t>
      </w:r>
    </w:p>
    <w:p>
      <w:pPr>
        <w:pStyle w:val="TH-Body"/>
        <w:widowControl/>
        <w:bidi w:val="1"/>
        <w:spacing w:before="0" w:after="120" w:line="288" w:lineRule="auto"/>
        <w:jc w:val="both"/>
      </w:pPr>
      <w:r>
        <w:rPr>
          <w:rFonts w:ascii="B Lotus" w:hAnsi="B Lotus" w:cs="B Lotus" w:eastAsia="B Lotus"/>
          <w:b w:val="0"/>
          <w:i w:val="0"/>
          <w:sz w:val="28"/>
          <w:szCs w:val="28"/>
        </w:rPr>
        <w:t>پنجمین دلیل، قاعده «نفی سبیل» است که از آیه شریفه «وَلَنْ یَجْعَلَ اللَّهُ لِلْکَافِرِینَ عَلَى الْمُؤْمِنِینَ سَبِیلًا» (نساء، ۱۴۱) استنباط شده است: خداوند هرگز برای کافران بر مؤمنان راه سلطه قرار نداده است. فقهای امامیه از این آیه، قاعده‌ای عام استنباط کرده‌اند که به موجب آن، هرگونه رابطه ـ اعم از فردی (مانند ولایت کافر بر مسلمان) و حکومتی (مانند قرارداد سلطه‌آور) ـ که به سلطه غیرمسلمانان بر مسلمانان بینجامد، نامشروع و باطل است. تقریب استدلال بر مسئله ما: هرگاه اجرای یک معاهده بین‌المللی، موجب سلطه حقوقی، اقتصادی، امنیتی یا فرهنگیِ طرف مقابل بر نظام اسلامی شود، ادامه اجرای آن با قاعده نفی سبیل ناسازگار می‌شود و حاکم اسلامی نه‌تنها «می‌تواند»، بلکه «باید» برای رفع این سلطه ـ از جمله از طریق تعلیق یا پایان‌دادن به معاهده ـ اقدام کند. به بیان دیگر، نفی سبیل، هم «مجوز» عدول است و هم ـ در موارد تحقق ـ «موجب» آن.</w:t>
      </w:r>
    </w:p>
    <w:p>
      <w:pPr>
        <w:pStyle w:val="TH-Body"/>
        <w:widowControl/>
        <w:bidi w:val="1"/>
        <w:spacing w:before="0" w:after="120" w:line="288" w:lineRule="auto"/>
        <w:jc w:val="both"/>
      </w:pPr>
      <w:r>
        <w:rPr>
          <w:rFonts w:ascii="B Lotus" w:hAnsi="B Lotus" w:cs="B Lotus" w:eastAsia="B Lotus"/>
          <w:b w:val="0"/>
          <w:i w:val="0"/>
          <w:sz w:val="28"/>
          <w:szCs w:val="28"/>
        </w:rPr>
        <w:t>نقد و تحدید: این استدلال، صحیح اما نیازمند دو تحدید مهم است که بدون آن‌ها به افراط می‌انجامد: تحدید یکم: «سبیل» باید «فعلی و محقق» (یا دست‌کم قریب‌الوقوع و مستند به قرائن عقلایی) باشد، نه توهمی و حدسی؛ وگرنه با همین استدلال می‌توان هر معاهده‌ای را ـ از آن‌جا که هر تعهدی نوعی محدودیت و به معنایی موسع، نوعی «سبیل» است ـ مصداق سبیل دانست و باب معاهدات را به‌کلی بست؛ نتیجه‌ای که بی‌تردید مراد شارع نیست و با سیره پیمانی پیامبر (ص) نیز ناسازگار است. تحدید دوم: سلطه ممنوع، سلطه «نامتعارف و خارج از حد روابط معمول بین‌المللی» است؛ زیرا نفسِ پذیرش تعهد متقابل، امری متعارف در روابط دولت‌هاست و سبیل محسوب نمی‌شود؛ وگرنه هیچ دولتی ـ از جمله دولت نبوی ـ نمی‌توانست هیچ پیمانی ببندد. با این دو تحدید، قاعده نفی سبیل به مؤیدی قوی ـ در کنار مصلحت و تزاحم ـ بدل می‌شود، به‌ویژه در معاهداتی که اهرم فشار یک‌جانبه و سلطه‌گرانه بر نظام اسلامی ایجاد می‌کنند؛ و همین، پیوند این قاعده با اصل ۱۵۳ قانون اساسی (ممنوعیت قراردادهای سلطه‌آور) را نیز روشن می‌کند.</w:t>
      </w:r>
    </w:p>
    <w:p>
      <w:pPr>
        <w:pStyle w:val="TH-Band"/>
        <w:widowControl/>
        <w:bidi w:val="1"/>
        <w:spacing w:before="200" w:after="120" w:line="288" w:lineRule="auto"/>
        <w:jc w:val="right"/>
      </w:pPr>
      <w:r>
        <w:rPr>
          <w:rFonts w:ascii="B Traffic" w:hAnsi="B Traffic" w:cs="B Traffic" w:eastAsia="B Traffic"/>
          <w:b/>
          <w:i w:val="0"/>
          <w:sz w:val="28"/>
          <w:szCs w:val="28"/>
        </w:rPr>
        <w:t>بند ششم: سیره و قول مشهور فقها در فسخ هدنه</w:t>
      </w:r>
    </w:p>
    <w:p>
      <w:pPr>
        <w:pStyle w:val="TH-Body"/>
        <w:widowControl/>
        <w:bidi w:val="1"/>
        <w:spacing w:before="0" w:after="120" w:line="288" w:lineRule="auto"/>
        <w:jc w:val="both"/>
      </w:pPr>
      <w:r>
        <w:rPr>
          <w:rFonts w:ascii="B Lotus" w:hAnsi="B Lotus" w:cs="B Lotus" w:eastAsia="B Lotus"/>
          <w:b w:val="0"/>
          <w:i w:val="0"/>
          <w:sz w:val="28"/>
          <w:szCs w:val="28"/>
        </w:rPr>
        <w:t>ششمین دلیل، «سابقه فقهیِ» مستقیم مسئله است: چنان‌که در فصل سوم گذشت، مشهور فقهای امامیه در کتب جهاد پذیرفته‌اند که امام (حاکم اسلامی) می‌تواند در صورت اقتضای مصلحت، پیمان هدنه (آتش‌بس موقت) را ـ با اعلام قبلی (انباذ) ـ فسخ کند؛ زیرا هدنه، عقدی است که مصلحت، شرط بقای آن است و با زوال مصلحت یا پیدایش مصلحت اقوی در فسخ، امام می‌تواند آن را برهم زند.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سیره نیز مؤید همین است: پیامبر (ص) پس از نقض حدیبیه از سوی قریش، پیمان را پایان‌یافته دانست و اقدام کرد (فتح مکه).</w:t>
      </w:r>
    </w:p>
    <w:p>
      <w:pPr>
        <w:pStyle w:val="TH-Body"/>
        <w:widowControl/>
        <w:bidi w:val="1"/>
        <w:spacing w:before="0" w:after="120" w:line="288" w:lineRule="auto"/>
        <w:jc w:val="both"/>
      </w:pPr>
      <w:r>
        <w:rPr>
          <w:rFonts w:ascii="B Lotus" w:hAnsi="B Lotus" w:cs="B Lotus" w:eastAsia="B Lotus"/>
          <w:b w:val="0"/>
          <w:i w:val="0"/>
          <w:sz w:val="28"/>
          <w:szCs w:val="28"/>
        </w:rPr>
        <w:t>تقریب استدلال: اگر حاکم اسلامی می‌تواند پیمان هدنه ـ که پیمانی شرعی با دشمن است ـ را به‌مصلحت فسخ کند، به طریق اولی (یا دست‌کم به وحدت ملاک) می‌تواند معاهده بین‌المللی مدرن ـ که از حیث مبنا (مصلحت) و از حیث مخاطب (غیرمسلمان) با هدنه هم‌سنخ است ـ را در فرض مصلحت، تعلیق یا پایان دهد. تفاوت شکلیِ هدنه و معاهده مدرن (مدت، طرف، موضوع) در ملاک (مصلحت‌مداری و حاکم‌مداری) اثری ندارد. اهمیت این دلیل در آن است که نشان می‌دهد فرضیه این رساله، «بدعت» و «نوآوری بی‌سابقه» نیست، بلکه صورت‌بندی امروزین و ضابطه‌مندِ قول مشهورِ قدماست؛ و همین، بار اثباتی سنگینی از دوش رساله برمی‌دارد: مدافعان ممنوعیت مطلق، باید توضیح دهند که چرا قول مشهور در فسخ هدنه را نمی‌پذیرند یا چرا آن را قابل تعمیم نمی‌دانند.</w:t>
      </w:r>
    </w:p>
    <w:p>
      <w:pPr>
        <w:pStyle w:val="TH-Body"/>
        <w:widowControl/>
        <w:bidi w:val="1"/>
        <w:spacing w:before="0" w:after="120" w:line="288" w:lineRule="auto"/>
        <w:jc w:val="both"/>
      </w:pPr>
      <w:r>
        <w:rPr>
          <w:rFonts w:ascii="B Lotus" w:hAnsi="B Lotus" w:cs="B Lotus" w:eastAsia="B Lotus"/>
          <w:b w:val="0"/>
          <w:i w:val="0"/>
          <w:sz w:val="28"/>
          <w:szCs w:val="28"/>
        </w:rPr>
        <w:t>نتیجه گفتار اول: شش دسته دلیل (ولایت عامه، مصلحت و اهم و مهم، قواعد ثانوی، آیه انباذ، قاعده نفی سبیل، و سیره و قول مشهور در فسخ هدنه) بر «اصل اختیار حاکم در مدیریت سرنوشت معاهده» دلالت دارند. قوی‌ترین آن‌ها، دلیل نخست و دوم (مقام و محتوا) است و چهار دلیل دیگر، مؤید و مکمل‌اند؛ هرچند هر یک از زاویه‌ای خاص، حجتی مستقل به شمار می‌آیند. اکنون باید رابطه این ادله با ادله وجوب وفا سنجیده شود.</w:t>
      </w:r>
    </w:p>
    <w:p>
      <w:pPr>
        <w:pStyle w:val="TH-Goftar"/>
        <w:widowControl/>
        <w:bidi w:val="1"/>
        <w:spacing w:before="200" w:after="120" w:line="288" w:lineRule="auto"/>
        <w:jc w:val="right"/>
      </w:pPr>
      <w:r>
        <w:rPr>
          <w:rFonts w:ascii="B Titr" w:hAnsi="B Titr" w:cs="B Titr" w:eastAsia="B Titr"/>
          <w:b/>
          <w:i w:val="0"/>
          <w:sz w:val="32"/>
          <w:szCs w:val="32"/>
        </w:rPr>
        <w:t>گفتار دوم: رابطه‌سنجی ادله و نظر مختار</w:t>
      </w:r>
    </w:p>
    <w:p>
      <w:pPr>
        <w:pStyle w:val="TH-Band"/>
        <w:widowControl/>
        <w:bidi w:val="1"/>
        <w:spacing w:before="200" w:after="120" w:line="288" w:lineRule="auto"/>
        <w:jc w:val="right"/>
      </w:pPr>
      <w:r>
        <w:rPr>
          <w:rFonts w:ascii="B Traffic" w:hAnsi="B Traffic" w:cs="B Traffic" w:eastAsia="B Traffic"/>
          <w:b/>
          <w:i w:val="0"/>
          <w:sz w:val="28"/>
          <w:szCs w:val="28"/>
        </w:rPr>
        <w:t>بند اول: نقد فرضیه تعارض</w:t>
      </w:r>
    </w:p>
    <w:p>
      <w:pPr>
        <w:pStyle w:val="TH-Body"/>
        <w:widowControl/>
        <w:bidi w:val="1"/>
        <w:spacing w:before="0" w:after="120" w:line="288" w:lineRule="auto"/>
        <w:jc w:val="both"/>
      </w:pPr>
      <w:r>
        <w:rPr>
          <w:rFonts w:ascii="B Lotus" w:hAnsi="B Lotus" w:cs="B Lotus" w:eastAsia="B Lotus"/>
          <w:b w:val="0"/>
          <w:i w:val="0"/>
          <w:sz w:val="28"/>
          <w:szCs w:val="28"/>
        </w:rPr>
        <w:t>نخستین فرضیه محتمل درباره رابطه ادله وجوب وفا با ادله اختیار حاکم، «تعارض» است؛ یعنی تنافی دو دلیل در مقام «جعل و دلالت»، به‌گونه‌ای که جمع میان آن‌ها ممکن نباشد و ناگزیر یکی بر دیگری مقدم شود (با مرجحات باب تعارض مانند اظهریت، احدثیت و مانند آن). این فرضیه، هم از سوی قائلان به ممنوعیت مطلق (که ادله اختیار را مردود و مرجوح می‌شمارند) و هم از سوی قائلان به جواز مطلق (که ادله وفا را نادیده می‌گیرند) ـ هرچند غالباً ناآگاهانه و بدون صورت‌بندی اصولی ـ پذیرفته شده است.</w:t>
      </w:r>
    </w:p>
    <w:p>
      <w:pPr>
        <w:pStyle w:val="TH-Body"/>
        <w:widowControl/>
        <w:bidi w:val="1"/>
        <w:spacing w:before="0" w:after="120" w:line="288" w:lineRule="auto"/>
        <w:jc w:val="both"/>
      </w:pPr>
      <w:r>
        <w:rPr>
          <w:rFonts w:ascii="B Lotus" w:hAnsi="B Lotus" w:cs="B Lotus" w:eastAsia="B Lotus"/>
          <w:b w:val="0"/>
          <w:i w:val="0"/>
          <w:sz w:val="28"/>
          <w:szCs w:val="28"/>
        </w:rPr>
        <w:t>اما این فرضیه از سه جهت قابل نقد جدی است: نقد یکم (اصولی): تعارض در اصطلاح اصول فقه، تنافی در مقام جعل است؛ یعنی شارع، دو حکم ناسازگار برای یک موضوع در یک شرایط جعل کرده باشد. در مسئله ما، چنین تنافی‌ای وجود ندارد؛ زیرا ادله وفا، «حکم اولیِ» پیمان را بیان می‌کنند (وفا واجب است) و ادله اختیار حاکم، «حکمِ» مرحله دیگری را بیان می‌کنند (حاکم می‌تواند در فرض مصلحت، مدیریت کند). این دو حکم، ناظر به دو «مقام» و دو «شرایط» متفاوت‌اند و تنافی جعلی میان آن‌ها نیست؛ چنان‌که وجوب نماز با جواز افطار مسافر نیز متعارض نیست، بلکه هر یک ناظر به شرایط خود است. به بیان دیگر، شارعی که هم وفا را واجب کرده و هم برای حاکم اختیار قرار داده، خود، نظامِ جمع را نیز (از طریق مصلحت‌سنجی و تزاحم) پیش‌بینی کرده است و نسبت‌دادن «تعارض» به ادله او، نسبت‌دادن نقص به نظام تشریع است.</w:t>
      </w:r>
    </w:p>
    <w:p>
      <w:pPr>
        <w:pStyle w:val="TH-Body"/>
        <w:widowControl/>
        <w:bidi w:val="1"/>
        <w:spacing w:before="0" w:after="120" w:line="288" w:lineRule="auto"/>
        <w:jc w:val="both"/>
      </w:pPr>
      <w:r>
        <w:rPr>
          <w:rFonts w:ascii="B Lotus" w:hAnsi="B Lotus" w:cs="B Lotus" w:eastAsia="B Lotus"/>
          <w:b w:val="0"/>
          <w:i w:val="0"/>
          <w:sz w:val="28"/>
          <w:szCs w:val="28"/>
        </w:rPr>
        <w:t>نقد دوم (روشی): پذیرش تعارض، ناگزیر به «حذف» یک دسته از ادله می‌انجامد (ترجیح یکی و طرح دیگری)؛ و حذف ادله، در برابر ادله‌ای به این قوت و کثرت از هر دو سو، ناممکن و ناموجه است. نه می‌توان آیات و روایات پرشمار وفا را نادیده گرفت و نه می‌توان ادله ولایت و مصلحت و سیره را انکار کرد. راه صحیح، «جمع» است نه «حذف».</w:t>
      </w:r>
    </w:p>
    <w:p>
      <w:pPr>
        <w:pStyle w:val="TH-Body"/>
        <w:widowControl/>
        <w:bidi w:val="1"/>
        <w:spacing w:before="0" w:after="120" w:line="288" w:lineRule="auto"/>
        <w:jc w:val="both"/>
      </w:pPr>
      <w:r>
        <w:rPr>
          <w:rFonts w:ascii="B Lotus" w:hAnsi="B Lotus" w:cs="B Lotus" w:eastAsia="B Lotus"/>
          <w:b w:val="0"/>
          <w:i w:val="0"/>
          <w:sz w:val="28"/>
          <w:szCs w:val="28"/>
        </w:rPr>
        <w:t>نقد سوم (نتیجه‌ای): فرضیه تعارض، در عمل به یکی از دو افراط می‌انجامد: یا ممنوعیت مطلق (با ترجیح ادله وفا) یا جواز مطلق (با ترجیح ادله اختیار)؛ و هر دو افراط، چنان‌که نشان داده شد، با مجموع ادله ناسازگار است. پس فرضیه‌ای که نتیجه‌اش باطل است، خود باطل است.</w:t>
      </w:r>
    </w:p>
    <w:p>
      <w:pPr>
        <w:pStyle w:val="TH-Band"/>
        <w:widowControl/>
        <w:bidi w:val="1"/>
        <w:spacing w:before="200" w:after="120" w:line="288" w:lineRule="auto"/>
        <w:jc w:val="right"/>
      </w:pPr>
      <w:r>
        <w:rPr>
          <w:rFonts w:ascii="B Traffic" w:hAnsi="B Traffic" w:cs="B Traffic" w:eastAsia="B Traffic"/>
          <w:b/>
          <w:i w:val="0"/>
          <w:sz w:val="28"/>
          <w:szCs w:val="28"/>
        </w:rPr>
        <w:t>بند دوم: اثبات تزاحم و نقد تقریرهای رقیب</w:t>
      </w:r>
    </w:p>
    <w:p>
      <w:pPr>
        <w:pStyle w:val="TH-Body"/>
        <w:widowControl/>
        <w:bidi w:val="1"/>
        <w:spacing w:before="0" w:after="120" w:line="288" w:lineRule="auto"/>
        <w:jc w:val="both"/>
      </w:pPr>
      <w:r>
        <w:rPr>
          <w:rFonts w:ascii="B Lotus" w:hAnsi="B Lotus" w:cs="B Lotus" w:eastAsia="B Lotus"/>
          <w:b w:val="0"/>
          <w:i w:val="0"/>
          <w:sz w:val="28"/>
          <w:szCs w:val="28"/>
        </w:rPr>
        <w:t>فرضیه صحیح ـ به نظر نگارنده ـ «تزاحم» است: تنافی دو حکم در مقام «امتثال»، با وجود سازگاری آن‌ها در مقام جعل. حاکم اسلامی در شرایط عادی، هم مکلف به وفاست و هم مأمور به اداره نظام بر اساس مصلحت؛ و این دو تکلیف، غالباً قابل جمع‌اند (اداره نظام از طریق وفا به پیمان‌های مفید و مصلحت‌سنجیده). اما در شرایط خاص، جمع میان آن‌ها ممکن نیست: یا باید وفا کرد و مصلحت اهم نظام را فدا کرد، یا باید مصلحت اهم را گرفت و از وفا عدول کرد. این، تعریف دقیق و کلاسیک تزاحم است و راه‌حل آن نیز در اصول فقه روشن و مسلم است: تقدیم «اهم» بر «مهم».</w:t>
      </w:r>
    </w:p>
    <w:p>
      <w:pPr>
        <w:pStyle w:val="TH-Body"/>
        <w:widowControl/>
        <w:bidi w:val="1"/>
        <w:spacing w:before="0" w:after="120" w:line="288" w:lineRule="auto"/>
        <w:jc w:val="both"/>
      </w:pPr>
      <w:r>
        <w:rPr>
          <w:rFonts w:ascii="B Lotus" w:hAnsi="B Lotus" w:cs="B Lotus" w:eastAsia="B Lotus"/>
          <w:b w:val="0"/>
          <w:i w:val="0"/>
          <w:sz w:val="28"/>
          <w:szCs w:val="28"/>
        </w:rPr>
        <w:t>اما چهار تقریر رقیب نیز وجود دارد که باید منصفانه بررسی شود: تقریر یکم، «حکومت»: این‌که دلیل اختیار حاکم، حاکم و ناظر بر دلیل وجوب وفا و مُضیِّق آن است (مانند حکومت دلیل «لاضرر» بر ادله احکام اولیه). تقریر دوم، «تخصیص»: این‌که ادله اختیار، مخصصِ عموم ادله وفا و مُخرِجِ مورد حکم حکومتی از شمول آن است. تقریر سوم، «تقیید»: این‌که وجوب وفا از ابتدا مقید به «عدم حکم حکومتی برخلاف» بوده و با صدور حکم حکومتی، موضوع وجوب منتفی می‌شود. تقریر چهارم، «ورود»: این‌که حکم حکومتی، موضوع وجوب وفا را ـ به‌لحاظ تکوینی ـ از بین می‌برد (مانند ورود دلیل اجتهاد بر اصل).</w:t>
      </w:r>
    </w:p>
    <w:p>
      <w:pPr>
        <w:pStyle w:val="TH-Body"/>
        <w:widowControl/>
        <w:bidi w:val="1"/>
        <w:spacing w:before="0" w:after="120" w:line="288" w:lineRule="auto"/>
        <w:jc w:val="both"/>
      </w:pPr>
      <w:r>
        <w:rPr>
          <w:rFonts w:ascii="B Lotus" w:hAnsi="B Lotus" w:cs="B Lotus" w:eastAsia="B Lotus"/>
          <w:b w:val="0"/>
          <w:i w:val="0"/>
          <w:sz w:val="28"/>
          <w:szCs w:val="28"/>
        </w:rPr>
        <w:t>تحلیل نگارنده آن است که هر چهار تقریر، در «نتیجه عملی» به یک‌جا می‌رسند (مقدم‌شدن تصمیم مصلحت‌سنجیده حاکم بر وجوب وفا) و اختلاف آن‌ها، غالباً لفظی ـ تحلیلی است؛ اما دقیق‌ترین و کارآمدترین صورت‌بندی، همان «تزاحم» است، به چهار دلیل: دلیل یکم: تزاحم، «موقت‌بودن» عدول را بهتر از همه توضیح می‌دهد؛ زیرا در تزاحم، تکلیف مهم ساقط نمی‌شود، بلکه به‌طور موقت کنار می‌رود و با رفع تزاحم بازمی‌گردد؛ و این، دقیقاً منطق «تعلیق» است (توقف موقت با بقای اعتبار). در برابر، تقریرهای تخصیص و تقیید و ورود، به «سقوط دائم» نزدیک‌ترند و با منطق تعلیق ناسازگارند. دلیل دوم: تزاحم، «شرط اهم‌بودن» را در ذات خود دارد (تقدم بدون احراز اهم‌بودن، موجه نیست)؛ در حالی که تقریرهای حکومت و تخصیص، اگر بدون قید اهم‌بودن فهم شوند، راه را برای سوءاستفاده و توسعه بی‌ضابطه اختیار می‌گشایند. دلیل سوم: تزاحم، با «طیف شدت عدول» سازگارتر است: هرچه تزاحم شدیدتر (اهمیت مصلحت بیشتر)، عدولِ بیشتری موجه است؛ و این، همان اصل تناسب است. دلیل چهارم: تزاحم، سابقه روشن‌تری در فقه حکومتی دارد و فقها در موارد مشابه (مانند تزاحم احکام در اداره نظام) همین راه را رفته‌اند.</w:t>
      </w:r>
    </w:p>
    <w:p>
      <w:pPr>
        <w:pStyle w:val="TH-Body"/>
        <w:widowControl/>
        <w:bidi w:val="1"/>
        <w:spacing w:before="0" w:after="120" w:line="288" w:lineRule="auto"/>
        <w:jc w:val="both"/>
      </w:pPr>
      <w:r>
        <w:rPr>
          <w:rFonts w:ascii="B Lotus" w:hAnsi="B Lotus" w:cs="B Lotus" w:eastAsia="B Lotus"/>
          <w:b w:val="0"/>
          <w:i w:val="0"/>
          <w:sz w:val="28"/>
          <w:szCs w:val="28"/>
        </w:rPr>
        <w:t>نظر مختار: رابطه ادله وجوب وفا با ادله اختیار حاکم، از نوع «تزاحم» است و راه‌حل آن، قاعده «اهم و مهم» در قالب «حکم حکومتیِ» مصلحت‌سنجیده است. بر همین اساس، می‌توان طیفی پنج‌مرحله‌ای از شدت عدول ترسیم کرد: (۱) تعلیق موقت و جزئی (کمترین عدول، نیازمند کمترین حد احراز)؛ (۲) تعلیق نامعین تا رفع مانع (با افق روشن)؛ (۳) انباذ اعلام‌شده و پایان‌دادن شفاف به پیمان (با رعایت آیین)؛ (۴) نقض واکنشی در برابر نقض طرف مقابل (با رعایت تناسب)؛ و (۵) غدر و پیمان‌شکنی پنهانی (ممنوع مطلق، در هیچ فرضی جایز نیست). هرچه در این طیف به سمت عدول شدیدتر حرکت کنیم، درجه اطمینان لازم به مصلحت و اهم‌بودن آن بالاتر می‌رود؛ اصلی که می‌توان آن را «تناسب میان شدت عدول و درجه اطمینان» نامید و در ضابطه چهارم بازخواهد گشت.</w:t>
      </w:r>
    </w:p>
    <w:p>
      <w:pPr>
        <w:pStyle w:val="TH-Band"/>
        <w:widowControl/>
        <w:bidi w:val="1"/>
        <w:spacing w:before="200" w:after="120" w:line="288" w:lineRule="auto"/>
        <w:jc w:val="right"/>
      </w:pPr>
      <w:r>
        <w:rPr>
          <w:rFonts w:ascii="B Traffic" w:hAnsi="B Traffic" w:cs="B Traffic" w:eastAsia="B Traffic"/>
          <w:b/>
          <w:i w:val="0"/>
          <w:sz w:val="28"/>
          <w:szCs w:val="28"/>
        </w:rPr>
        <w:t>بند سوم: شرایط احراز تزاحم واقعی</w:t>
      </w:r>
    </w:p>
    <w:p>
      <w:pPr>
        <w:pStyle w:val="TH-Body"/>
        <w:widowControl/>
        <w:bidi w:val="1"/>
        <w:spacing w:before="0" w:after="120" w:line="288" w:lineRule="auto"/>
        <w:jc w:val="both"/>
      </w:pPr>
      <w:r>
        <w:rPr>
          <w:rFonts w:ascii="B Lotus" w:hAnsi="B Lotus" w:cs="B Lotus" w:eastAsia="B Lotus"/>
          <w:b w:val="0"/>
          <w:i w:val="0"/>
          <w:sz w:val="28"/>
          <w:szCs w:val="28"/>
        </w:rPr>
        <w:t>پذیرش تزاحم، بدون تعیین شرایط احراز آن، راه را برای ادعاهای بی‌اساس می‌گشاید: هر حاکمی می‌تواند ادعا کند که در تزاحم است و از وفا عدول کند. ازاین‌رو، باید شرایط احراز «تزاحم واقعی» مشخص شود. به نظر نگارنده، تزاحم واقعی در مسئله ما چهار شرط دارد: شرط یکم، «تحقق دو تکلیف فعلی»: هم وجوب وفا فعلی باشد (معاهده معتبر و لازم‌الاجرا) و هم تکلیف مصلحتی (حفظ نظام یا مصلحت اهم) فعلی باشد؛ زیرا تزاحمِ تکلیف فعلی با تکلیف موهوم، تزاحم نیست. شرط دوم، «عدم امکان جمع»: جمع میان وفا و مصلحت، واقعاً ممکن نباشد؛ نه آن‌که جمع ممکن باشد اما دشوار یا پرهزینه؛ زیرا دشواری، تزاحم نمی‌سازد (درس حدیبیه). شرط سوم، «اهم‌بودن مصلحت»: مصلحتِ عدول، واقعاً اهم از مصلحتِ وفا باشد؛ و این اهم‌بودن، باید با معیار عقلایی ـ عرفی و با پشتوانه کارشناسی احراز شود، نه با ادعا و حدس. شرط چهارم، «استنادپذیری»: تزاحم باید مستند به قرائن و شواهد عقلایی باشد، به‌گونه‌ای که عقلای خبره و بی‌طرف نیز ـ در صورت اطلاع از همه جوانب ـ آن را تصدیق کنند؛ وگرنه، ادعای تزاحم، ادعایی بی‌پشتوانه است.</w:t>
      </w:r>
    </w:p>
    <w:p>
      <w:pPr>
        <w:pStyle w:val="TH-Body"/>
        <w:widowControl/>
        <w:bidi w:val="1"/>
        <w:spacing w:before="0" w:after="120" w:line="288" w:lineRule="auto"/>
        <w:jc w:val="both"/>
      </w:pPr>
      <w:r>
        <w:rPr>
          <w:rFonts w:ascii="B Lotus" w:hAnsi="B Lotus" w:cs="B Lotus" w:eastAsia="B Lotus"/>
          <w:b w:val="0"/>
          <w:i w:val="0"/>
          <w:sz w:val="28"/>
          <w:szCs w:val="28"/>
        </w:rPr>
        <w:t>این چهار شرط، در واقع، صورتِ اصولیِ ضوابط هشت‌گانه گفتار چهارم است و نشان می‌دهد که ضوابط، اموری استحسانی و سلیقه‌ای نیستند، بلکه لوازم منطقیِ پذیرش تزاحم‌اند.</w:t>
      </w:r>
    </w:p>
    <w:p>
      <w:pPr>
        <w:pStyle w:val="TH-Goftar"/>
        <w:widowControl/>
        <w:bidi w:val="1"/>
        <w:spacing w:before="200" w:after="120" w:line="288" w:lineRule="auto"/>
        <w:jc w:val="right"/>
      </w:pPr>
      <w:r>
        <w:rPr>
          <w:rFonts w:ascii="B Titr" w:hAnsi="B Titr" w:cs="B Titr" w:eastAsia="B Titr"/>
          <w:b/>
          <w:i w:val="0"/>
          <w:sz w:val="32"/>
          <w:szCs w:val="32"/>
        </w:rPr>
        <w:t>گفتار سوم: شبهات و پاسخ‌ها</w:t>
      </w:r>
    </w:p>
    <w:p>
      <w:pPr>
        <w:pStyle w:val="TH-Body"/>
        <w:widowControl/>
        <w:bidi w:val="1"/>
        <w:spacing w:before="0" w:after="120" w:line="288" w:lineRule="auto"/>
        <w:jc w:val="both"/>
      </w:pPr>
      <w:r>
        <w:rPr>
          <w:rFonts w:ascii="B Lotus" w:hAnsi="B Lotus" w:cs="B Lotus" w:eastAsia="B Lotus"/>
          <w:b w:val="0"/>
          <w:i w:val="0"/>
          <w:sz w:val="28"/>
          <w:szCs w:val="28"/>
        </w:rPr>
        <w:t>در برابر نظریه اختیار مقید حاکم، چهار شبهه مهم مطرح شده یا قابل طرح است که باید پاسخ داده شود:</w:t>
      </w:r>
    </w:p>
    <w:p>
      <w:pPr>
        <w:pStyle w:val="TH-Body"/>
        <w:widowControl/>
        <w:bidi w:val="1"/>
        <w:spacing w:before="0" w:after="120" w:line="288" w:lineRule="auto"/>
        <w:jc w:val="both"/>
      </w:pPr>
      <w:r>
        <w:rPr>
          <w:rFonts w:ascii="B Lotus" w:hAnsi="B Lotus" w:cs="B Lotus" w:eastAsia="B Lotus"/>
          <w:b w:val="0"/>
          <w:i w:val="0"/>
          <w:sz w:val="28"/>
          <w:szCs w:val="28"/>
        </w:rPr>
        <w:t>شبهه یکم: «اطلاق ادله وفا». گفته می‌شود: ادله وجوب وفا ـ به‌ویژه آیه «اوفوا بالعقود» ـ مطلق‌اند و هیچ استثنایی برای حاکم یا مصلحت ذکر نکرده‌اند؛ پس عدول، خلاف اطلاق است. پاسخ: اولاً، چنان‌که در فصل سوم گذشت، خودِ ادله وفا دربردارنده سازوکار استثنا (انباذ، تقابل، فسخ هدنه) است و اطلاق آن‌ها، اطلاقِ درون‌نظام است. ثانیاً، اطلاق در برابر دلیل مقید، مقید می‌شود و ادله شش‌گانه این فصل، همان دلیل مقید است. ثالثاً، اگر اطلاق به معنای بی‌استثنابودن باشد، باید همه احکام مطلق را بی‌استثنا دانست که باطل است (نقض به نماز و روزه و حج).</w:t>
      </w:r>
    </w:p>
    <w:p>
      <w:pPr>
        <w:pStyle w:val="TH-Body"/>
        <w:widowControl/>
        <w:bidi w:val="1"/>
        <w:spacing w:before="0" w:after="120" w:line="288" w:lineRule="auto"/>
        <w:jc w:val="both"/>
      </w:pPr>
      <w:r>
        <w:rPr>
          <w:rFonts w:ascii="B Lotus" w:hAnsi="B Lotus" w:cs="B Lotus" w:eastAsia="B Lotus"/>
          <w:b w:val="0"/>
          <w:i w:val="0"/>
          <w:sz w:val="28"/>
          <w:szCs w:val="28"/>
        </w:rPr>
        <w:t>شبهه دوم: «لزوم هرج‌ومرج بین‌المللی». گفته می‌شود: اگر هر حاکمی بتواند به نام مصلحت از تعهدات خود عدول کند، نظام حقوق بین‌الملل فرو می‌پاشد و اعتماد جهانی از بین می‌رود. پاسخ: اولاً، این شبهه، ناظر به «جواز مطلق و بی‌ضابطه» است، نه نظریه مختار که «جواز مقید به ضوابط هشت‌گانه» است؛ و جواز مقید، هرج‌ومرج نمی‌سازد، بلکه ـ مانند نهادهای تعلیق و خاتمه در خودِ کنوانسیون وین ـ عقلانیت نظام را تکمیل می‌کند. ثانیاً، خودِ حقوق بین‌الملل نیز نهادهای عدول (مواد ۵۴ تا ۶۴ وین و اسباب رافع) را پذیرفته و با این حال فرو نپاشیده است؛ پس وجود سازوکار عدولِ ضابطه‌مند، با ثبات نظام ناسازگار نیست. ثالثاً، بدیلِ نظریه مختار (ممنوعیت مطلق) خود موجب هرج‌ومرجِ دیگری می‌شود: حاکمان در عمل عدول می‌کنند اما بدون چارچوب و پاسخ‌گویی؛ و این، بدتر از عدولِ ضابطه‌مند است.</w:t>
      </w:r>
    </w:p>
    <w:p>
      <w:pPr>
        <w:pStyle w:val="TH-Body"/>
        <w:widowControl/>
        <w:bidi w:val="1"/>
        <w:spacing w:before="0" w:after="120" w:line="288" w:lineRule="auto"/>
        <w:jc w:val="both"/>
      </w:pPr>
      <w:r>
        <w:rPr>
          <w:rFonts w:ascii="B Lotus" w:hAnsi="B Lotus" w:cs="B Lotus" w:eastAsia="B Lotus"/>
          <w:b w:val="0"/>
          <w:i w:val="0"/>
          <w:sz w:val="28"/>
          <w:szCs w:val="28"/>
        </w:rPr>
        <w:t>شبهه سوم: «تعارض با عهدنامه مالک اشتر». گفته می‌شود: عهدنامه، وفا را فریضه‌ای بی‌استثنا شمرده و عدول را غدر نامیده است؛ پس نظریه اختیار، خلاف عهدنامه است. پاسخ: اولاً، عهدنامه، «غدر» (پیمان‌شکنی پنهانی و حیله‌گرانه) را ممنوع کرده، نه «انباذ اعلام‌شده» و «مدیریت مصلحتی» را؛ و نظریه مختار نیز غدر را ممنوع مطلق می‌داند (مرحله پنجم طیف). ثانیاً، خودِ عهدنامه، حاکم را به مصلحت‌سنجی، حزم و تدبیر نیز فرمان داده و نظام آن دوسویه است. ثالثاً، عهدنامه خطاب به «والی» (مالک) است، نه «امام»؛ و اختیارات امام (حاکم اعلی) فراتر از اختیارات والی است؛ چنان‌که خودِ امام (ع) در مواردی تصمیم‌های فوق‌العاده گرفت.</w:t>
      </w:r>
    </w:p>
    <w:p>
      <w:pPr>
        <w:pStyle w:val="TH-Body"/>
        <w:widowControl/>
        <w:bidi w:val="1"/>
        <w:spacing w:before="0" w:after="120" w:line="288" w:lineRule="auto"/>
        <w:jc w:val="both"/>
      </w:pPr>
      <w:r>
        <w:rPr>
          <w:rFonts w:ascii="B Lotus" w:hAnsi="B Lotus" w:cs="B Lotus" w:eastAsia="B Lotus"/>
          <w:b w:val="0"/>
          <w:i w:val="0"/>
          <w:sz w:val="28"/>
          <w:szCs w:val="28"/>
        </w:rPr>
        <w:t>شبهه چهارم: «بازکردن باب سوءاستفاده». گفته می‌شود: نظریه اختیار، به حاکمان ستمگر بهانه می‌دهد که هر پیمانی را به نام مصلحت بشکنند. پاسخ: اولاً، سوءاستفاده احتمالی از یک نظریه صحیح، دلیل بطلان آن نیست؛ وگرنه باید بسیاری از احکام (مانند جهاد، امر به معروف و حتی خودِ ولایت) را نیز به همین بهانه انکار کرد. ثانیاً، اتفاقاً نظریه مختار ـ با ضوابط هشت‌گانه، شرط اهم‌بودن، و لزوم شفافیت ـ بیشترین سد را در برابر سوءاستفاده می‌بندد؛ و بدیل آن (سکوت یا انکار) راه سوءاستفاده را بازتر می‌گذارد. ثالثاً، پاسخ‌گویی حاکم در برابر خدا، امت و جامعه بین‌المللی (ضابطه هشتم) خود مهارکننده سوءاستفاده است.</w:t>
      </w:r>
    </w:p>
    <w:p>
      <w:pPr>
        <w:pStyle w:val="TH-Goftar"/>
        <w:widowControl/>
        <w:bidi w:val="1"/>
        <w:spacing w:before="200" w:after="120" w:line="288" w:lineRule="auto"/>
        <w:jc w:val="right"/>
      </w:pPr>
      <w:r>
        <w:rPr>
          <w:rFonts w:ascii="B Titr" w:hAnsi="B Titr" w:cs="B Titr" w:eastAsia="B Titr"/>
          <w:b/>
          <w:i w:val="0"/>
          <w:sz w:val="32"/>
          <w:szCs w:val="32"/>
        </w:rPr>
        <w:t>گفتار چهارم: ضوابط هشت‌گانه عدول از تعهد</w:t>
      </w:r>
    </w:p>
    <w:p>
      <w:pPr>
        <w:pStyle w:val="TH-Body"/>
        <w:widowControl/>
        <w:bidi w:val="1"/>
        <w:spacing w:before="0" w:after="120" w:line="288" w:lineRule="auto"/>
        <w:jc w:val="both"/>
      </w:pPr>
      <w:r>
        <w:rPr>
          <w:rFonts w:ascii="B Lotus" w:hAnsi="B Lotus" w:cs="B Lotus" w:eastAsia="B Lotus"/>
          <w:b w:val="0"/>
          <w:i w:val="0"/>
          <w:sz w:val="28"/>
          <w:szCs w:val="28"/>
        </w:rPr>
        <w:t>اکنون که اصل اختیار (گفتار اول)، مبنای نظری آن (گفتار دوم) و پاسخ شبهات (گفتار سوم) روشن شد، باید به پرسش اصلی سؤال فرعی دوم پاسخ داد: ضوابط فقهی عدول از تعهد کدام است؟ نگارنده با استقرا در ادله پیشین و لوازم منطقیِ پذیرش تزاحم، هشت ضابطه استخراج کرده که در سه دسته سامان می‌یابند. این ضوابط، هم‌افزایند و نه جایگزین: تحقق همه آن‌ها با هم، شرط جواز است و فقدان هر یک، جواز را مخدوش می‌کند.</w:t>
      </w:r>
    </w:p>
    <w:p>
      <w:pPr>
        <w:pStyle w:val="TH-Band"/>
        <w:widowControl/>
        <w:bidi w:val="1"/>
        <w:spacing w:before="200" w:after="120" w:line="288" w:lineRule="auto"/>
        <w:jc w:val="right"/>
      </w:pPr>
      <w:r>
        <w:rPr>
          <w:rFonts w:ascii="B Traffic" w:hAnsi="B Traffic" w:cs="B Traffic" w:eastAsia="B Traffic"/>
          <w:b/>
          <w:i w:val="0"/>
          <w:sz w:val="28"/>
          <w:szCs w:val="28"/>
        </w:rPr>
        <w:t>بند اول: ضوابط ناظر به مبنا</w:t>
      </w:r>
    </w:p>
    <w:p>
      <w:pPr>
        <w:pStyle w:val="TH-Body"/>
        <w:widowControl/>
        <w:bidi w:val="1"/>
        <w:spacing w:before="0" w:after="120" w:line="288" w:lineRule="auto"/>
        <w:jc w:val="both"/>
      </w:pPr>
      <w:r>
        <w:rPr>
          <w:rFonts w:ascii="B Lotus" w:hAnsi="B Lotus" w:cs="B Lotus" w:eastAsia="B Lotus"/>
          <w:b w:val="0"/>
          <w:i w:val="0"/>
          <w:sz w:val="28"/>
          <w:szCs w:val="28"/>
        </w:rPr>
        <w:t>ضابطه یکم ـ احراز مصلحت واقعی و اهم: نخستین و مهم‌ترین ضابطه آن است که عدول، مبتنی بر «مصلحت واقعی» (نه موهوم، حدسی و تبلیغاتی) و «اهم از وفا» (نه هم‌سنگ یا کم‌اهمیت‌تر) باشد. مصلحت شخصی حاکم، مصلحت جناحی، مصلحت مقطعی و زودگذر، و مصلحتی که با وفا قابل جمع است، هیچ‌یک مجوز عدول نیستند. معیار اهم‌بودن، عقلایی ـ عرفی است: آن‌چه عقلای خبره و بی‌طرف، در مقام مقایسه همه‌جانبه، مهم‌تر بدانند؛ مانند حفظ کیان نظام در برابر وفا به یک قرارداد تجاری، یا دفع سلطه بیگانه در برابر اجرای یک بند تشریفاتی. احراز نیز باید واقعی باشد: مستند به گزارش‌های کارشناسی، قرائن عینی، و تحلیل‌های مستدل؛ نه حدس و گمان و نه فشار روانی و تبلیغاتی. این ضابطه، مستقیماً از قاعده اهم و مهم و شرط سوم احراز تزاحم نتیجه می‌شود.</w:t>
      </w:r>
    </w:p>
    <w:p>
      <w:pPr>
        <w:pStyle w:val="TH-Body"/>
        <w:widowControl/>
        <w:bidi w:val="1"/>
        <w:spacing w:before="0" w:after="120" w:line="288" w:lineRule="auto"/>
        <w:jc w:val="both"/>
      </w:pPr>
      <w:r>
        <w:rPr>
          <w:rFonts w:ascii="B Lotus" w:hAnsi="B Lotus" w:cs="B Lotus" w:eastAsia="B Lotus"/>
          <w:b w:val="0"/>
          <w:i w:val="0"/>
          <w:sz w:val="28"/>
          <w:szCs w:val="28"/>
        </w:rPr>
        <w:t>ضابطه دوم ـ انتفای راه‌حل کم‌هزینه‌تر (اصل حداقلی‌بودن): عدول از تعهد، آخرین راه‌حل است نه نخستین آن. پیش از عدول، باید راه‌های حقوقی پیش‌بینی‌شده در خود معاهده (شرط خاتمه، شرط بازنگری، سازوکار حل اختلاف، حق شرط) و راه‌های پیش‌بینی‌شده در کنوانسیون وین (مذاکره مجدد، تعلیق توافقی، مراجعه به داوری) آزموده شود یا دست‌کم به‌صورت مستدل و مستند، بی‌فایده یا ناممکن تشخیص داده شود. همچنین در میان صورت‌های عدول، کم‌شدت‌ترین صورتِ کافی باید برگزیده شود: ترجیح تعلیق جزئی بر کلی، تعلیق موقت بر نامعین، و تعلیق بر نقض. مبنای این ضابطه، قاعده «الضرورات تتقدر بقدرها» (ضرورت‌ها به‌اندازه خودشان تقدیر و محدود می‌شوند) و اصل عقلایی «حداقل مداخله» است. حاکمی که بدون آزمودن راه‌های کم‌هزینه، به عدولِ پرهزینه روی می‌آورد، از حزم و احتیاط لازم به دور است و تصمیم او فاقد وجاهت است.</w:t>
      </w:r>
    </w:p>
    <w:p>
      <w:pPr>
        <w:pStyle w:val="TH-Band"/>
        <w:widowControl/>
        <w:bidi w:val="1"/>
        <w:spacing w:before="200" w:after="120" w:line="288" w:lineRule="auto"/>
        <w:jc w:val="right"/>
      </w:pPr>
      <w:r>
        <w:rPr>
          <w:rFonts w:ascii="B Traffic" w:hAnsi="B Traffic" w:cs="B Traffic" w:eastAsia="B Traffic"/>
          <w:b/>
          <w:i w:val="0"/>
          <w:sz w:val="28"/>
          <w:szCs w:val="28"/>
        </w:rPr>
        <w:t>بند دوم: ضوابط ناظر به مرجع و فرایند</w:t>
      </w:r>
    </w:p>
    <w:p>
      <w:pPr>
        <w:pStyle w:val="TH-Body"/>
        <w:widowControl/>
        <w:bidi w:val="1"/>
        <w:spacing w:before="0" w:after="120" w:line="288" w:lineRule="auto"/>
        <w:jc w:val="both"/>
      </w:pPr>
      <w:r>
        <w:rPr>
          <w:rFonts w:ascii="B Lotus" w:hAnsi="B Lotus" w:cs="B Lotus" w:eastAsia="B Lotus"/>
          <w:b w:val="0"/>
          <w:i w:val="0"/>
          <w:sz w:val="28"/>
          <w:szCs w:val="28"/>
        </w:rPr>
        <w:t>ضابطه سوم ـ تشخیص توسط ولی فقیه با مشورت کارشناسی: مرجع نهایی تشخیص مصلحت مجوزِ عدول، ولی فقیه است؛ زیرا هم شرعاً (ولایت عامه در اداره نظام) و هم قانوناً (اصل ۵۷ و ۱۱۰) مسئولیت نهایی اداره نظام با اوست و هیچ مقام دیگری ـ نه رئیس‌جمهور، نه مجلس و نه قوه قضائیه ـ صلاحیت تصمیم نهایی در این سطح را ندارد. اما این تشخیص، فردی، انفرادی و بدون مشورت نیست؛ بلکه باید مبتنی بر مشورت با خبرگان و نهادهای کارشناسی باشد: مجمع تشخیص مصلحت نظام (موضوع اصل ۱۱۲) به‌عنوان نهاد تخصصی مصلحت‌سنجی، شورای عالی امنیت ملی (موضوع اصل ۱۷۶) به‌عنوان نهاد تخصصی امنیت ملی، وزارت امور خارجه و نهادهای اطلاعاتی به‌عنوان منابع کارشناسی، و فقهای شورای نگهبان در ابعاد شرعی.</w:t>
      </w:r>
      <w:r>
        <w:rPr>
          <w:rFonts w:ascii="B Lotus" w:hAnsi="B Lotus" w:cs="B Lotus" w:eastAsia="B Lotus"/>
          <w:b w:val="0"/>
          <w:i w:val="0"/>
          <w:sz w:val="28"/>
          <w:szCs w:val="28"/>
          <w:vertAlign w:val="superscript"/>
        </w:rPr>
        <w:footnoteReference w:id="58"/>
      </w:r>
      <w:r>
        <w:rPr>
          <w:rFonts w:ascii="B Lotus" w:hAnsi="B Lotus" w:cs="B Lotus" w:eastAsia="B Lotus"/>
          <w:b w:val="0"/>
          <w:i w:val="0"/>
          <w:sz w:val="28"/>
          <w:szCs w:val="28"/>
        </w:rPr>
        <w:t xml:space="preserve"> به بیان دقیق: «تصمیم» با ولی فقیه است، اما «کارشناسی» با نهادهای تخصصی است؛ و تصمیم بدون پشتوانه کارشناسی، با ضابطه یکم (احراز واقعی) ناسازگار است و از اعتبار ساقط می‌شود. این ساختارِ «تصمیم واحد با پشتوانه جمعی»، هم از استبداد رأی جلوگیری می‌کند و هم از تشتت تصمیم.</w:t>
      </w:r>
    </w:p>
    <w:p>
      <w:pPr>
        <w:pStyle w:val="TH-Body"/>
        <w:widowControl/>
        <w:bidi w:val="1"/>
        <w:spacing w:before="0" w:after="120" w:line="288" w:lineRule="auto"/>
        <w:jc w:val="both"/>
      </w:pPr>
      <w:r>
        <w:rPr>
          <w:rFonts w:ascii="B Lotus" w:hAnsi="B Lotus" w:cs="B Lotus" w:eastAsia="B Lotus"/>
          <w:b w:val="0"/>
          <w:i w:val="0"/>
          <w:sz w:val="28"/>
          <w:szCs w:val="28"/>
        </w:rPr>
        <w:t>ضابطه چهارم ـ تناسب: میان «شدت عدول» و «شدت مصلحت» باید تناسب عقلایی باشد. تعلیق موقت یک بند فرعی از معاهده، با مصلحتی در حد خود توجیه می‌شود؛ اما نقض کلی و دائم یک معاهده بنیادین، مصلحتی در حد خود (مانند دفع خطر وجودی از نظام) می‌طلبد. این ضابطه، مانع آن است که برای مصالح کوچک و متوسط، هزینه‌های بزرگ (از جمله مسئولیت بین‌المللی سنگین، بی‌اعتباری جهانی و تحریم‌های گسترده) بر کشور تحمیل شود. تناسب، هم در «اصل تصمیم» لازم است (آیا عدول به‌طور کلی متناسب است؟) و هم در «صورت تصمیم» (کدام صورتِ عدول، متناسب است؟). مبنای این ضابطه، بنای عقلا و قاعده «الضرورات تتقدر بقدرها»ست؛ و جلوه عملی آن، همان «طیف شدت عدول» و اصل «تناسب میان شدت عدول و درجه اطمینان» است که در گفتار دوم گذشت.</w:t>
      </w:r>
    </w:p>
    <w:p>
      <w:pPr>
        <w:pStyle w:val="TH-Body"/>
        <w:widowControl/>
        <w:bidi w:val="1"/>
        <w:spacing w:before="0" w:after="120" w:line="288" w:lineRule="auto"/>
        <w:jc w:val="both"/>
      </w:pPr>
      <w:r>
        <w:rPr>
          <w:rFonts w:ascii="B Lotus" w:hAnsi="B Lotus" w:cs="B Lotus" w:eastAsia="B Lotus"/>
          <w:b w:val="0"/>
          <w:i w:val="0"/>
          <w:sz w:val="28"/>
          <w:szCs w:val="28"/>
        </w:rPr>
        <w:t>ضابطه پنجم ـ موقت‌بودن در تعلیق: هرگاه قالب تصمیم، «تعلیق» باشد، باید افق زمانی یا شرط بازگشت آن روشن شود؛ زیرا منطق تزاحم (که مبنای نظری این رساله است) اقتضا می‌کند که با رفع تزاحم، تکلیف مهم (وفا) بازگردد و اجرا از سر گرفته شود. تعلیقِ بی‌افق، نامعین و بلاتکلیف، در عمل به نقض می‌انجامد و از شمول جواز تعلیق بیرون است؛ مگر آن‌که بلاتکلیفیِ ظاهری، در واقع مشروط به شرط روشنی (مانند «تا رفع تحریم‌ها» یا «تا بازگشت طرف مقابل به تعهدات») باشد که در این صورت، تعلیقِ مشروطِ روشن است نه تعلیقِ بی‌افق. این ضابطه، هم مبنای فقهی دارد (منطق تزاحم) و هم مبنای حقوقی (ماده ۷۲ وین که ازسرگیری اجرا را پس از رفع سبب، مفروض می‌داند).</w:t>
      </w:r>
    </w:p>
    <w:p>
      <w:pPr>
        <w:pStyle w:val="TH-Band"/>
        <w:widowControl/>
        <w:bidi w:val="1"/>
        <w:spacing w:before="200" w:after="120" w:line="288" w:lineRule="auto"/>
        <w:jc w:val="right"/>
      </w:pPr>
      <w:r>
        <w:rPr>
          <w:rFonts w:ascii="B Traffic" w:hAnsi="B Traffic" w:cs="B Traffic" w:eastAsia="B Traffic"/>
          <w:b/>
          <w:i w:val="0"/>
          <w:sz w:val="28"/>
          <w:szCs w:val="28"/>
        </w:rPr>
        <w:t>بند سوم: ضوابط ناظر به شکل و آثار</w:t>
      </w:r>
    </w:p>
    <w:p>
      <w:pPr>
        <w:pStyle w:val="TH-Body"/>
        <w:widowControl/>
        <w:bidi w:val="1"/>
        <w:spacing w:before="0" w:after="120" w:line="288" w:lineRule="auto"/>
        <w:jc w:val="both"/>
      </w:pPr>
      <w:r>
        <w:rPr>
          <w:rFonts w:ascii="B Lotus" w:hAnsi="B Lotus" w:cs="B Lotus" w:eastAsia="B Lotus"/>
          <w:b w:val="0"/>
          <w:i w:val="0"/>
          <w:sz w:val="28"/>
          <w:szCs w:val="28"/>
        </w:rPr>
        <w:t>ضابطه ششم ـ اعلام و شفافیت (انباذ علی سواء): پایان‌دادن به پیمان یا تعلیق آن، باید «آشکار، اعلام‌شده و مستدل» باشد، نه پنهانی، غافلگیرانه و بی‌توضیح. مبنای قرآنی این ضابطه، قید «عَلَى سَوَاءٍ» در آیه انباذ است و مبنای حقوقی آن، آیین اطلاع‌رسانی مواد ۶۵ تا ۶۸ کنوانسیون وین است. غدر (پیمان‌شکنی پنهانی) در هیچ فرضی جایز نیست و از دایره اختیار حاکم به‌کلی بیرون است؛ حتی اگر مصلحت، اقتضای پنهان‌کاری داشته باشد، مصلحتِ پنهان‌کاری، هرگز بر حرمتِ غدر غلبه نمی‌کند، زیرا غدر از محرمات ذاتی و غیرقابل تخصیص است. رعایت این ضابطه، افزون بر وجاهت شرعی، آثار حقوقی و سیاسی نیز دارد: چنان‌که در فصل پنجم خواهد آمد، رفتار شفاف و مستدل، در ارزیابی مسئولیت بین‌المللی، در افکار عمومی جهانی، و در امکان بازگشت به اجرا، مؤثر است.</w:t>
      </w:r>
    </w:p>
    <w:p>
      <w:pPr>
        <w:pStyle w:val="TH-Body"/>
        <w:widowControl/>
        <w:bidi w:val="1"/>
        <w:spacing w:before="0" w:after="120" w:line="288" w:lineRule="auto"/>
        <w:jc w:val="both"/>
      </w:pPr>
      <w:r>
        <w:rPr>
          <w:rFonts w:ascii="B Lotus" w:hAnsi="B Lotus" w:cs="B Lotus" w:eastAsia="B Lotus"/>
          <w:b w:val="0"/>
          <w:i w:val="0"/>
          <w:sz w:val="28"/>
          <w:szCs w:val="28"/>
        </w:rPr>
        <w:t>ضابطه هفتم ـ عدم مخالفت با قواعد آمره و اصول بنیادین: اختیار حاکم، سقف دارد و سقف آن، قواعد آمره حقوق بین‌الملل (مانند منع تجاوز، منع نسل‌کشی، منع جنایت علیه بشریت، و اصول بنیادین بشردوستانه) و احکام قطعی و ضروری شرع است. هیچ مصلحتی ـ هر اندازه بزرگ و هر اندازه واقعی ـ نمی‌تواند مجوز نقض این قواعد باشد؛ زیرا مصلحتِ مخالِفِ قطعیات، از اساس مصلحت واقعی نیست، بلکه توهم مصلحت است. این ضابطه، مرز قاطع میان «اختیار مقید» (نظر مختار این رساله) و «اختیار مطلق» (نظر مردود) است؛ و پاسخ به کسانی است که نظریه اختیار را به «مصلحت‌گراییِ بی‌مرز» متهم می‌کنند. به بیان دیگر: مصلحت، درونِ نظام شرع معنا دارد، نه بیرون و فراتر از آن.</w:t>
      </w:r>
    </w:p>
    <w:p>
      <w:pPr>
        <w:pStyle w:val="TH-Body"/>
        <w:widowControl/>
        <w:bidi w:val="1"/>
        <w:spacing w:before="0" w:after="120" w:line="288" w:lineRule="auto"/>
        <w:jc w:val="both"/>
      </w:pPr>
      <w:r>
        <w:rPr>
          <w:rFonts w:ascii="B Lotus" w:hAnsi="B Lotus" w:cs="B Lotus" w:eastAsia="B Lotus"/>
          <w:b w:val="0"/>
          <w:i w:val="0"/>
          <w:sz w:val="28"/>
          <w:szCs w:val="28"/>
        </w:rPr>
        <w:t>ضابطه هشتم ـ پذیرش آثار و جبران‌پذیری (مسئولیت‌پذیری): تصمیم به عدول، باید با «آگاهی کامل از هزینه‌ها» و «پذیرش آثار» آن ـ از جمله مسئولیت بین‌المللی احتمالی، هزینه‌های سیاسی و اقتصادی، و آثار داخلی ـ اتخاذ شود و سازوکار جبران (در حد ممکن و مقتضی) پیش‌بینی گردد. تصمیمی که بدون محاسبه هزینه اتخاذ شود، با حزم و احتیاطِ لازمِ حاکم اسلامی ناسازگار است و تصمیمی عقلایی به شمار نمی‌آید. تفصیل آثار، موضوع فصل پنجم است؛ اما اصلِ «مسئولیت‌پذیری»، خود ضابطه‌ای فقهی ـ اخلاقی است: حاکم اسلامی، هم در برابر خدا، هم در برابر امت، و هم در برابر جامعه بین‌المللی، پاسخ‌گوی تصمیم خویش است؛ و این پاسخ‌گویی سه‌سویه، مهم‌ترین مهار در برابر تصمیم‌های شتاب‌زده و نسنجیده است.</w:t>
      </w:r>
    </w:p>
    <w:p>
      <w:pPr>
        <w:pStyle w:val="TH-Body"/>
        <w:widowControl/>
        <w:bidi w:val="1"/>
        <w:spacing w:before="0" w:after="120" w:line="288" w:lineRule="auto"/>
        <w:jc w:val="both"/>
      </w:pPr>
      <w:r>
        <w:rPr>
          <w:rFonts w:ascii="B Lotus" w:hAnsi="B Lotus" w:cs="B Lotus" w:eastAsia="B Lotus"/>
          <w:b w:val="0"/>
          <w:i w:val="0"/>
          <w:sz w:val="28"/>
          <w:szCs w:val="28"/>
        </w:rPr>
        <w:t>پاسخ پرسش‌های سؤال فرعی دوم: (۱) آیا هر مصلحتی مجوز عدول است؟ خیر؛ تنها مصلحت واقعی، اهم، نوعی و احرازشده. (۲) شرایط آن چیست؟ ضوابط هشت‌گانه بالا، به‌صورت هم‌افزا. (۳) چه کسی مصلحت را تشخیص می‌دهد؟ ولی فقیه در مقام تصمیم نهایی، با پشتوانه کارشناسی نهادهای تخصصی. (۴) معیار تشخیص چیست؟ اهم‌بودن عقلایی و احراز واقعیِ مستند. (۵) حدود اختیار کجاست؟ مقید به همین ضوابط؛ نه مطلق و نه معدوم. (۶) آیا ضرورت باید بالفعل باشد یا احتمال عقلایی کافی است؟ تزاحم واقعی شرط است، اما «خوف عقلایی مستند به قرائن» ـ به مقتضای «تَخَافَنَّ» در آیه انباذ و سیره پیش‌دستانه عقلا ـ کافی است و نیازی به وقوع بالفعل خسارت و تحمیل هزینه نیست؛ مشروط بر آن‌که خوف، مستند و عقلایی باشد نه موهوم و تبلیغاتی، و با اصل «تناسب میان شدت عدول و درجه اطمینان» همراه شود: هرچه عدول شدیدتر، اطمینان لازم عمیق‌تر.</w:t>
      </w:r>
    </w:p>
    <w:p>
      <w:pPr>
        <w:pStyle w:val="TH-Goftar"/>
        <w:widowControl/>
        <w:bidi w:val="1"/>
        <w:spacing w:before="200" w:after="120" w:line="288" w:lineRule="auto"/>
        <w:jc w:val="right"/>
      </w:pPr>
      <w:r>
        <w:rPr>
          <w:rFonts w:ascii="B Titr" w:hAnsi="B Titr" w:cs="B Titr" w:eastAsia="B Titr"/>
          <w:b/>
          <w:i w:val="0"/>
          <w:sz w:val="32"/>
          <w:szCs w:val="32"/>
        </w:rPr>
        <w:t>حاصل فصل چهارم</w:t>
      </w:r>
    </w:p>
    <w:p>
      <w:pPr>
        <w:pStyle w:val="TH-Body"/>
        <w:widowControl/>
        <w:bidi w:val="1"/>
        <w:spacing w:before="0" w:after="120" w:line="288" w:lineRule="auto"/>
        <w:jc w:val="both"/>
      </w:pPr>
      <w:r>
        <w:rPr>
          <w:rFonts w:ascii="B Lotus" w:hAnsi="B Lotus" w:cs="B Lotus" w:eastAsia="B Lotus"/>
          <w:b w:val="0"/>
          <w:i w:val="0"/>
          <w:sz w:val="28"/>
          <w:szCs w:val="28"/>
        </w:rPr>
        <w:t>حاصل این فصل ـ که حاصل مرکزی کل رساله است ـ پاسخ به بخش فقهی سؤال اصلی و سؤال فرعی دوم است: ولی فقیه در مدیریت سرنوشت معاهدات بین‌المللی، «اختیار» دارد و مبنای این اختیار، ولایت عامه و مصلحت نظام در چارچوب «تزاحم» و قاعده «اهم و مهم» است؛ این اختیار با شش دسته دلیل (ولایت، مصلحت، قواعد ثانوی، انباذ، نفی سبیل، و سیره و قول مشهور) ثابت می‌شود و در برابر چهار شبهه مهم، پاسخ مستدل دارد؛ اما این اختیار، «مقید» به ضوابط هشت‌گانه (مصلحت واقعی و اهم، حداقلی‌بودن، تشخیص ولی فقیه با مشورت، تناسب، موقت‌بودن، اعلام و شفافیت، سقف آمره، و مسئولیت‌پذیری) است. بر همین اساس، «تعلیق موقتِ مصلحت‌سنجیده» اصلِ جایز، و «غدر و پیمان‌شکنی پنهانی» ممنوعِ مطلق است؛ و صورت‌های میانی، تابع شدت عدول و درجه اطمینان‌اند. اکنون باید دید این تصمیمِ مشروعِ داخلی، در سطح بین‌المللی چه سرنوشتی دارد؛ و این، موضوع فصل پنجم و پاسخ سؤال فرعی اول است.</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سوم: تحلیل حقوقی مسئله</w:t>
      </w:r>
    </w:p>
    <w:p>
      <w:r>
        <w:br w:type="page"/>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پنجم: مسئولیت بین‌المللی دولت و جایگاه حقوق اساسی تصمیم</w:t>
      </w:r>
    </w:p>
    <w:p>
      <w:pPr>
        <w:pStyle w:val="TH-Body"/>
        <w:widowControl/>
        <w:bidi w:val="1"/>
        <w:spacing w:before="0" w:after="120" w:line="288" w:lineRule="auto"/>
        <w:jc w:val="both"/>
      </w:pPr>
      <w:r>
        <w:rPr>
          <w:rFonts w:ascii="B Lotus" w:hAnsi="B Lotus" w:cs="B Lotus" w:eastAsia="B Lotus"/>
          <w:b w:val="0"/>
          <w:i w:val="0"/>
          <w:sz w:val="28"/>
          <w:szCs w:val="28"/>
        </w:rPr>
        <w:t>در بخش دوم، حکم فقهی مسئله روشن شد: عدول مصلحت‌سنجیده و ضابطه‌مند از تعهد، در چارچوب تزاحم و حکم حکومتی، جایز است. اما این پاسخ، تنها نیمی از مسئله است؛ زیرا تصمیم ولی فقیه، در خلأ اتخاذ نمی‌شود، بلکه در برابر دولت‌های دیگر و در نظام حقوق بین‌الملل آثار مستقیم و جدی دارد. حاکمی که از این آثار بی‌خبر باشد، نمی‌تواند مصلحت را به‌درستی بسنجد و تصمیم او ناقص خواهد بود. ازاین‌رو، این فصل ـ که پاسخ‌گوی سؤال فرعی اول است ـ در پنج گفتار، نخست تاریخچه و چارچوب مسئولیت بین‌المللی، سپس انتساب تصمیم به دولت، آنگاه تحقق نقض و تفکیک سه‌گانه سطوح تحلیل، سپس اسباب رافع و آثار و راهبردهای کاهش مسئولیت، و سرانجام جایگاه حقوق اساسی تصمیم را بررسی می‌کند.</w:t>
      </w:r>
    </w:p>
    <w:p>
      <w:pPr>
        <w:pStyle w:val="TH-Goftar"/>
        <w:widowControl/>
        <w:bidi w:val="1"/>
        <w:spacing w:before="200" w:after="120" w:line="288" w:lineRule="auto"/>
        <w:jc w:val="right"/>
      </w:pPr>
      <w:r>
        <w:rPr>
          <w:rFonts w:ascii="B Titr" w:hAnsi="B Titr" w:cs="B Titr" w:eastAsia="B Titr"/>
          <w:b/>
          <w:i w:val="0"/>
          <w:sz w:val="32"/>
          <w:szCs w:val="32"/>
        </w:rPr>
        <w:t>گفتار اول: چارچوب مسئولیت بین‌المللی دولت‌ها</w:t>
      </w:r>
    </w:p>
    <w:p>
      <w:pPr>
        <w:pStyle w:val="TH-Band"/>
        <w:widowControl/>
        <w:bidi w:val="1"/>
        <w:spacing w:before="200" w:after="120" w:line="288" w:lineRule="auto"/>
        <w:jc w:val="right"/>
      </w:pPr>
      <w:r>
        <w:rPr>
          <w:rFonts w:ascii="B Traffic" w:hAnsi="B Traffic" w:cs="B Traffic" w:eastAsia="B Traffic"/>
          <w:b/>
          <w:i w:val="0"/>
          <w:sz w:val="28"/>
          <w:szCs w:val="28"/>
        </w:rPr>
        <w:t>بند اول: تاریخچه تدوین؛ از آگو تا کرافورد</w:t>
      </w:r>
    </w:p>
    <w:p>
      <w:pPr>
        <w:pStyle w:val="TH-Body"/>
        <w:widowControl/>
        <w:bidi w:val="1"/>
        <w:spacing w:before="0" w:after="120" w:line="288" w:lineRule="auto"/>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متحد ـ است. این کمیسیون از دهه ۱۹۵۰، موضوع مسئولیت را در دستور کار خود قرار داد و گزارشگران ویژه متعددی ـ از جمله روبرتو آگو که چارچوب بنیادین تفکیک «قواعد اولیه» (تعهدات ماهوی) از «قواعد ثانویه» (آثار نقض) را پایه‌گذاری کرد ـ بر روی آن کار کردند. سرانجام، پیش‌نویس نهایی به گزارشگری جیمز کرافورد در سال ۲۰۰۱ به تصویب کمیسیون رسید و مجمع عمومی نیز آن را مورد توجه قرار داد.</w:t>
      </w:r>
      <w:r>
        <w:rPr>
          <w:rFonts w:ascii="B Lotus" w:hAnsi="B Lotus" w:cs="B Lotus" w:eastAsia="B Lotus"/>
          <w:b w:val="0"/>
          <w:i w:val="0"/>
          <w:sz w:val="28"/>
          <w:szCs w:val="28"/>
          <w:vertAlign w:val="superscript"/>
        </w:rPr>
        <w:footnoteReference w:id="59"/>
      </w:r>
    </w:p>
    <w:p>
      <w:pPr>
        <w:pStyle w:val="TH-Body"/>
        <w:widowControl/>
        <w:bidi w:val="1"/>
        <w:spacing w:before="0" w:after="120" w:line="288" w:lineRule="auto"/>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 به‌صورت کنوانسیون لازم‌الاجرا درنیامده، اما بسیاری از قواعد آن ـ چنان‌که رویه دیوان بین‌المللی دادگستری نشان می‌دهد ـ جنبه عرفی یافته و مرجع اصلی تحلیل مسئولیت در حقوق بین‌الملل معاصر به شمار می‌آید. ساختار طرح، چهار بخش دارد: عمل متخلفانه (ارکان و انتساب)، محتوای مسئولیت (توقف و جبران)، اجرای مسئولیت (استناد و اقدام متقابل)، و مقررات عمومی. در این رساله، تنها به‌اندازه نیاز مسئله ـ یعنی ارکان مسئولیت، اسباب رافع و آثار ـ به این طرح پرداخته می‌شود.</w:t>
      </w:r>
    </w:p>
    <w:p>
      <w:pPr>
        <w:pStyle w:val="TH-Band"/>
        <w:widowControl/>
        <w:bidi w:val="1"/>
        <w:spacing w:before="200" w:after="120" w:line="288" w:lineRule="auto"/>
        <w:jc w:val="right"/>
      </w:pPr>
      <w:r>
        <w:rPr>
          <w:rFonts w:ascii="B Traffic" w:hAnsi="B Traffic" w:cs="B Traffic" w:eastAsia="B Traffic"/>
          <w:b/>
          <w:i w:val="0"/>
          <w:sz w:val="28"/>
          <w:szCs w:val="28"/>
        </w:rPr>
        <w:t>بند دوم: ارکان عمل متخلفانه؛ انتساب و نقض</w:t>
      </w:r>
    </w:p>
    <w:p>
      <w:pPr>
        <w:pStyle w:val="TH-Body"/>
        <w:widowControl/>
        <w:bidi w:val="1"/>
        <w:spacing w:before="0" w:after="120" w:line="288" w:lineRule="auto"/>
        <w:jc w:val="both"/>
      </w:pPr>
      <w:r>
        <w:rPr>
          <w:rFonts w:ascii="B Lotus" w:hAnsi="B Lotus" w:cs="B Lotus" w:eastAsia="B Lotus"/>
          <w:b w:val="0"/>
          <w:i w:val="0"/>
          <w:sz w:val="28"/>
          <w:szCs w:val="28"/>
        </w:rPr>
        <w:t>به موجب ماده ۱ طرح مسئولیت، «هر عمل متخلفانه بین‌المللی دولت، موجب مسئولیت بین‌المللی آن است»؛ و به موجب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هر دو رکن باید با هم محقق شوند: رفتار منتسبِ بدون نقض، مسئولیت نمی‌آورد (مانند اقدام قانونی دولت) و نقضِ بدون انتساب نیز مسئولیت دولت را در پی ندارد (مانند رفتار اشخاص خصوصیِ غیرمنتسب). در ادامه، هر یک از این دو رکن بر مسئله این رساله تطبیق داده می‌شود.</w:t>
      </w:r>
    </w:p>
    <w:p>
      <w:pPr>
        <w:pStyle w:val="TH-Goftar"/>
        <w:widowControl/>
        <w:bidi w:val="1"/>
        <w:spacing w:before="200" w:after="120" w:line="288" w:lineRule="auto"/>
        <w:jc w:val="right"/>
      </w:pPr>
      <w:r>
        <w:rPr>
          <w:rFonts w:ascii="B Titr" w:hAnsi="B Titr" w:cs="B Titr" w:eastAsia="B Titr"/>
          <w:b/>
          <w:i w:val="0"/>
          <w:sz w:val="32"/>
          <w:szCs w:val="32"/>
        </w:rPr>
        <w:t>گفتار دوم: انتساب تصمیم ولی فقیه به دولت ایران</w:t>
      </w:r>
    </w:p>
    <w:p>
      <w:pPr>
        <w:pStyle w:val="TH-Band"/>
        <w:widowControl/>
        <w:bidi w:val="1"/>
        <w:spacing w:before="200" w:after="120" w:line="288" w:lineRule="auto"/>
        <w:jc w:val="right"/>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120" w:line="288" w:lineRule="auto"/>
        <w:jc w:val="both"/>
      </w:pPr>
      <w:r>
        <w:rPr>
          <w:rFonts w:ascii="B Lotus" w:hAnsi="B Lotus" w:cs="B Lotus" w:eastAsia="B Lotus"/>
          <w:b w:val="0"/>
          <w:i w:val="0"/>
          <w:sz w:val="28"/>
          <w:szCs w:val="28"/>
        </w:rPr>
        <w:t>قاعده بنیادین انتساب در ماده ۴ طرح مسئولیت آمده است: «رفتار هر رکن دولت ـ اعم از مقننه، مجریه یا قضائیه، و اعم از مرکزی یا محلی، و عالی یا دانی، و با هر کارکردی ـ عمل دولت محسوب می‌شود».</w:t>
      </w:r>
      <w:r>
        <w:rPr>
          <w:rFonts w:ascii="B Lotus" w:hAnsi="B Lotus" w:cs="B Lotus" w:eastAsia="B Lotus"/>
          <w:b w:val="0"/>
          <w:i w:val="0"/>
          <w:sz w:val="28"/>
          <w:szCs w:val="28"/>
          <w:vertAlign w:val="superscript"/>
        </w:rPr>
        <w:footnoteReference w:id="61"/>
      </w:r>
      <w:r>
        <w:rPr>
          <w:rFonts w:ascii="B Lotus" w:hAnsi="B Lotus" w:cs="B Lotus" w:eastAsia="B Lotus"/>
          <w:b w:val="0"/>
          <w:i w:val="0"/>
          <w:sz w:val="28"/>
          <w:szCs w:val="28"/>
        </w:rPr>
        <w:t xml:space="preserve"> منطق این قاعده روشن است: دولت، شخصیتی حقوقی است که تنها از طریق ارکان انسانی خود عمل می‌کند؛ پس رفتار ارکان، رفتار خود دولت است. ملاک، «سمت رسمی» است نه رتبه، نه قوه، و نه انگیزه شخصی.</w:t>
      </w:r>
    </w:p>
    <w:p>
      <w:pPr>
        <w:pStyle w:val="TH-Body"/>
        <w:widowControl/>
        <w:bidi w:val="1"/>
        <w:spacing w:before="0" w:after="120" w:line="288" w:lineRule="auto"/>
        <w:jc w:val="both"/>
      </w:pPr>
      <w:r>
        <w:rPr>
          <w:rFonts w:ascii="B Lotus" w:hAnsi="B Lotus" w:cs="B Lotus" w:eastAsia="B Lotus"/>
          <w:b w:val="0"/>
          <w:i w:val="0"/>
          <w:sz w:val="28"/>
          <w:szCs w:val="28"/>
        </w:rPr>
        <w:t>سه تکمله مهم بر این قاعده وجود دارد که هر سه برای مسئله ما اهمیت دارند: تکمله یکم (ماده ۷): حتی اگر رکن دولت «از حدود صلاحیت خود تجاوز کرده» یا «برخلاف دستورات» عمل کرده باشد، رفتار او ـ در صورتی که در سمت رسمی و با ابزار حکومتی انجام شده باشد ـ همچنان به دولت منتسب است.</w:t>
      </w:r>
      <w:r>
        <w:rPr>
          <w:rFonts w:ascii="B Lotus" w:hAnsi="B Lotus" w:cs="B Lotus" w:eastAsia="B Lotus"/>
          <w:b w:val="0"/>
          <w:i w:val="0"/>
          <w:sz w:val="28"/>
          <w:szCs w:val="28"/>
          <w:vertAlign w:val="superscript"/>
        </w:rPr>
        <w:footnoteReference w:id="62"/>
      </w:r>
      <w:r>
        <w:rPr>
          <w:rFonts w:ascii="B Lotus" w:hAnsi="B Lotus" w:cs="B Lotus" w:eastAsia="B Lotus"/>
          <w:b w:val="0"/>
          <w:i w:val="0"/>
          <w:sz w:val="28"/>
          <w:szCs w:val="28"/>
        </w:rPr>
        <w:t xml:space="preserve"> منطق این قاعده، حمایت از اعتماد طرف‌های مقابل و ثبات روابط بین‌المللی است: دولت دیگر نمی‌تواند (و نباید) در صلاحیت‌های داخلی و سلسله‌مراتب اداری دولت طرف، کندوکاو کند و حسن نیت او باید حمایت شود. تکمله دوم (ماده ۸): رفتار اشخاص یا گروه‌هایی که «تحت هدایت یا کنترل» دولت عمل می‌کنند نیز منتسب است.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تکمله سوم (ماده ۱۱): حتی رفتار اشخاص خصوصی نیز، هرگاه دولت آن را «تأیید و به‌مثابه عمل خود بپذیرد»، به دولت منتسب می‌شود.</w:t>
      </w:r>
      <w:r>
        <w:rPr>
          <w:rFonts w:ascii="B Lotus" w:hAnsi="B Lotus" w:cs="B Lotus" w:eastAsia="B Lotus"/>
          <w:b w:val="0"/>
          <w:i w:val="0"/>
          <w:sz w:val="28"/>
          <w:szCs w:val="28"/>
          <w:vertAlign w:val="superscript"/>
        </w:rPr>
        <w:footnoteReference w:id="64"/>
      </w:r>
      <w:r>
        <w:rPr>
          <w:rFonts w:ascii="B Lotus" w:hAnsi="B Lotus" w:cs="B Lotus" w:eastAsia="B Lotus"/>
          <w:b w:val="0"/>
          <w:i w:val="0"/>
          <w:sz w:val="28"/>
          <w:szCs w:val="28"/>
        </w:rPr>
        <w:t xml:space="preserve"> دیوان بین‌المللی دادگستری در قضیه مشهور «کارکنان دیپلماتیک و کنسولی آمریکا در تهران» (۱۹۸۰) همین منطق را به کار بست و رفتار اشغال‌کنندگان سفارت را ـ که در آغاز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65"/>
      </w:r>
    </w:p>
    <w:p>
      <w:pPr>
        <w:pStyle w:val="TH-Band"/>
        <w:widowControl/>
        <w:bidi w:val="1"/>
        <w:spacing w:before="200" w:after="120" w:line="288" w:lineRule="auto"/>
        <w:jc w:val="right"/>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120" w:line="288" w:lineRule="auto"/>
        <w:jc w:val="both"/>
      </w:pPr>
      <w:r>
        <w:rPr>
          <w:rFonts w:ascii="B Lotus" w:hAnsi="B Lotus" w:cs="B Lotus" w:eastAsia="B Lotus"/>
          <w:b w:val="0"/>
          <w:i w:val="0"/>
          <w:sz w:val="28"/>
          <w:szCs w:val="28"/>
        </w:rPr>
        <w:t>تطبیق این قواعد بر مسئله ما، قاطع و بی‌ابهام است و جای هیچ تردیدی باقی نمی‌گذارد: ولی فقیه، عالی‌ترین مقام دولت جمهوری اسلامی ایران است و تصمیم او درباره سرنوشت یک معاهده، بی‌تردید «رفتار رکن دولت در سمت رسمی» محسوب می‌شود. بنابراین چهار نتیجه به دست می‌آید:</w:t>
      </w:r>
    </w:p>
    <w:p>
      <w:pPr>
        <w:pStyle w:val="TH-Body"/>
        <w:widowControl/>
        <w:bidi w:val="1"/>
        <w:spacing w:before="0" w:after="120" w:line="288" w:lineRule="auto"/>
        <w:jc w:val="both"/>
      </w:pPr>
      <w:r>
        <w:rPr>
          <w:rFonts w:ascii="B Lotus" w:hAnsi="B Lotus" w:cs="B Lotus" w:eastAsia="B Lotus"/>
          <w:b w:val="0"/>
          <w:i w:val="0"/>
          <w:sz w:val="28"/>
          <w:szCs w:val="28"/>
        </w:rPr>
        <w:t>نتیجه یکم: تصمیم ولی فقیه مبنی بر تعلیق یا نقض معاهده، به دولت جمهوری اسلامی ایران «منتسب» می‌شود؛ خواه این تصمیم در چارچوب صلاحیت‌های مصرح قانون اساسی باشد، خواه فراتر از آن (به مقتضای ماده ۷، تجاوز از صلاحیت داخلی، مانع انتساب نیست و دولت نمی‌تواند در برابر طرف خارجی به محدودیت‌های داخلی خود استناد کند).</w:t>
      </w:r>
    </w:p>
    <w:p>
      <w:pPr>
        <w:pStyle w:val="TH-Body"/>
        <w:widowControl/>
        <w:bidi w:val="1"/>
        <w:spacing w:before="0" w:after="120" w:line="288" w:lineRule="auto"/>
        <w:jc w:val="both"/>
      </w:pPr>
      <w:r>
        <w:rPr>
          <w:rFonts w:ascii="B Lotus" w:hAnsi="B Lotus" w:cs="B Lotus" w:eastAsia="B Lotus"/>
          <w:b w:val="0"/>
          <w:i w:val="0"/>
          <w:sz w:val="28"/>
          <w:szCs w:val="28"/>
        </w:rPr>
        <w:t>نتیجه دوم: به طریق اولی، هرگاه سایر ارکان دولت (رئیس‌جمهور، وزیر امور خارجه، مجلس شورای اسلامی) تصمیم ولی فقیه را اجرا، تأیید یا همراهی کنند، رفتار آنان نیز به دولت منتسب است و زنجیره انتساب، کامل و چندلایه می‌شود.</w:t>
      </w:r>
    </w:p>
    <w:p>
      <w:pPr>
        <w:pStyle w:val="TH-Body"/>
        <w:widowControl/>
        <w:bidi w:val="1"/>
        <w:spacing w:before="0" w:after="120" w:line="288" w:lineRule="auto"/>
        <w:jc w:val="both"/>
      </w:pPr>
      <w:r>
        <w:rPr>
          <w:rFonts w:ascii="B Lotus" w:hAnsi="B Lotus" w:cs="B Lotus" w:eastAsia="B Lotus"/>
          <w:b w:val="0"/>
          <w:i w:val="0"/>
          <w:sz w:val="28"/>
          <w:szCs w:val="28"/>
        </w:rPr>
        <w:t>نتیجه سوم: استدلال به این‌که «تصمیم ولی فقیه، تصمیم شخصی یا مذهبی اوست نه تصمیم دولت»، در حقوق بین‌الملل پذیرفته نیست و هیچ دادگاهی آن را نمی‌پذیرد؛ زیرا ملاک انتساب، «سمت رسمی» است نه انگیزه شخصی یا ماهیت دینی تصمیم؛ و ولی فقیه در نظام جمهوری اسلامی ایران، در عالی‌ترین سمت رسمی قرار دارد و تصمیم او، رسمی‌ترین تصمیم ممکن است.</w:t>
      </w:r>
    </w:p>
    <w:p>
      <w:pPr>
        <w:pStyle w:val="TH-Body"/>
        <w:widowControl/>
        <w:bidi w:val="1"/>
        <w:spacing w:before="0" w:after="120" w:line="288" w:lineRule="auto"/>
        <w:jc w:val="both"/>
      </w:pPr>
      <w:r>
        <w:rPr>
          <w:rFonts w:ascii="B Lotus" w:hAnsi="B Lotus" w:cs="B Lotus" w:eastAsia="B Lotus"/>
          <w:b w:val="0"/>
          <w:i w:val="0"/>
          <w:sz w:val="28"/>
          <w:szCs w:val="28"/>
        </w:rPr>
        <w:t>نتیجه چهارم: حتی اگر ـ فرض محال ـ تصمیم ولی فقیه را عمل شخصی بشماریم، به محض آن‌که دولت ایران آن را اجرا یا تأیید کند، به مقتضای ماده ۱۱ (تأیید و پذیرش بعدی)، به دولت منتسب می‌شود؛ چنان‌که در قضیه گروگان‌ها رخ داد.</w:t>
      </w:r>
    </w:p>
    <w:p>
      <w:pPr>
        <w:pStyle w:val="TH-Body"/>
        <w:widowControl/>
        <w:bidi w:val="1"/>
        <w:spacing w:before="0" w:after="120" w:line="288" w:lineRule="auto"/>
        <w:jc w:val="both"/>
      </w:pPr>
      <w:r>
        <w:rPr>
          <w:rFonts w:ascii="B Lotus" w:hAnsi="B Lotus" w:cs="B Lotus" w:eastAsia="B Lotus"/>
          <w:b w:val="0"/>
          <w:i w:val="0"/>
          <w:sz w:val="28"/>
          <w:szCs w:val="28"/>
        </w:rPr>
        <w:t>نتیجه این گفتار: رکن نخست مسئولیت (انتساب) در مسئله ما به‌طور کامل، قطعی و چندلایه محقق است و هیچ راه گریزی از آن وجود ندارد. پرسش بعدی آن است که آیا رکن دوم (نقض تعهد) نیز محقق می‌شود یا نه؛ و پاسخ، در گرو تفکیک دقیق سطوح تحلیل است.</w:t>
      </w:r>
    </w:p>
    <w:p>
      <w:pPr>
        <w:pStyle w:val="TH-Goftar"/>
        <w:widowControl/>
        <w:bidi w:val="1"/>
        <w:spacing w:before="200" w:after="120" w:line="288" w:lineRule="auto"/>
        <w:jc w:val="right"/>
      </w:pPr>
      <w:r>
        <w:rPr>
          <w:rFonts w:ascii="B Titr" w:hAnsi="B Titr" w:cs="B Titr" w:eastAsia="B Titr"/>
          <w:b/>
          <w:i w:val="0"/>
          <w:sz w:val="32"/>
          <w:szCs w:val="32"/>
        </w:rPr>
        <w:t>گفتار سوم: نقض تعهد و تفکیک سه‌گانه سطوح تحلیل</w:t>
      </w:r>
    </w:p>
    <w:p>
      <w:pPr>
        <w:pStyle w:val="TH-Band"/>
        <w:widowControl/>
        <w:bidi w:val="1"/>
        <w:spacing w:before="200" w:after="120" w:line="288" w:lineRule="auto"/>
        <w:jc w:val="right"/>
      </w:pPr>
      <w:r>
        <w:rPr>
          <w:rFonts w:ascii="B Traffic" w:hAnsi="B Traffic" w:cs="B Traffic" w:eastAsia="B Traffic"/>
          <w:b/>
          <w:i w:val="0"/>
          <w:sz w:val="28"/>
          <w:szCs w:val="28"/>
        </w:rPr>
        <w:t>بند اول: تحقق نقض و اقسام آن</w:t>
      </w:r>
    </w:p>
    <w:p>
      <w:pPr>
        <w:pStyle w:val="TH-Body"/>
        <w:widowControl/>
        <w:bidi w:val="1"/>
        <w:spacing w:before="0" w:after="120" w:line="288" w:lineRule="auto"/>
        <w:jc w:val="both"/>
      </w:pPr>
      <w:r>
        <w:rPr>
          <w:rFonts w:ascii="B Lotus" w:hAnsi="B Lotus" w:cs="B Lotus" w:eastAsia="B Lotus"/>
          <w:b w:val="0"/>
          <w:i w:val="0"/>
          <w:sz w:val="28"/>
          <w:szCs w:val="28"/>
        </w:rPr>
        <w:t>به موجب ماده ۱۲ طرح مسئولیت، «نقض تعهد بین‌المللی هنگامی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ملاک، «عینی» و «تطبیقی» است: مقایسه رفتار دولت با متن تعهد؛ و انگیزه، حسن نیت، اضطرار داخلی یا مجوز شرعی و قانونی دولت، در «تحقق» نقض هیچ نقشی ندارد (هرچند ممکن است در «رافع‌بودن» یا در «تخفیف آثار» مؤثر باشد). بنابراین، هرگاه دولت ایران ـ به هر دلیلی، از جمله تصمیم ولی فقیه ـ از اجرای تعهد معاهده‌ای خود سرباز زند، «نقض» محقق شده است؛ مگر آن‌که رفتار او در قالب یکی از نهادهای موجه (تعلیق موجه، خاتمه موجه، یا اسباب رافع وصف متخلفانه) بگنجد.</w:t>
      </w:r>
    </w:p>
    <w:p>
      <w:pPr>
        <w:pStyle w:val="TH-Body"/>
        <w:widowControl/>
        <w:bidi w:val="1"/>
        <w:spacing w:before="0" w:after="120" w:line="288" w:lineRule="auto"/>
        <w:jc w:val="both"/>
      </w:pPr>
      <w:r>
        <w:rPr>
          <w:rFonts w:ascii="B Lotus" w:hAnsi="B Lotus" w:cs="B Lotus" w:eastAsia="B Lotus"/>
          <w:b w:val="0"/>
          <w:i w:val="0"/>
          <w:sz w:val="28"/>
          <w:szCs w:val="28"/>
        </w:rPr>
        <w:t>طرح مسئولیت، اقسام نقض را نیز از جهت زمانی تحلیل کرده است: نقض ممکن است «آنی» باشد (مانند تصویب یک قانون مغایر با تعهد)، «مستمر» باشد (مانند اشغال غیرقانونی که هر لحظه استمرار می‌یابد)، یا «مرکب» باشد (مانند مجموعه اقداماتی که در کنار هم، نقض را تشکیل می‌دهند).</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اهمیت این تفکیک برای مسئله ما آن است که «تعلیق» معمولاً نقضی مستمر است (تا زمانی که ادامه دارد، هر لحظه نقض تازه‌ای رخ می‌دهد، مگر آن‌که موجه باشد) و همین استمرار، در محاسبه خسارت و جبران مؤثر است.</w:t>
      </w:r>
    </w:p>
    <w:p>
      <w:pPr>
        <w:pStyle w:val="TH-Body"/>
        <w:widowControl/>
        <w:bidi w:val="1"/>
        <w:spacing w:before="0" w:after="120" w:line="288" w:lineRule="auto"/>
        <w:jc w:val="both"/>
      </w:pPr>
      <w:r>
        <w:rPr>
          <w:rFonts w:ascii="B Lotus" w:hAnsi="B Lotus" w:cs="B Lotus" w:eastAsia="B Lotus"/>
          <w:b w:val="0"/>
          <w:i w:val="0"/>
          <w:sz w:val="28"/>
          <w:szCs w:val="28"/>
        </w:rPr>
        <w:t>در این‌جا ماده ۲۷ کنوانسیون وین ـ که در فصل دوم گذشت ـ نقش قاطع و نهایی دارد: «هیچ طرفی نمی‌تواند به مقررات حقوق داخلی خود به‌عنوان توجیهی برای عدم اجرای معاهده استناد کند». حکم حکومتی ولی فقیه، مصلحت نظام، قانون اساسی، و حتی احکام شرع، همگی از نظر حقوق بین‌الملل، «حقوق داخلی» محسوب می‌شوند و هیچ‌یک نمی‌توانند توجیه عدم اجرا در برابر طرف مقابل باشند. طرح مسئولیت نیز همین منطق را در مرحله جبران تکرار کرده است: دولت مسئول نمی‌تواند برای شانه‌خالی‌کردن از جبران خسارت، به حقوق داخلی خود استناد کند.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هرگونه توهمِ سرایتِ جواز داخلی به سطح بین‌المللی را از بین می‌برند.</w:t>
      </w:r>
    </w:p>
    <w:p>
      <w:pPr>
        <w:pStyle w:val="TH-Band"/>
        <w:widowControl/>
        <w:bidi w:val="1"/>
        <w:spacing w:before="200" w:after="120" w:line="288" w:lineRule="auto"/>
        <w:jc w:val="right"/>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120" w:line="288" w:lineRule="auto"/>
        <w:jc w:val="both"/>
      </w:pPr>
      <w:r>
        <w:rPr>
          <w:rFonts w:ascii="B Lotus" w:hAnsi="B Lotus" w:cs="B Lotus" w:eastAsia="B Lotus"/>
          <w:b w:val="0"/>
          <w:i w:val="0"/>
          <w:sz w:val="28"/>
          <w:szCs w:val="28"/>
        </w:rPr>
        <w:t>از بحث بالا، مهم‌ترین و کاربردی‌ترین تفکیک تحلیلی این رساله به دست می‌آید: سه پرسش باید قاطعانه از یکدیگر جدا شوند، زیرا هر یک مرجع داوری، معیار ارزیابی و پاسخ خاص خود را دارد و خلط میان آن‌ها، منشأ خطاهای فاحش نظری و عملی است:</w:t>
      </w:r>
    </w:p>
    <w:p>
      <w:pPr>
        <w:pStyle w:val="TH-Body"/>
        <w:widowControl/>
        <w:bidi w:val="1"/>
        <w:spacing w:before="0" w:after="120" w:line="288" w:lineRule="auto"/>
        <w:jc w:val="both"/>
      </w:pPr>
      <w:r>
        <w:rPr>
          <w:rFonts w:ascii="B Lotus" w:hAnsi="B Lotus" w:cs="B Lotus" w:eastAsia="B Lotus"/>
          <w:b w:val="0"/>
          <w:i w:val="0"/>
          <w:sz w:val="28"/>
          <w:szCs w:val="28"/>
        </w:rPr>
        <w:t>سطح یکم، «جواز فقهی» است: پرسش آن است که آیا عدول، از نظر شرع جایز است؟ مرجع داوری، فقه امامیه و ولی فقیه است؛ معیار، ادله شرعی و مصلحت واقعی است؛ و پاسخ ـ چنان‌که در فصل چهارم مستدل شد ـ مثبتِ مقید است: آری، به‌صورت ضابطه‌مند و در چارچوب تزاحم و حکم حکومتی.</w:t>
      </w:r>
    </w:p>
    <w:p>
      <w:pPr>
        <w:pStyle w:val="TH-Body"/>
        <w:widowControl/>
        <w:bidi w:val="1"/>
        <w:spacing w:before="0" w:after="120" w:line="288" w:lineRule="auto"/>
        <w:jc w:val="both"/>
      </w:pPr>
      <w:r>
        <w:rPr>
          <w:rFonts w:ascii="B Lotus" w:hAnsi="B Lotus" w:cs="B Lotus" w:eastAsia="B Lotus"/>
          <w:b w:val="0"/>
          <w:i w:val="0"/>
          <w:sz w:val="28"/>
          <w:szCs w:val="28"/>
        </w:rPr>
        <w:t>سطح دوم، «مشروعیت داخلی» است: پرسش آن است که آیا تصمیم در نظام حقوقی جمهوری اسلامی ایران معتبر و لازم‌الاتباع است؟ مرجع داوری، قانون اساسی و نهادهای داخلی (مجلس، شورای نگهبان، قوه قضائیه) است؛ معیار، اصول قانون اساسی و سلسله‌مراتب هنجارهاست؛ و پاسخ ـ چنان‌که در گفتار پنجم خواهد آمد ـ مثبتِ مشروط است: آری، در چارچوب اختیار ضمنی، ولایی و حکومتی.</w:t>
      </w:r>
    </w:p>
    <w:p>
      <w:pPr>
        <w:pStyle w:val="TH-Body"/>
        <w:widowControl/>
        <w:bidi w:val="1"/>
        <w:spacing w:before="0" w:after="120" w:line="288" w:lineRule="auto"/>
        <w:jc w:val="both"/>
      </w:pPr>
      <w:r>
        <w:rPr>
          <w:rFonts w:ascii="B Lotus" w:hAnsi="B Lotus" w:cs="B Lotus" w:eastAsia="B Lotus"/>
          <w:b w:val="0"/>
          <w:i w:val="0"/>
          <w:sz w:val="28"/>
          <w:szCs w:val="28"/>
        </w:rPr>
        <w:t>سطح سوم، «مسئولیت بین‌المللی» است: پرسش آن است که آیا تصمیم در برابر دولت‌های دیگر و در نظام حقوق بین‌الملل، مسئولیت می‌آورد؟ مرجع داوری، حقوق بین‌الملل و مراجع بین‌المللی (دیوان، داوری، شورای امنیت) است؛ معیار، متن معاهده، عرف بین‌المللی و اسباب رافع است؛ و پاسخ، مثبتِ بالقوه است: آری، تصمیم منتسب می‌شود و در صورت نبود سبب رافع، مسئولیت‌آور است.</w:t>
      </w:r>
    </w:p>
    <w:p>
      <w:pPr>
        <w:pStyle w:val="TH-Body"/>
        <w:widowControl/>
        <w:bidi w:val="1"/>
        <w:spacing w:before="0" w:after="120" w:line="288" w:lineRule="auto"/>
        <w:jc w:val="both"/>
      </w:pPr>
      <w:r>
        <w:rPr>
          <w:rFonts w:ascii="B Lotus" w:hAnsi="B Lotus" w:cs="B Lotus" w:eastAsia="B Lotus"/>
          <w:b w:val="0"/>
          <w:i w:val="0"/>
          <w:sz w:val="28"/>
          <w:szCs w:val="28"/>
        </w:rPr>
        <w:t>این تفکیک سه‌گانه، پاسخ‌گوی یک خلط رایج و خطرناک است: برخی می‌پندارند که چون تصمیم ولی فقیه «شرعاً جایز» و «قانوناً معتبر» است، پس «بین‌المللاً» نیز بی‌هزینه و بی‌مسئولیت است؛ و برخی دیگر می‌پندارند که چون تصمیم، «بین‌المللاً مسئولیت‌آور» است، پس «شرعاً» نیز ناروا و نامشروع است. هر دو پندار، ناشی از خلط سطوح است و هر دو باطل‌اند. حقیقت آن است که این سه سطح، «مستقل»‌اند: جواز فقهی، نه نافی مسئولیت بین‌المللی است و نه مقتضی آن؛ و مسئولیت بین‌المللی، نه نافی جواز فقهی است و نه مقتضی آن. حاکم اسلامیِ عاقل و بصیر، هر سه سطح را با هم می‌سنجد و هزینه بین‌المللی را در محاسبه مصلحت لحاظ می‌کند (ضابطه هشتم فصل چهارم)؛ اما وجود هزینه، به‌تنهایی مجوز شرعی را باطل نمی‌کند، چنان‌که مجوز شرعی نیز هزینه را از بین نمی‌برد. هنر حکمرانی در این نقطه، «مدیریت هم‌زمان هر سه سطح» است: تصمیمی که هم شرعی باشد، هم قانونی باشد، و هم کم‌هزینه‌ترین صورت ممکن در سطح بین‌المللی را داشته باشد.</w:t>
      </w:r>
    </w:p>
    <w:p>
      <w:pPr>
        <w:pStyle w:val="TH-Goftar"/>
        <w:widowControl/>
        <w:bidi w:val="1"/>
        <w:spacing w:before="200" w:after="120" w:line="288" w:lineRule="auto"/>
        <w:jc w:val="right"/>
      </w:pPr>
      <w:r>
        <w:rPr>
          <w:rFonts w:ascii="B Titr" w:hAnsi="B Titr" w:cs="B Titr" w:eastAsia="B Titr"/>
          <w:b/>
          <w:i w:val="0"/>
          <w:sz w:val="32"/>
          <w:szCs w:val="32"/>
        </w:rPr>
        <w:t>گفتار چهارم: اسباب رافع، آثار مسئولیت و راهبردهای کاهش آن</w:t>
      </w:r>
    </w:p>
    <w:p>
      <w:pPr>
        <w:pStyle w:val="TH-Band"/>
        <w:widowControl/>
        <w:bidi w:val="1"/>
        <w:spacing w:before="200" w:after="120" w:line="288" w:lineRule="auto"/>
        <w:jc w:val="right"/>
      </w:pPr>
      <w:r>
        <w:rPr>
          <w:rFonts w:ascii="B Traffic" w:hAnsi="B Traffic" w:cs="B Traffic" w:eastAsia="B Traffic"/>
          <w:b/>
          <w:i w:val="0"/>
          <w:sz w:val="28"/>
          <w:szCs w:val="28"/>
        </w:rPr>
        <w:t>بند اول: اسباب رافع وصف متخلفانه</w:t>
      </w:r>
    </w:p>
    <w:p>
      <w:pPr>
        <w:pStyle w:val="TH-Body"/>
        <w:widowControl/>
        <w:bidi w:val="1"/>
        <w:spacing w:before="0" w:after="120" w:line="288" w:lineRule="auto"/>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(Circumstances Precluding Wrongfulness) را نیز پیش‌بینی کرده است: مواردی که در آن‌ها، رفتارِ ظاهراً مغایر با تعهد، «متخلفانه» محسوب نمی‌شود و مسئولیت منتفی می‌گردد. مهم‌ترین این اسباب در فصل پنجم از بخش یکم طرح مسئولیت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69"/>
      </w:r>
    </w:p>
    <w:p>
      <w:pPr>
        <w:pStyle w:val="TH-Body"/>
        <w:widowControl/>
        <w:bidi w:val="1"/>
        <w:spacing w:before="0" w:after="120" w:line="288" w:lineRule="auto"/>
        <w:jc w:val="both"/>
      </w:pPr>
      <w:r>
        <w:rPr>
          <w:rFonts w:ascii="B Lotus" w:hAnsi="B Lotus" w:cs="B Lotus" w:eastAsia="B Lotus"/>
          <w:b w:val="0"/>
          <w:i w:val="0"/>
          <w:sz w:val="28"/>
          <w:szCs w:val="28"/>
        </w:rPr>
        <w:t>از میان این اسباب، سه مورد برای مسئله ما اهمیت بیشتری دارد: یکم. «ضرورت» (ماده ۲۵): دولتی می‌تواند برای «صیانت از منفعتی اساسی در برابر خطری شدید و قریب‌الوقوع» و در صورتی که رفتار او «تنها راه» چاره باشد، از تعهد خود عدول کند؛ مشروط بر آن‌که به منفعت اساسی دولت دیگر یا جامعه بین‌المللی لطمه شدید نزند، تعهدِ مورد نظر، استناد به ضرورت را منتفی نکرده باشد، و خودِ دولت در ایجاد وضعیت اضطراری سهمی نداشته باشد.</w:t>
      </w:r>
      <w:r>
        <w:rPr>
          <w:rFonts w:ascii="B Lotus" w:hAnsi="B Lotus" w:cs="B Lotus" w:eastAsia="B Lotus"/>
          <w:b w:val="0"/>
          <w:i w:val="0"/>
          <w:sz w:val="28"/>
          <w:szCs w:val="28"/>
          <w:vertAlign w:val="superscript"/>
        </w:rPr>
        <w:footnoteReference w:id="70"/>
      </w:r>
      <w:r>
        <w:rPr>
          <w:rFonts w:ascii="B Lotus" w:hAnsi="B Lotus" w:cs="B Lotus" w:eastAsia="B Lotus"/>
          <w:b w:val="0"/>
          <w:i w:val="0"/>
          <w:sz w:val="28"/>
          <w:szCs w:val="28"/>
        </w:rPr>
        <w:t xml:space="preserve"> دیوان در قضیه گابچیکوو ـ ناگیماروش، این شرایط را بسیار مضیق تفسیر کرد و نشان داد که استناد موفق به ضرورت، امری استثنایی و نادر است. نسبت این نهاد با «مصلحت» فقهی، نسبت عموم و خصوص من‌وجه است: هر ضرورتِ به معنای ماده ۲۵، مصلحت است، اما هر مصلحتی، ضرورتِ به معنای ماده ۲۵ نیست؛ زیرا آستانه ماده ۲۵ («خطر شدید و قریب‌الوقوع» و «تنها راه») بسیار بالاتر از آستانه مصلحت فقهی (اهم‌بودن واقعی) است. نتیجه عملی و مهم: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120" w:line="288" w:lineRule="auto"/>
        <w:jc w:val="both"/>
      </w:pPr>
      <w:r>
        <w:rPr>
          <w:rFonts w:ascii="B Lotus" w:hAnsi="B Lotus" w:cs="B Lotus" w:eastAsia="B Lotus"/>
          <w:b w:val="0"/>
          <w:i w:val="0"/>
          <w:sz w:val="28"/>
          <w:szCs w:val="28"/>
        </w:rPr>
        <w:t>دوم. «اقدام متقابل» (Countermeasures): هرگاه یک طرف، تعهد خود را نقض کند، طرف زیان‌دیده می‌تواند ـ با رعایت شرایطی مانند تناسب، اعلام قبلی، دعوت به مذاکره، و موقت‌بودن ـ از اجرای تعهدات متقابل خود در برابر دولت ناقض خودداری کند.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این نهاد، پشتوانه حقوقی «عدول واکنشی» (صورت چهارم طیف فصل چهارم) است و نشان می‌دهد که حقوق بین‌الملل نیز منطق «تقابل» (مشابه منطق توبه/۷) را پذیرفته است؛ هرچند با شرایط شکلی سخت‌گیرانه‌ای که رعایت آن‌ها برای موجه‌بودن اقدام، ضروری است.</w:t>
      </w:r>
    </w:p>
    <w:p>
      <w:pPr>
        <w:pStyle w:val="TH-Body"/>
        <w:widowControl/>
        <w:bidi w:val="1"/>
        <w:spacing w:before="0" w:after="120" w:line="288" w:lineRule="auto"/>
        <w:jc w:val="both"/>
      </w:pPr>
      <w:r>
        <w:rPr>
          <w:rFonts w:ascii="B Lotus" w:hAnsi="B Lotus" w:cs="B Lotus" w:eastAsia="B Lotus"/>
          <w:b w:val="0"/>
          <w:i w:val="0"/>
          <w:sz w:val="28"/>
          <w:szCs w:val="28"/>
        </w:rPr>
        <w:t>سوم. «فورس‌ماژور» (ماده ۲۳): هرگاه اجرای تعهد به دلیل «نیروی قاهره» (رویداد غیرقابل پیش‌بینی و خارج از کنترل دولت، مانند بلایای طبیعی یا جنگ تحمیلی) ناممکن شود، وصف متخلفانه منتفی می‌گردد؛ مشروط بر آن‌که خود دولت در ایجاد وضعیت سهمی نداشته باشد.</w:t>
      </w:r>
      <w:r>
        <w:rPr>
          <w:rFonts w:ascii="B Lotus" w:hAnsi="B Lotus" w:cs="B Lotus" w:eastAsia="B Lotus"/>
          <w:b w:val="0"/>
          <w:i w:val="0"/>
          <w:sz w:val="28"/>
          <w:szCs w:val="28"/>
          <w:vertAlign w:val="superscript"/>
        </w:rPr>
        <w:footnoteReference w:id="72"/>
      </w:r>
    </w:p>
    <w:p>
      <w:pPr>
        <w:pStyle w:val="TH-Body"/>
        <w:widowControl/>
        <w:bidi w:val="1"/>
        <w:spacing w:before="0" w:after="120" w:line="288" w:lineRule="auto"/>
        <w:jc w:val="both"/>
      </w:pPr>
      <w:r>
        <w:rPr>
          <w:rFonts w:ascii="B Lotus" w:hAnsi="B Lotus" w:cs="B Lotus" w:eastAsia="B Lotus"/>
          <w:b w:val="0"/>
          <w:i w:val="0"/>
          <w:sz w:val="28"/>
          <w:szCs w:val="28"/>
        </w:rPr>
        <w:t>سقف همه این اسباب، ماده ۲۶ است: هیچ‌یک از اسباب رافع، در برابر نقض «قواعد آمره» (مانند منع تجاوز، منع نسل‌کشی و منع جنایت علیه بشریت) قابل استناد نیست.</w:t>
      </w:r>
      <w:r>
        <w:rPr>
          <w:rFonts w:ascii="B Lotus" w:hAnsi="B Lotus" w:cs="B Lotus" w:eastAsia="B Lotus"/>
          <w:b w:val="0"/>
          <w:i w:val="0"/>
          <w:sz w:val="28"/>
          <w:szCs w:val="28"/>
          <w:vertAlign w:val="superscript"/>
        </w:rPr>
        <w:footnoteReference w:id="73"/>
      </w:r>
      <w:r>
        <w:rPr>
          <w:rFonts w:ascii="B Lotus" w:hAnsi="B Lotus" w:cs="B Lotus" w:eastAsia="B Lotus"/>
          <w:b w:val="0"/>
          <w:i w:val="0"/>
          <w:sz w:val="28"/>
          <w:szCs w:val="28"/>
        </w:rPr>
        <w:t xml:space="preserve"> این همان «ضابطه هفتم» فصل چهارم در زبان حقوق بین‌الملل است و نشان می‌دهد که سقفِ اختیار، در هر دو نظام (فقهی و بین‌المللی) پذیرفته شده است.</w:t>
      </w:r>
    </w:p>
    <w:p>
      <w:pPr>
        <w:pStyle w:val="TH-Band"/>
        <w:widowControl/>
        <w:bidi w:val="1"/>
        <w:spacing w:before="200" w:after="120" w:line="288" w:lineRule="auto"/>
        <w:jc w:val="right"/>
      </w:pPr>
      <w:r>
        <w:rPr>
          <w:rFonts w:ascii="B Traffic" w:hAnsi="B Traffic" w:cs="B Traffic" w:eastAsia="B Traffic"/>
          <w:b/>
          <w:i w:val="0"/>
          <w:sz w:val="28"/>
          <w:szCs w:val="28"/>
        </w:rPr>
        <w:t>بند دوم: آثار مسئولیت؛ توقف، جبران و حل‌وفصل اختلاف</w:t>
      </w:r>
    </w:p>
    <w:p>
      <w:pPr>
        <w:pStyle w:val="TH-Body"/>
        <w:widowControl/>
        <w:bidi w:val="1"/>
        <w:spacing w:before="0" w:after="120" w:line="288" w:lineRule="auto"/>
        <w:jc w:val="both"/>
      </w:pPr>
      <w:r>
        <w:rPr>
          <w:rFonts w:ascii="B Lotus" w:hAnsi="B Lotus" w:cs="B Lotus" w:eastAsia="B Lotus"/>
          <w:b w:val="0"/>
          <w:i w:val="0"/>
          <w:sz w:val="28"/>
          <w:szCs w:val="28"/>
        </w:rPr>
        <w:t>هرگاه نقضی رخ دهد و سبب رافعی نیز در کار نباشد، آثار زیر بر دولت مسئول بار می‌شود: یکم. «توقف» رفتار متخلفانه و ارائه «تضمین‌های عدم تکرار» در صورت اقتضا (ماده ۳۰). دوم. «جبران کامل» خسارت‌های وارده (ماده ۳۱) در سه صورت: «اعاده وضع به حال سابق» (Restitution؛ یعنی بازگرداندن وضعیت به حالت پیش از نقض)، «غرامت مالی» (Compensation؛ یعنی پرداخت معادل مالی خسارت‌های قابل ارزیابی) و «جلب رضایت» (Satisfaction؛ یعنی اقداماتی مانند عذرخواهی رسمی، ابراز تأسف، یا محکومیت رفتار).</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این آثار، «خودکار» نیستند (یعنی نیازمند مطالبه دولت زیان‌دیده و طی فرایند حل اختلاف‌اند)، اما «بالقوه» همیشه وجود دارند و حاکم عاقل باید آن‌ها را ـ با برآورد تقریبی ـ در محاسبه مصلحت لحاظ کند (ضابطه هشتم).</w:t>
      </w:r>
    </w:p>
    <w:p>
      <w:pPr>
        <w:pStyle w:val="TH-Body"/>
        <w:widowControl/>
        <w:bidi w:val="1"/>
        <w:spacing w:before="0" w:after="120" w:line="288" w:lineRule="auto"/>
        <w:jc w:val="both"/>
      </w:pPr>
      <w:r>
        <w:rPr>
          <w:rFonts w:ascii="B Lotus" w:hAnsi="B Lotus" w:cs="B Lotus" w:eastAsia="B Lotus"/>
          <w:b w:val="0"/>
          <w:i w:val="0"/>
          <w:sz w:val="28"/>
          <w:szCs w:val="28"/>
        </w:rPr>
        <w:t>در فرض «تعلیق یا خاتمه موجه» نیز آثاری بار می‌شود که باید دانسته شود: به موجب ماده ۷۰ وین، خاتمه، اطراف را از «اجرای آتی» معاف می‌کند، اما بر «حقوق و وضعیت‌های پیش از خاتمه» و «تعهدات مندرج برای دوران پس از خاتمه» اثری ندارد؛ و به موجب ماده ۷۲، در مدت تعلیق، اطراف از اجرای متقابل معاف‌اند، اما باید از اقداماتی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نتیجه مهم: حتی عدولِ موجه نیز «بی‌هزینه» نیست و آثار گذشته و تکالیف دوره تعلیق باقی می‌ماند؛ و این، دلیل دیگری بر لزوم محاسبه همه‌جانبه پیش از تصمیم است.</w:t>
      </w:r>
    </w:p>
    <w:p>
      <w:pPr>
        <w:pStyle w:val="TH-Body"/>
        <w:widowControl/>
        <w:bidi w:val="1"/>
        <w:spacing w:before="0" w:after="120" w:line="288" w:lineRule="auto"/>
        <w:jc w:val="both"/>
      </w:pPr>
      <w:r>
        <w:rPr>
          <w:rFonts w:ascii="B Lotus" w:hAnsi="B Lotus" w:cs="B Lotus" w:eastAsia="B Lotus"/>
          <w:b w:val="0"/>
          <w:i w:val="0"/>
          <w:sz w:val="28"/>
          <w:szCs w:val="28"/>
        </w:rPr>
        <w:t>اختلافات ناشی از مسئولیت، از مجاری حل‌وفصل مسالمت‌آمیز پیگیری می‌شود: مذاکره مستقیم، میانجیگری، سازش، داوری بین‌المللی، دادرسی در دیوان بین‌المللی دادگستری (با رضایت اطراف)، و در موارد تهدید صلح و امنیت، شورای امنیت سازمان ملل متحد. شناخت این مجاری برای تصمیم‌گیر ضروری است؛ زیرا انتخاب راهبرد حقوقی پس از عدول (مذاکره، دفاع، یا سازش) بخشی از مدیریت آثار تصمیم است.</w:t>
      </w:r>
    </w:p>
    <w:p>
      <w:pPr>
        <w:pStyle w:val="TH-Band"/>
        <w:widowControl/>
        <w:bidi w:val="1"/>
        <w:spacing w:before="200" w:after="120" w:line="288" w:lineRule="auto"/>
        <w:jc w:val="right"/>
      </w:pPr>
      <w:r>
        <w:rPr>
          <w:rFonts w:ascii="B Traffic" w:hAnsi="B Traffic" w:cs="B Traffic" w:eastAsia="B Traffic"/>
          <w:b/>
          <w:i w:val="0"/>
          <w:sz w:val="28"/>
          <w:szCs w:val="28"/>
        </w:rPr>
        <w:t>بند سوم: راهبردهای حقوقی کاهش مسئولیت</w:t>
      </w:r>
    </w:p>
    <w:p>
      <w:pPr>
        <w:pStyle w:val="TH-Body"/>
        <w:widowControl/>
        <w:bidi w:val="1"/>
        <w:spacing w:before="0" w:after="120" w:line="288" w:lineRule="auto"/>
        <w:jc w:val="both"/>
      </w:pPr>
      <w:r>
        <w:rPr>
          <w:rFonts w:ascii="B Lotus" w:hAnsi="B Lotus" w:cs="B Lotus" w:eastAsia="B Lotus"/>
          <w:b w:val="0"/>
          <w:i w:val="0"/>
          <w:sz w:val="28"/>
          <w:szCs w:val="28"/>
        </w:rPr>
        <w:t>مسئولیت بین‌المللی، سرنوشت محتوم هر عدولی نیست؛ بلکه حقوق بین‌الملل، ابزارهایی برای «مدیریت حقوقی» عدول پیش‌بینی کرده که حاکم عاقل و آینده‌نگر باید پیشاپیش ـ از مرحله انعقاد تا مرحله اجرا ـ از آن‌ها بهره گیرد. مهم‌ترین این راهبردها پنج‌گانه است:</w:t>
      </w:r>
    </w:p>
    <w:p>
      <w:pPr>
        <w:pStyle w:val="TH-Body"/>
        <w:widowControl/>
        <w:bidi w:val="1"/>
        <w:spacing w:before="0" w:after="120" w:line="288" w:lineRule="auto"/>
        <w:jc w:val="both"/>
      </w:pPr>
      <w:r>
        <w:rPr>
          <w:rFonts w:ascii="B Lotus" w:hAnsi="B Lotus" w:cs="B Lotus" w:eastAsia="B Lotus"/>
          <w:b w:val="0"/>
          <w:i w:val="0"/>
          <w:sz w:val="28"/>
          <w:szCs w:val="28"/>
        </w:rPr>
        <w:t>راهبرد یکم، «حق شرط» (Reservation): به موجب مواد ۱۹ تا ۲۳ کنوانسیون وین، دولت می‌تواند در هنگام پذیرش معاهده چندجانبه، با اعلام حق شرط، اثر حقوقی برخی مقررات را نسبت به خود منتفی یا محدود کند؛ مشروط بر آن‌که حق شرط، در معاهده ممنوع نشده و با موضوع و هدف آن ناسازگار نباشد.</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هرچند حق شرط ناظر به مرحله پذیرش است نه مرحله اجرا، اما بهره‌گیری هوشمندانه از آن در هنگام انعقاد، نیاز به عدول بعدی را به حداقل می‌رساند و ازاین‌رو، بخشی از «حقوق پیشگیرانه» است.</w:t>
      </w:r>
    </w:p>
    <w:p>
      <w:pPr>
        <w:pStyle w:val="TH-Body"/>
        <w:widowControl/>
        <w:bidi w:val="1"/>
        <w:spacing w:before="0" w:after="120" w:line="288" w:lineRule="auto"/>
        <w:jc w:val="both"/>
      </w:pPr>
      <w:r>
        <w:rPr>
          <w:rFonts w:ascii="B Lotus" w:hAnsi="B Lotus" w:cs="B Lotus" w:eastAsia="B Lotus"/>
          <w:b w:val="0"/>
          <w:i w:val="0"/>
          <w:sz w:val="28"/>
          <w:szCs w:val="28"/>
        </w:rPr>
        <w:t>راهبرد دوم، «اعلامیه تفسیری»: دولت می‌تواند با صدور اعلامیه رسمی، تفسیر خود از مقررات معاهده را ثبت کند و از تفسیرهای موسع و یک‌جانبه بعدیِ طرف مقابل یا مراجع بین‌المللی جلوگیری نماید. هرچند اعلامیه تفسیری، اثر حق شرط را ندارد، اما در فرایند تفسیر (مواد ۳۱ و ۳۲ وین) مؤثر است.</w:t>
      </w:r>
    </w:p>
    <w:p>
      <w:pPr>
        <w:pStyle w:val="TH-Body"/>
        <w:widowControl/>
        <w:bidi w:val="1"/>
        <w:spacing w:before="0" w:after="120" w:line="288" w:lineRule="auto"/>
        <w:jc w:val="both"/>
      </w:pPr>
      <w:r>
        <w:rPr>
          <w:rFonts w:ascii="B Lotus" w:hAnsi="B Lotus" w:cs="B Lotus" w:eastAsia="B Lotus"/>
          <w:b w:val="0"/>
          <w:i w:val="0"/>
          <w:sz w:val="28"/>
          <w:szCs w:val="28"/>
        </w:rPr>
        <w:t>راهبرد سوم، «شرط‌گذاری در متن»: گنجاندن شرط بازنگری دوره‌ای، شرط خاتمه با اطلاع قبلی،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مهم‌ترین توصیه عملی این رساله به مذاکره‌کنندگان است.</w:t>
      </w:r>
    </w:p>
    <w:p>
      <w:pPr>
        <w:pStyle w:val="TH-Body"/>
        <w:widowControl/>
        <w:bidi w:val="1"/>
        <w:spacing w:before="0" w:after="120" w:line="288" w:lineRule="auto"/>
        <w:jc w:val="both"/>
      </w:pPr>
      <w:r>
        <w:rPr>
          <w:rFonts w:ascii="B Lotus" w:hAnsi="B Lotus" w:cs="B Lotus" w:eastAsia="B Lotus"/>
          <w:b w:val="0"/>
          <w:i w:val="0"/>
          <w:sz w:val="28"/>
          <w:szCs w:val="28"/>
        </w:rPr>
        <w:t>راهبرد چهارم، «تعلیق توافقی و مذاکره مجدد»: پیش از هر اقدام یک‌جانبه، پیشنهاد مذاکره مجدد یا تعلیق توافقی به طرف مقابل، هم از نظر حقوق بین‌الملل (اصل حل‌وفصل مسالمت‌آمیز اختلافات و اصل حسن نیت) و هم از نظر فقهی (اصل حزم و احتیاط و تقدم راه کم‌هزینه‌تر) مقدم و لازم است. اقدام یک‌جانبه‌ای که پس از ناکامی مستندِ مذاکره انجام شود، هم وجاهت حقوقی بیشتری دارد و هم وجاهت شرعی بیشتری.</w:t>
      </w:r>
    </w:p>
    <w:p>
      <w:pPr>
        <w:pStyle w:val="TH-Body"/>
        <w:widowControl/>
        <w:bidi w:val="1"/>
        <w:spacing w:before="0" w:after="120" w:line="288" w:lineRule="auto"/>
        <w:jc w:val="both"/>
      </w:pPr>
      <w:r>
        <w:rPr>
          <w:rFonts w:ascii="B Lotus" w:hAnsi="B Lotus" w:cs="B Lotus" w:eastAsia="B Lotus"/>
          <w:b w:val="0"/>
          <w:i w:val="0"/>
          <w:sz w:val="28"/>
          <w:szCs w:val="28"/>
        </w:rPr>
        <w:t>راهبرد پنجم، «مستندسازی و شفافیت»: مستندکردن تصمیم، اعلام آشکار و مستدل آن، و استناد به اسباب حقوقی پذیرفته‌شده، هرچند مسئولیت را به‌طور کامل منتفی نمی‌کند، اما در ارزیابی مراجع بین‌المللی، در افکار عمومی جهانی، و در امکان بازگشت به اجرا و سازش بعدی، مؤثر است؛ و با ضابطه ششم (انباذ علی سواء) نیز هم‌خوان کامل دارد.</w:t>
      </w:r>
    </w:p>
    <w:p>
      <w:pPr>
        <w:pStyle w:val="TH-Band"/>
        <w:widowControl/>
        <w:bidi w:val="1"/>
        <w:spacing w:before="200" w:after="120" w:line="288" w:lineRule="auto"/>
        <w:jc w:val="right"/>
      </w:pPr>
      <w:r>
        <w:rPr>
          <w:rFonts w:ascii="B Traffic" w:hAnsi="B Traffic" w:cs="B Traffic" w:eastAsia="B Traffic"/>
          <w:b/>
          <w:i w:val="0"/>
          <w:sz w:val="28"/>
          <w:szCs w:val="28"/>
        </w:rPr>
        <w:t>بند چهارم: نمونه تحلیلی؛ تجربه برجام</w:t>
      </w:r>
    </w:p>
    <w:p>
      <w:pPr>
        <w:pStyle w:val="TH-Body"/>
        <w:widowControl/>
        <w:bidi w:val="1"/>
        <w:spacing w:before="0" w:after="120" w:line="288" w:lineRule="auto"/>
        <w:jc w:val="both"/>
      </w:pPr>
      <w:r>
        <w:rPr>
          <w:rFonts w:ascii="B Lotus" w:hAnsi="B Lotus" w:cs="B Lotus" w:eastAsia="B Lotus"/>
          <w:b w:val="0"/>
          <w:i w:val="0"/>
          <w:sz w:val="28"/>
          <w:szCs w:val="28"/>
        </w:rPr>
        <w:t>برای نشان‌دادن کاربرد عملی چارچوب تحلیلی این رساله، می‌توان به تجربه «برنامه جامع اقدام مشترک» (برجام، ۲۰۱۵) و قطعنامه ۲۲۳۱ شورای امنیت اشاره کرد؛ با این قید مهم و غیرقابل چشم‌پوشی که ماهیت حقوقی دقیق برجام (توافق سیاسی یا سند حقوقی الزام‌آور، و نسبت آن با قطعنامه ۲۲۳۱) خود محل بحث جدی میان حقوق‌دانان است و این رساله در آن باب داوری قطعی نمی‌کند، بلکه صرفاً چارچوب تحلیل سه‌سطحی خود را بر این تجربه تطبیق می‌دهد تا کارآمدی چارچوب نشان داده شود.</w:t>
      </w:r>
    </w:p>
    <w:p>
      <w:pPr>
        <w:pStyle w:val="TH-Body"/>
        <w:widowControl/>
        <w:bidi w:val="1"/>
        <w:spacing w:before="0" w:after="120" w:line="288" w:lineRule="auto"/>
        <w:jc w:val="both"/>
      </w:pPr>
      <w:r>
        <w:rPr>
          <w:rFonts w:ascii="B Lotus" w:hAnsi="B Lotus" w:cs="B Lotus" w:eastAsia="B Lotus"/>
          <w:b w:val="0"/>
          <w:i w:val="0"/>
          <w:sz w:val="28"/>
          <w:szCs w:val="28"/>
        </w:rPr>
        <w:t>در این تجربه، سه مرحله قابل تفکیک است: مرحله یکم: خروج یک‌جانبه ایالات متحده از برجام (۲۰۱۸) و بازگرداندن تحریم‌ها که از نظر بسیاری از تحلیل‌گران و دولت ایران، نقض تعهدات آن دولت محسوب می‌شد. مرحله دوم: عدول تدریجی و گام‌به‌گام ایران از برخی تعهدات (از ۲۰۱۹) که ایران آن را با استناد به سازوکار پیش‌بینی‌شده در خود توافق (متناظر با راهبرد سوم: اعمال حق مندرج) و نیز با منطق اقدام متقابل در برابر نقض طرف مقابل توجیه می‌کرد. مرحله سوم: مناقشه بر سر بازگشت به اجرای کامل و شروط آن.</w:t>
      </w:r>
    </w:p>
    <w:p>
      <w:pPr>
        <w:pStyle w:val="TH-Body"/>
        <w:widowControl/>
        <w:bidi w:val="1"/>
        <w:spacing w:before="0" w:after="120" w:line="288" w:lineRule="auto"/>
        <w:jc w:val="both"/>
      </w:pPr>
      <w:r>
        <w:rPr>
          <w:rFonts w:ascii="B Lotus" w:hAnsi="B Lotus" w:cs="B Lotus" w:eastAsia="B Lotus"/>
          <w:b w:val="0"/>
          <w:i w:val="0"/>
          <w:sz w:val="28"/>
          <w:szCs w:val="28"/>
        </w:rPr>
        <w:t>تحلیل این تجربه در چارچوب سه‌سطحی رساله چنین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پاسخ به هر یک، نیازمند بررسی جداگانه و اسنادی است که از عهده این رساله بیرون است، اما «چارچوب پرسش» همین است.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 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w:t>
      </w:r>
    </w:p>
    <w:p>
      <w:pPr>
        <w:pStyle w:val="TH-Goftar"/>
        <w:widowControl/>
        <w:bidi w:val="1"/>
        <w:spacing w:before="200" w:after="120" w:line="288" w:lineRule="auto"/>
        <w:jc w:val="right"/>
      </w:pPr>
      <w:r>
        <w:rPr>
          <w:rFonts w:ascii="B Titr" w:hAnsi="B Titr" w:cs="B Titr" w:eastAsia="B Titr"/>
          <w:b/>
          <w:i w:val="0"/>
          <w:sz w:val="32"/>
          <w:szCs w:val="32"/>
        </w:rPr>
        <w:t>گفتار پنجم: جایگاه حقوق اساسی تصمیم ولی فقیه</w:t>
      </w:r>
    </w:p>
    <w:p>
      <w:pPr>
        <w:pStyle w:val="TH-Band"/>
        <w:widowControl/>
        <w:bidi w:val="1"/>
        <w:spacing w:before="200" w:after="120" w:line="288" w:lineRule="auto"/>
        <w:jc w:val="right"/>
      </w:pPr>
      <w:r>
        <w:rPr>
          <w:rFonts w:ascii="B Traffic" w:hAnsi="B Traffic" w:cs="B Traffic" w:eastAsia="B Traffic"/>
          <w:b/>
          <w:i w:val="0"/>
          <w:sz w:val="28"/>
          <w:szCs w:val="28"/>
        </w:rPr>
        <w:t>بند اول: تحلیل اصول ۵، ۵۷، ۷۷، ۱۱۲ و ۱۲۵</w:t>
      </w:r>
    </w:p>
    <w:p>
      <w:pPr>
        <w:pStyle w:val="TH-Body"/>
        <w:widowControl/>
        <w:bidi w:val="1"/>
        <w:spacing w:before="0" w:after="120" w:line="288" w:lineRule="auto"/>
        <w:jc w:val="both"/>
      </w:pPr>
      <w:r>
        <w:rPr>
          <w:rFonts w:ascii="B Lotus" w:hAnsi="B Lotus" w:cs="B Lotus" w:eastAsia="B Lotus"/>
          <w:b w:val="0"/>
          <w:i w:val="0"/>
          <w:sz w:val="28"/>
          <w:szCs w:val="28"/>
        </w:rPr>
        <w:t>در فصل دوم، متن اصول مرتبط اجمالاً گذشت؛ در این‌جا دلالت هر یک بر مسئله ـ مستقیم یا غیرمستقیم ـ تحلیل می‌شود:</w:t>
      </w:r>
    </w:p>
    <w:p>
      <w:pPr>
        <w:pStyle w:val="TH-Body"/>
        <w:widowControl/>
        <w:bidi w:val="1"/>
        <w:spacing w:before="0" w:after="120" w:line="288" w:lineRule="auto"/>
        <w:jc w:val="both"/>
      </w:pPr>
      <w:r>
        <w:rPr>
          <w:rFonts w:ascii="B Lotus" w:hAnsi="B Lotus" w:cs="B Lotus" w:eastAsia="B Lotus"/>
          <w:b w:val="0"/>
          <w:i w:val="0"/>
          <w:sz w:val="28"/>
          <w:szCs w:val="28"/>
        </w:rPr>
        <w:t>اصل ۵: دلالت این اصل،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اما این اصل درباره «گستره اختیارات» ساکت است و تفصیل آن را به اصول دیگر (به‌ویژه ۵۷ و ۱۱۰) واگذار می‌کند؛ ازاین‌رو، اثبات‌کننده «اصل مرجعیت» است، نه تعیین‌کننده «حدود» آن.</w:t>
      </w:r>
    </w:p>
    <w:p>
      <w:pPr>
        <w:pStyle w:val="TH-Body"/>
        <w:widowControl/>
        <w:bidi w:val="1"/>
        <w:spacing w:before="0" w:after="120" w:line="288" w:lineRule="auto"/>
        <w:jc w:val="both"/>
      </w:pPr>
      <w:r>
        <w:rPr>
          <w:rFonts w:ascii="B Lotus" w:hAnsi="B Lotus" w:cs="B Lotus" w:eastAsia="B Lotus"/>
          <w:b w:val="0"/>
          <w:i w:val="0"/>
          <w:sz w:val="28"/>
          <w:szCs w:val="28"/>
        </w:rPr>
        <w:t>اصل ۵۷: دلالت این اصل نیز «مبنایی و غیرمستقیم» است. این اصل با عبارت «زیر نظر ولایت مطلقه امر و امامت امت»، مرجعیت نهایی ولی فقیه بر همه قوا ـ از جمله قوه مقننه (تصویب‌کننده معاهده) و قوه مجریه (اجرا‌کننده آن) ـ را تثبیت می‌کند. اما این اصل، «شیوه اعمال» این مرجعیت در حوزه خاص معاهدات را بیان نمی‌کند؛ و قید «بر طبق اصول آینده این قانون» نیز ـ چنان‌که در بند بعد خواهد آمد ـ محل مناقشه است. ازاین‌رو، اصل ۵۷، اثبات‌کننده «اصلِ مرجعیت» است، اما تعیین‌کننده «صورتِ اعمال» نیست.</w:t>
      </w:r>
    </w:p>
    <w:p>
      <w:pPr>
        <w:pStyle w:val="TH-Body"/>
        <w:widowControl/>
        <w:bidi w:val="1"/>
        <w:spacing w:before="0" w:after="120" w:line="288" w:lineRule="auto"/>
        <w:jc w:val="both"/>
      </w:pPr>
      <w:r>
        <w:rPr>
          <w:rFonts w:ascii="B Lotus" w:hAnsi="B Lotus" w:cs="B Lotus" w:eastAsia="B Lotus"/>
          <w:b w:val="0"/>
          <w:i w:val="0"/>
          <w:sz w:val="28"/>
          <w:szCs w:val="28"/>
        </w:rPr>
        <w:t>اصل ۷۷: دلالت این اصل «غیرمستقیم» است: این اصل، «تصویب» (ورود به التزام) را در صلاحیت مجلس می‌داند، اما درباره «خروج از التزام» (تعلیق، خاتمه، خروج) ساکت است. از این سکوت، دو استنباط رقیب شده است که هر دو قابل تأمل‌اند: استنباط یکم (وحدت مجرا): آن مرجعی که صلاحیت ایجاد التزام را دارد (مجلس)، صلاحیت رفع آن را نیز دارد؛ پس خاتمه و خروج نیز نیازمند تصویب مجلس است؛ وگرنه، تصمیم یک مقام (رهبری) می‌تواند قانون مصوب مقام دیگر (مجلس) را بی‌اثر کند و این با استقلال قوا (ذیل اصل ۵۷) ناسازگار است. استنباط دوم (تفکیک مجرا): سکوت قانون اساسی درباره خروج، به معنای واگذاری آن به مقام بالاتر (ولی فقیه) یا به عرف اساسی است؛ زیرا اولاً، خروج از التزام بین‌المللی، تصمیمی حاکمیتی ـ امنیتی است نه تقنینی محض؛ ثانیاً، منطق حکم حکومتی ـ چنان‌که در فصل چهارم گذشت ـ دقیقاً پوشش‌دادن مواردی است که مجرای عادی برای آن کافی نیست؛ و ثالثاً، در شرایط فوق‌العاده (که موضوع این رساله است)، تشریفات عادی پاسخ‌گو نیست.</w:t>
      </w:r>
    </w:p>
    <w:p>
      <w:pPr>
        <w:pStyle w:val="TH-Body"/>
        <w:widowControl/>
        <w:bidi w:val="1"/>
        <w:spacing w:before="0" w:after="120" w:line="288" w:lineRule="auto"/>
        <w:jc w:val="both"/>
      </w:pPr>
      <w:r>
        <w:rPr>
          <w:rFonts w:ascii="B Lotus" w:hAnsi="B Lotus" w:cs="B Lotus" w:eastAsia="B Lotus"/>
          <w:b w:val="0"/>
          <w:i w:val="0"/>
          <w:sz w:val="28"/>
          <w:szCs w:val="28"/>
        </w:rPr>
        <w:t>داوری نگارنده: استنباط یکم در فرض «خاتمه عادی و توافقی» (مانند پایان مدت معاهده یا توافق بر خاتمه) پذیرفتنی و بلکه لازم است؛ اما در فرض «تصمیم حکومتی فوق‌العاده» (موضوع این رساله)، استنباط دوم قوی‌تر است. با این حال، در مقام عمل و حکمرانی مطلوب، همراهی مجلس (حتی در قالب اطلاع، هماهنگی یا تصویب بعدی) بر وجاهت و استحکام تصمیم می‌افزاید و از تنش‌های نهادی می‌کاهد؛ و ازاین‌رو، توصیه می‌شود؛ هرچند شرط صحت تصمیم حکومتی نیست.</w:t>
      </w:r>
    </w:p>
    <w:p>
      <w:pPr>
        <w:pStyle w:val="TH-Body"/>
        <w:widowControl/>
        <w:bidi w:val="1"/>
        <w:spacing w:before="0" w:after="120" w:line="288" w:lineRule="auto"/>
        <w:jc w:val="both"/>
      </w:pPr>
      <w:r>
        <w:rPr>
          <w:rFonts w:ascii="B Lotus" w:hAnsi="B Lotus" w:cs="B Lotus" w:eastAsia="B Lotus"/>
          <w:b w:val="0"/>
          <w:i w:val="0"/>
          <w:sz w:val="28"/>
          <w:szCs w:val="28"/>
        </w:rPr>
        <w:t>اصل ۱۱۲: دلالت این اصل «غیرمستقیم و نهادی» است: با رسمیت‌بخشیدن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 آن، نهادی در تراز عالی پیش‌بینی کرده است. نسبت این نهاد با تشخیص شخص ولی فقیه، چنان‌که در ضابطه سوم گذشت، نسبت «کارشناسی تخصصی» به «تصمیم نهایی» است: مجمع، مصلحت را کارشناسی می‌کند و ولی فقیه، تصمیم نهایی را می‌گیرد.</w:t>
      </w:r>
    </w:p>
    <w:p>
      <w:pPr>
        <w:pStyle w:val="TH-Body"/>
        <w:widowControl/>
        <w:bidi w:val="1"/>
        <w:spacing w:before="0" w:after="120" w:line="288" w:lineRule="auto"/>
        <w:jc w:val="both"/>
      </w:pPr>
      <w:r>
        <w:rPr>
          <w:rFonts w:ascii="B Lotus" w:hAnsi="B Lotus" w:cs="B Lotus" w:eastAsia="B Lotus"/>
          <w:b w:val="0"/>
          <w:i w:val="0"/>
          <w:sz w:val="28"/>
          <w:szCs w:val="28"/>
        </w:rPr>
        <w:t>اصل ۱۲۵: دلالت این اصل نیز «غیرمستقیم» است: این اصل، «امضا» (اعلام التزام) را از آنِ رئیس‌جمهور می‌داند و از رهبری نامی نمی‌برد. موافقان حصر اختیارات، به همین سکوت استناد می‌کنند و می‌گویند: اگر قانون‌گذار اساسی می‌خواست رهبری در حوزه معاهدات نقشی داشته باشد، در این‌جا ذکر می‌کرد. اما پاسخ آن است که اولاً، سکوت درباره «امضا» (عمل تشریفاتی ـ اجراییِ پس از تصویب) به معنای سکوت درباره «تصمیم کلانِ سرنوشت معاهده» نیست؛ چنان‌که در خود نظام قانون اساسی نیز، تصمیم‌های کلان (جنگ و صلح، سیاست‌های کلی) با رهبری است، هرچند اجرای آن‌ها با قوه مجریه است. ثانیاً، این اصل ناظر به مرحله «ورود به التزام» است، نه مرحله «خروج از التزام»؛ و سکوت درباره مرحله دوم، باید با اصول دیگر (۵۷ و ۱۱۰) و با مبانی فقهی پر شود، نه با نفی اختیار.</w:t>
      </w:r>
    </w:p>
    <w:p>
      <w:pPr>
        <w:pStyle w:val="TH-Band"/>
        <w:widowControl/>
        <w:bidi w:val="1"/>
        <w:spacing w:before="200" w:after="120" w:line="288" w:lineRule="auto"/>
        <w:jc w:val="right"/>
      </w:pPr>
      <w:r>
        <w:rPr>
          <w:rFonts w:ascii="B Traffic" w:hAnsi="B Traffic" w:cs="B Traffic" w:eastAsia="B Traffic"/>
          <w:b/>
          <w:i w:val="0"/>
          <w:sz w:val="28"/>
          <w:szCs w:val="28"/>
        </w:rPr>
        <w:t>بند دوم: تحلیل اصل ۱۱۰؛ نقد ادعای حصر و تفکیک انواع اختیار</w:t>
      </w:r>
    </w:p>
    <w:p>
      <w:pPr>
        <w:pStyle w:val="TH-Body"/>
        <w:widowControl/>
        <w:bidi w:val="1"/>
        <w:spacing w:before="0" w:after="120" w:line="288" w:lineRule="auto"/>
        <w:jc w:val="both"/>
      </w:pPr>
      <w:r>
        <w:rPr>
          <w:rFonts w:ascii="B Lotus" w:hAnsi="B Lotus" w:cs="B Lotus" w:eastAsia="B Lotus"/>
          <w:b w:val="0"/>
          <w:i w:val="0"/>
          <w:sz w:val="28"/>
          <w:szCs w:val="28"/>
        </w:rPr>
        <w:t>اکنون به حساس‌ترین و مناقشه‌برانگیزترین گره حقوق اساسی پژوهش می‌رسیم: اصل ۱۱۰. چنان‌که در فصل دوم با صراحت ثبت شد، در هیچ‌یک از یازده بند این اصل، اختیاری درباره معاهدات بین‌المللی «به‌صراحت» ذکر نشده است. بنابراین، هرگونه ادعای «ذکر صریح» چنین اختیاری در اصل ۱۱۰، خلاف واقعیت متنی است و باید اصلاح شود؛ و همین اصلاح، خود یکی از دستاوردهای این رساله است. پرسش صحیح ـ پس از این اصلاح ـ چنین است: آیا اختیار رهبری در حوزه معاهدات را می‌توان از «بندهای عام» این اصل یا از «اصول دیگر» استنباط کرد؟ و آیا اختیارات رهبری «منحصر» در همین یازده بند است یا فراتر از آن نیز می‌رود؟</w:t>
      </w:r>
    </w:p>
    <w:p>
      <w:pPr>
        <w:pStyle w:val="TH-Body"/>
        <w:widowControl/>
        <w:bidi w:val="1"/>
        <w:spacing w:before="0" w:after="120" w:line="288" w:lineRule="auto"/>
        <w:jc w:val="both"/>
      </w:pPr>
      <w:r>
        <w:rPr>
          <w:rFonts w:ascii="B Lotus" w:hAnsi="B Lotus" w:cs="B Lotus" w:eastAsia="B Lotus"/>
          <w:b w:val="0"/>
          <w:i w:val="0"/>
          <w:sz w:val="28"/>
          <w:szCs w:val="28"/>
        </w:rPr>
        <w:t>درباره حصر یا عدم حصر، دو دیدگاه در ادبیات حقوق اساسی ایران وجود دارد که هر دو طرفدارانی جدی دارند: دیدگاه یکم (حصر): اختیارات رهبری منحصر در یازده بند اصل ۱۱۰ است؛ زیرا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زیرا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 درب اختیارات فوق‌العاده و پیش‌بینی‌نشده را گشوده است؛ و ثالثاً، منطق حکم حکومتی ـ که در فقه پذیرفته شده ـ اقتضا می‌کند که حاکم در موارد پیش‌بینی‌نشده نیز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78"/>
      </w:r>
    </w:p>
    <w:p>
      <w:pPr>
        <w:pStyle w:val="TH-Body"/>
        <w:widowControl/>
        <w:bidi w:val="1"/>
        <w:spacing w:before="0" w:after="120" w:line="288" w:lineRule="auto"/>
        <w:jc w:val="both"/>
      </w:pPr>
      <w:r>
        <w:rPr>
          <w:rFonts w:ascii="B Lotus" w:hAnsi="B Lotus" w:cs="B Lotus" w:eastAsia="B Lotus"/>
          <w:b w:val="0"/>
          <w:i w:val="0"/>
          <w:sz w:val="28"/>
          <w:szCs w:val="28"/>
        </w:rPr>
        <w:t>نقد و داوری منصفانه: هر دو دیدگاه، وجهی از حقیقت را گرفته‌اند و در عین حال دچار یک‌سونگری‌اند: دیدگاه حصر، «ولایت مطلقه» را به مجموعه‌ای بسته و احصاشده از صلاحیت‌های اداری فرومی‌کاهد و با منطق حکم حکومتی (که ذاتاً فوق‌العاده، پیش‌بینی‌ناپذیر و فراقاعده‌ای است) ناسازگار است؛ و اگر پذیرفته شود، نظام در برابر بحران‌های پیش‌بینی‌نشده، بی‌پاسخ می‌ماند. دیدگاه عدم حصرِ بی‌ضابطه نیز، راه را برای توسعه نامحدود و غیرپاسخ‌گوی اختیار می‌گشاید و با منطق «حکومت قانون» ـ که خود از اهداف و افتخارات نظام اسلامی است ـ در تنش قرار می‌گیرد؛ و اگر بدون مهار پذیرفته شود، به استبداد رأی می‌انجامد. راه میانه ـ که نظر مختار نگارنده است ـ «تفکیک انواع اختیار» است؛ تفکیکی چهارگانه که هم منطق ولایت را حفظ می‌کند و هم منطق قانون را:</w:t>
      </w:r>
    </w:p>
    <w:p>
      <w:pPr>
        <w:pStyle w:val="TH-Body"/>
        <w:widowControl/>
        <w:bidi w:val="1"/>
        <w:spacing w:before="0" w:after="120" w:line="288" w:lineRule="auto"/>
        <w:jc w:val="both"/>
      </w:pPr>
      <w:r>
        <w:rPr>
          <w:rFonts w:ascii="B Lotus" w:hAnsi="B Lotus" w:cs="B Lotus" w:eastAsia="B Lotus"/>
          <w:b w:val="0"/>
          <w:i w:val="0"/>
          <w:sz w:val="28"/>
          <w:szCs w:val="28"/>
        </w:rPr>
        <w:t>مرتبه یکم، «اختیار صریح»: آن‌چه در متن قانون اساسی (اصل ۱۱۰ و اصول دیگر) به‌صراحت آمده است؛ مانند فرماندهی کل قوا، اعلان جنگ و صلح، و نصب مقامات عالی. این اختیارات، نیازمند استنباط نیست و محل اتفاق است.</w:t>
      </w:r>
    </w:p>
    <w:p>
      <w:pPr>
        <w:pStyle w:val="TH-Body"/>
        <w:widowControl/>
        <w:bidi w:val="1"/>
        <w:spacing w:before="0" w:after="120" w:line="288" w:lineRule="auto"/>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۵ (جنگ و صلح)، ۷ (تنظیم روابط قوا) و ۸ (حل معضلات) ـ استنباط می‌شود؛ مانند تصمیم درباره سرنوشت معاهده‌ای که با «سیاست‌های کلی نظام» ناسازگار شده یا به «معضل نظام» بدل گشته است. اختیار مورد بحث این رساله، دست‌کم در این مرتبه قرار دارد و مستند قانونیِ مستقیمِ آن، همین بندهاست.</w:t>
      </w:r>
    </w:p>
    <w:p>
      <w:pPr>
        <w:pStyle w:val="TH-Body"/>
        <w:widowControl/>
        <w:bidi w:val="1"/>
        <w:spacing w:before="0" w:after="120" w:line="288" w:lineRule="auto"/>
        <w:jc w:val="both"/>
      </w:pPr>
      <w:r>
        <w:rPr>
          <w:rFonts w:ascii="B Lotus" w:hAnsi="B Lotus" w:cs="B Lotus" w:eastAsia="B Lotus"/>
          <w:b w:val="0"/>
          <w:i w:val="0"/>
          <w:sz w:val="28"/>
          <w:szCs w:val="28"/>
        </w:rPr>
        <w:t>مرتبه سوم، «اختیار ولایی»: آن‌چه از «ولایت مطلقه» مذکور در اصل ۵۷ ناشی می‌شود و فراتر از نصوص خاص است؛ مانند تصمیم فوق‌العاده‌ای که هیچ بندی از اصل ۱۱۰ ـ حتی با تفسیر موسع ـ آن را پوشش نمی‌دهد، اما اداره نظام بدان وابسته است. این مرتبه، عرصه اعمال «ولایت» به معنای دقیق است.</w:t>
      </w:r>
    </w:p>
    <w:p>
      <w:pPr>
        <w:pStyle w:val="TH-Body"/>
        <w:widowControl/>
        <w:bidi w:val="1"/>
        <w:spacing w:before="0" w:after="120" w:line="288" w:lineRule="auto"/>
        <w:jc w:val="both"/>
      </w:pPr>
      <w:r>
        <w:rPr>
          <w:rFonts w:ascii="B Lotus" w:hAnsi="B Lotus" w:cs="B Lotus" w:eastAsia="B Lotus"/>
          <w:b w:val="0"/>
          <w:i w:val="0"/>
          <w:sz w:val="28"/>
          <w:szCs w:val="28"/>
        </w:rPr>
        <w:t>مرتبه چهارم، «اختیار حکومتی»: آن‌چه از «حکم حکومتی» ولی فقیه در مقام تزاحم ناشی می‌شود (مبنای فصل چهارم) و صورتِ اعمالِ دو مرتبه پیشین است؛ یعنی سازوکاری که از طریق آن، اختیار ضمنی و ولایی، به تصمیم مشخص و لازم‌الاتباع بدل می‌شود.</w:t>
      </w:r>
    </w:p>
    <w:p>
      <w:pPr>
        <w:pStyle w:val="TH-Body"/>
        <w:widowControl/>
        <w:bidi w:val="1"/>
        <w:spacing w:before="0" w:after="120" w:line="288" w:lineRule="auto"/>
        <w:jc w:val="both"/>
      </w:pPr>
      <w:r>
        <w:rPr>
          <w:rFonts w:ascii="B Lotus" w:hAnsi="B Lotus" w:cs="B Lotus" w:eastAsia="B Lotus"/>
          <w:b w:val="0"/>
          <w:i w:val="0"/>
          <w:sz w:val="28"/>
          <w:szCs w:val="28"/>
        </w:rPr>
        <w:t>بر اساس این تفکیک چهارگانه، قانون اساسی، «کف» اختیارات رهبری است نه «سقف» آن؛ اما حرکت از کف به سقف، «مقید» است: مقید به مصلحت واقعی، تزاحم واقعی، و ضوابط هشت‌گانه فصل چهارم. به بیان دیگر و در یک جمله: «عدم حصر» به معنای «عدم ضابطه» نیست؛ و همین، جمع میان منطق ولایت و منطق قانون، و پاسخ به هر دو دیدگاه افراطی است.</w:t>
      </w:r>
    </w:p>
    <w:p>
      <w:pPr>
        <w:pStyle w:val="TH-Body"/>
        <w:widowControl/>
        <w:bidi w:val="1"/>
        <w:spacing w:before="0" w:after="120" w:line="288" w:lineRule="auto"/>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به حالت تعلیق درآورد؟ پاسخ در منطق این رساله روشن است: حکم حکومتیِ مصلحت‌سنجیده در مقام تزاحم، بر قانون عادی «مقدم» می‌شود (چنان‌که امام خمینی نیز حکومت را مقدم بر احکام فرعیه ـ و به طریق اولی بر قوانین عادی بشری ـ دانست)؛ اما این تقدم، «تعلیقی و موقت» است نه «نسخ دائم»؛ یعنی قانون، اعتبار خود را از دست نمی‌دهد، بلکه اجرای آن به‌طور موقت متوقف می‌شود و با رفع تزاحم، بازمی‌گردد. این تحلیل، هم با منطق تزاحم (فصل چهارم) سازگار است، هم با استقلال قوا (اصل ۵۷) ناسازگار نیست (زیرا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توصیه اکید می‌شود.</w:t>
      </w:r>
    </w:p>
    <w:p>
      <w:pPr>
        <w:pStyle w:val="TH-Goftar"/>
        <w:widowControl/>
        <w:bidi w:val="1"/>
        <w:spacing w:before="200" w:after="120" w:line="288" w:lineRule="auto"/>
        <w:jc w:val="right"/>
      </w:pPr>
      <w:r>
        <w:rPr>
          <w:rFonts w:ascii="B Titr" w:hAnsi="B Titr" w:cs="B Titr" w:eastAsia="B Titr"/>
          <w:b/>
          <w:i w:val="0"/>
          <w:sz w:val="32"/>
          <w:szCs w:val="32"/>
        </w:rPr>
        <w:t>حاصل فصل پنجم</w:t>
      </w:r>
    </w:p>
    <w:p>
      <w:pPr>
        <w:pStyle w:val="TH-Body"/>
        <w:widowControl/>
        <w:bidi w:val="1"/>
        <w:spacing w:before="0" w:after="120" w:line="288" w:lineRule="auto"/>
        <w:jc w:val="both"/>
      </w:pPr>
      <w:r>
        <w:rPr>
          <w:rFonts w:ascii="B Lotus" w:hAnsi="B Lotus" w:cs="B Lotus" w:eastAsia="B Lotus"/>
          <w:b w:val="0"/>
          <w:i w:val="0"/>
          <w:sz w:val="28"/>
          <w:szCs w:val="28"/>
        </w:rPr>
        <w:t>حاصل این فصل، پاسخ به سؤال فرعی اول و تکمیل پاسخ سؤال اصلی است: تصمیم ولی فقیه مبنی بر تعلیق یا نقض معاهده، بی‌تردید و چندلایه به دولت ایران «منتسب» می‌شود (ماده ۴ و تکمله‌های آن) و در صورت عدم انطباق با تعهد، «نقض» محسوب می‌شود (ماده ۱۲)؛ و هیچ توجیه داخلی ـ اعم از حکم حکومتی، مصلحت نظام، قانون اساسی یا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وصف متخلفانه) است که آستانه‌ای بسیار بالا و شرایطی سخت‌گیرانه دارند؛ و در غیر این صورت، آثار مسئولیت (توقف، جبران، و آثار دوره تعلیق) بر دولت بار می‌شود. در سطح داخلی نیز، تصمیم ولی فقیه در چارچوب اختیار ضمنی، ولایی و حکومتی، معتبر و لازم‌الاتباع است؛ هرچند قانون اساسی درباره آن صراحتی ندارد و این اعتبار، از بندهای عام و اصل ۵۷ استنباط می‌شود. بدین‌ترتیب، تصویر نهایی، سه‌سطحی و روشن است: «جواز فقهیِ مقید»، «مشروعیت داخلیِ مشروط»، و «مسئولیت بین‌المللیِ بالقوه»؛ و هنر حکمرانی اسلامی، مدیریت هم‌زمان و عاقلانه هر سه سطح است.</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نتیجه‌گیری</w:t>
      </w:r>
    </w:p>
    <w:p>
      <w:pPr>
        <w:pStyle w:val="TH-Band"/>
        <w:widowControl/>
        <w:bidi w:val="1"/>
        <w:spacing w:before="200" w:after="120" w:line="288" w:lineRule="auto"/>
        <w:jc w:val="right"/>
      </w:pPr>
      <w:r>
        <w:rPr>
          <w:rFonts w:ascii="B Traffic" w:hAnsi="B Traffic" w:cs="B Traffic" w:eastAsia="B Traffic"/>
          <w:b/>
          <w:i w:val="0"/>
          <w:sz w:val="28"/>
          <w:szCs w:val="28"/>
        </w:rPr>
        <w:t>۱. پاسخ سؤال اصلی</w:t>
      </w:r>
    </w:p>
    <w:p>
      <w:pPr>
        <w:pStyle w:val="TH-Body"/>
        <w:widowControl/>
        <w:bidi w:val="1"/>
        <w:spacing w:before="0" w:after="120" w:line="288" w:lineRule="auto"/>
        <w:jc w:val="both"/>
      </w:pPr>
      <w:r>
        <w:rPr>
          <w:rFonts w:ascii="B Lotus" w:hAnsi="B Lotus" w:cs="B Lotus" w:eastAsia="B Lotus"/>
          <w:b w:val="0"/>
          <w:i w:val="0"/>
          <w:sz w:val="28"/>
          <w:szCs w:val="28"/>
        </w:rPr>
        <w:t>سؤال اصلی پژوهش چنین بود: قلمرو و ضوابط اختیارات ولی فقیه در تعلیق یا نقض یک‌جانبه معاهدات بین‌المللی چیست؟ پاسخ مستفاد از مجموع مباحث پنج فصل رساله، در پنج گزاره خلاصه می‌شود که هر یک متکی بر بخشی از استدلال‌های پیشین است:</w:t>
      </w:r>
    </w:p>
    <w:p>
      <w:pPr>
        <w:pStyle w:val="TH-Body"/>
        <w:widowControl/>
        <w:bidi w:val="1"/>
        <w:spacing w:before="0" w:after="120" w:line="288" w:lineRule="auto"/>
        <w:jc w:val="both"/>
      </w:pPr>
      <w:r>
        <w:rPr>
          <w:rFonts w:ascii="B Lotus" w:hAnsi="B Lotus" w:cs="B Lotus" w:eastAsia="B Lotus"/>
          <w:b w:val="0"/>
          <w:i w:val="0"/>
          <w:sz w:val="28"/>
          <w:szCs w:val="28"/>
        </w:rPr>
        <w:t>گزاره یکم (اصل اختیار): ولی فقیه در مدیریت سرنوشت معاهدات بین‌المللی دولت جمهوری اسلامی ایران ـ از جمله تعلیق یا پایان‌دادن به اجرای آن‌ها ـ «اختیار» دارد. مبنای این اختیار، ولایت عامه فقیه در اداره نظام، وجوب حفظ نظام، و قاعده تزاحم و اهم و مهم است؛ و قالب فقهی آن، «حکم حکومتی» است. این گزاره با شش دسته دلیل (ولایت عامه، مصلحت و اهم و مهم، قواعد ثانوی، آیه انباذ، قاعده نفی سبیل، و سیره و قول مشهور در فسخ هدنه) در فصل چهارم اثبات شد.</w:t>
      </w:r>
    </w:p>
    <w:p>
      <w:pPr>
        <w:pStyle w:val="TH-Body"/>
        <w:widowControl/>
        <w:bidi w:val="1"/>
        <w:spacing w:before="0" w:after="120" w:line="288" w:lineRule="auto"/>
        <w:jc w:val="both"/>
      </w:pPr>
      <w:r>
        <w:rPr>
          <w:rFonts w:ascii="B Lotus" w:hAnsi="B Lotus" w:cs="B Lotus" w:eastAsia="B Lotus"/>
          <w:b w:val="0"/>
          <w:i w:val="0"/>
          <w:sz w:val="28"/>
          <w:szCs w:val="28"/>
        </w:rPr>
        <w:t>گزاره دوم (قلمرو نوعی): قلمرو این اختیار، «تعلیق موقتِ مصلحت‌سنجیده» را به‌صورت اصلی و اولی در بر می‌گیرد؛ «انباذ اعلام‌شده» (پایان‌دادن شفاف با رعایت آیین) و «عدول واکنشی» (در برابر نقض طرف مقابل با رعایت تناسب) را به‌صورت مشروط در بر می‌گیرد؛ و «غدر و پیمان‌شکنی پنهانی» را به‌هیچ‌وجه و در هیچ فرضی در بر نمی‌گیرد. همچنین این اختیار، مقید به «سقف» قواعد آمره حقوق بین‌الملل و احکام قطعی و ضروری شرع است و از آن فراتر نمی‌رود.</w:t>
      </w:r>
    </w:p>
    <w:p>
      <w:pPr>
        <w:pStyle w:val="TH-Body"/>
        <w:widowControl/>
        <w:bidi w:val="1"/>
        <w:spacing w:before="0" w:after="120" w:line="288" w:lineRule="auto"/>
        <w:jc w:val="both"/>
      </w:pPr>
      <w:r>
        <w:rPr>
          <w:rFonts w:ascii="B Lotus" w:hAnsi="B Lotus" w:cs="B Lotus" w:eastAsia="B Lotus"/>
          <w:b w:val="0"/>
          <w:i w:val="0"/>
          <w:sz w:val="28"/>
          <w:szCs w:val="28"/>
        </w:rPr>
        <w:t>گزاره سوم (قلمرو حالی و موضوعی): این اختیار، ناظر به «شرایط خاص» (تزاحم واقعی میان وفا و مصلحت اهم) است، نه شرایط عادی؛ و همه معاهدات را به یکسان در بر نمی‌گیرد، بلکه هرچه معاهده بنیادین‌تر و آثار عدول سنگین‌تر باشد، آستانه احراز مصلحت بالاتر می‌رود (اصل تناسب میان شدت عدول و درجه اطمینان).</w:t>
      </w:r>
    </w:p>
    <w:p>
      <w:pPr>
        <w:pStyle w:val="TH-Body"/>
        <w:widowControl/>
        <w:bidi w:val="1"/>
        <w:spacing w:before="0" w:after="120" w:line="288" w:lineRule="auto"/>
        <w:jc w:val="both"/>
      </w:pPr>
      <w:r>
        <w:rPr>
          <w:rFonts w:ascii="B Lotus" w:hAnsi="B Lotus" w:cs="B Lotus" w:eastAsia="B Lotus"/>
          <w:b w:val="0"/>
          <w:i w:val="0"/>
          <w:sz w:val="28"/>
          <w:szCs w:val="28"/>
        </w:rPr>
        <w:t>گزاره چهارم (ضوابط): اعمال این اختیار، منوط به ضوابط هشت‌گانه هم‌افزا است: احراز مصلحت واقعی و اهم؛ انتفای راه‌حل کم‌هزینه‌تر؛ تشخیص ولی فقیه با پشتوانه کارشناسی نهادها؛ تناسب میان شدت عدول و شدت مصلحت؛ موقت‌بودن تعلیق با افق روشن؛ اعلام و شفافیت (انباذ علی سواء)؛ عدم مخالفت با قواعد آمره و قطعیات؛ و پذیرش آثار و پیش‌بینی جبران. فقدان هر یک از این ضوابط، جواز را مخدوش می‌کند.</w:t>
      </w:r>
    </w:p>
    <w:p>
      <w:pPr>
        <w:pStyle w:val="TH-Body"/>
        <w:widowControl/>
        <w:bidi w:val="1"/>
        <w:spacing w:before="0" w:after="120" w:line="288" w:lineRule="auto"/>
        <w:jc w:val="both"/>
      </w:pPr>
      <w:r>
        <w:rPr>
          <w:rFonts w:ascii="B Lotus" w:hAnsi="B Lotus" w:cs="B Lotus" w:eastAsia="B Lotus"/>
          <w:b w:val="0"/>
          <w:i w:val="0"/>
          <w:sz w:val="28"/>
          <w:szCs w:val="28"/>
        </w:rPr>
        <w:t>گزاره پنجم (رابطه با وفا): رابطه این اختیار با اصل وجوب وفای به عهد، از نوع «تزاحم» است نه تعارض؛ یعنی در شرایط عادی، هر دو تکلیف (وفا و اداره مصلحتی نظام) با هم قابل امتثال‌اند و وفا، اصلِ حاکم است؛ و تنها در فرض تزاحم واقعی، مصلحت اهم مقدم می‌شود و وجوب وفا به‌طور موقت کنار می‌رود، بی‌آن‌که ساقط شود؛ و با رفع تزاحم، بازمی‌گردد.</w:t>
      </w:r>
    </w:p>
    <w:p>
      <w:pPr>
        <w:pStyle w:val="TH-Band"/>
        <w:widowControl/>
        <w:bidi w:val="1"/>
        <w:spacing w:before="200" w:after="120" w:line="288" w:lineRule="auto"/>
        <w:jc w:val="right"/>
      </w:pPr>
      <w:r>
        <w:rPr>
          <w:rFonts w:ascii="B Traffic" w:hAnsi="B Traffic" w:cs="B Traffic" w:eastAsia="B Traffic"/>
          <w:b/>
          <w:i w:val="0"/>
          <w:sz w:val="28"/>
          <w:szCs w:val="28"/>
        </w:rPr>
        <w:t>۲. پاسخ سؤال فرعی اول</w:t>
      </w:r>
    </w:p>
    <w:p>
      <w:pPr>
        <w:pStyle w:val="TH-Body"/>
        <w:widowControl/>
        <w:bidi w:val="1"/>
        <w:spacing w:before="0" w:after="120" w:line="288" w:lineRule="auto"/>
        <w:jc w:val="both"/>
      </w:pPr>
      <w:r>
        <w:rPr>
          <w:rFonts w:ascii="B Lotus" w:hAnsi="B Lotus" w:cs="B Lotus" w:eastAsia="B Lotus"/>
          <w:b w:val="0"/>
          <w:i w:val="0"/>
          <w:sz w:val="28"/>
          <w:szCs w:val="28"/>
        </w:rPr>
        <w:t>تصمیم ولی فقیه مبنی بر تعلیق یا نقض معاهده، در سطح بین‌المللی به دولت جمهوری اسلامی ایران «منتسب» می‌شود (ماده ۴ طرح مسئولیت و تکمله‌های آن، از جمله ماده ۷ درباره تجاوز از صلاحیت داخلی و ماده ۱۱ درباره تأیید بعدی) و در صورت عدم انطباق رفتار با تعهد، «نقض» محسوب می‌شود (ماده ۱۲ با ملاک عینی)؛ و هیچ‌یک از توجیهات داخلی ـ از جمله حکم حکومتی، مصلحت نظام، قانون اساسی و احکام شرع ـ در برابر طرف مقابل و مراجع بین‌المللی پذیرفته نیست (ماده ۲۷ کنوانسیون وین و ماده ۳۲ طرح مسئولیت). تنها در صورتی که رفتار دولت در قالب نهادهای موجه (تعلیق یا خاتمه موجه بر اساس مواد ۵۴ تا ۶۴ وین، یا اسباب رافع وصف متخلفانه مانند ضرورت، اقدام متقابل و فورس‌ماژور) بگنجد، مسئولیت منتفی می‌شود؛ و آستانه این نهادها ـ چنان‌که رویه دیوان نشان می‌دهد ـ بسیار بالاست و هر مصلحت فقهی، ضرورتِ به معنای ماده ۲۵ نیست. در غیر این صورت، آثار مسئولیت ـ توقف رفتار، تضمین عدم تکرار، و جبران کامل (اعاده وضع، غرامت، جلب رضایت) ـ بر دولت بار می‌شود. بنابراین، «جواز فقهی» تصمیم، «رافع مسئولیت بین‌المللی» نیست و حاکم عاقل و بصیر باید هزینه بین‌المللی را ـ با برآورد تقریبی ـ در محاسبه مصلحت لحاظ کند؛ و همین، مقتضای ضابطه هشتم (مسئولیت‌پذیری) است.</w:t>
      </w:r>
    </w:p>
    <w:p>
      <w:pPr>
        <w:pStyle w:val="TH-Band"/>
        <w:widowControl/>
        <w:bidi w:val="1"/>
        <w:spacing w:before="200" w:after="120" w:line="288" w:lineRule="auto"/>
        <w:jc w:val="right"/>
      </w:pPr>
      <w:r>
        <w:rPr>
          <w:rFonts w:ascii="B Traffic" w:hAnsi="B Traffic" w:cs="B Traffic" w:eastAsia="B Traffic"/>
          <w:b/>
          <w:i w:val="0"/>
          <w:sz w:val="28"/>
          <w:szCs w:val="28"/>
        </w:rPr>
        <w:t>۳. پاسخ سؤال فرعی دوم</w:t>
      </w:r>
    </w:p>
    <w:p>
      <w:pPr>
        <w:pStyle w:val="TH-Body"/>
        <w:widowControl/>
        <w:bidi w:val="1"/>
        <w:spacing w:before="0" w:after="120" w:line="288" w:lineRule="auto"/>
        <w:jc w:val="both"/>
      </w:pPr>
      <w:r>
        <w:rPr>
          <w:rFonts w:ascii="B Lotus" w:hAnsi="B Lotus" w:cs="B Lotus" w:eastAsia="B Lotus"/>
          <w:b w:val="0"/>
          <w:i w:val="0"/>
          <w:sz w:val="28"/>
          <w:szCs w:val="28"/>
        </w:rPr>
        <w:t>مصلحت نظام می‌تواند مجوز عدول از تعهدات بین‌المللی باشد، اما نه «هر مصلحتی»، بلکه تنها «مصلحت واقعی، اهم، نوعی و احرازشده»؛ و نه «به هر صورتی»، بلکه تنها در چارچوب ضوابط هشت‌گانه و در قالب حکم حکومتی. مرجع نهایی تشخیص این مصلحت، ولی فقیه است؛ اما تشخیص او باید مبتنی بر مشورت کارشناسی نهادهای تخصصی (مجمع تشخیص مصلحت نظام، شورای عالی امنیت ملی، وزارت امور خارجه و فقهای شورای نگهبان) باشد؛ به‌گونه‌ای که «تصمیم» واحد و «پشتوانه» جمعی باشد. معیار تشخیص، «اهم‌بودن عقلایی» مصلحتِ عدول نسبت به مصلحتِ وفا، با قابلیت استناد به قرائن و تصدیق عقلای خبره است. اختیار ناشی از مصلحت، «مقید» است نه مطلق و نه معدوم؛ سقف آن قواعد آمره و قطعیات است و کف آن، ضوابط هشت‌گانه است. و درباره درجه اطمینان لازم، «خوف عقلایی مستند به قرائن» ـ به مقتضای «تَخَافَنَّ» در آیه انباذ ـ کافی است و نیازی به وقوع بالفعل خسارت نیست، مشروط بر رعایت اصل «تناسب میان شدت عدول و درجه اطمینان».</w:t>
      </w:r>
    </w:p>
    <w:p>
      <w:pPr>
        <w:pStyle w:val="TH-Band"/>
        <w:widowControl/>
        <w:bidi w:val="1"/>
        <w:spacing w:before="200" w:after="120" w:line="288" w:lineRule="auto"/>
        <w:jc w:val="right"/>
      </w:pPr>
      <w:r>
        <w:rPr>
          <w:rFonts w:ascii="B Traffic" w:hAnsi="B Traffic" w:cs="B Traffic" w:eastAsia="B Traffic"/>
          <w:b/>
          <w:i w:val="0"/>
          <w:sz w:val="28"/>
          <w:szCs w:val="28"/>
        </w:rPr>
        <w:t>۴. یافته‌ها و نوآوری‌ها</w:t>
      </w:r>
    </w:p>
    <w:p>
      <w:pPr>
        <w:pStyle w:val="TH-Body"/>
        <w:widowControl/>
        <w:bidi w:val="1"/>
        <w:spacing w:before="0" w:after="120" w:line="288" w:lineRule="auto"/>
        <w:jc w:val="both"/>
      </w:pPr>
      <w:r>
        <w:rPr>
          <w:rFonts w:ascii="B Lotus" w:hAnsi="B Lotus" w:cs="B Lotus" w:eastAsia="B Lotus"/>
          <w:b w:val="0"/>
          <w:i w:val="0"/>
          <w:sz w:val="28"/>
          <w:szCs w:val="28"/>
        </w:rPr>
        <w:t>مهم‌ترین یافته‌ها و نوآوری‌های این پژوهش ـ که آن را از آثار پیشین متمایز می‌کند ـ عبارت‌اند از:</w:t>
      </w:r>
    </w:p>
    <w:p>
      <w:pPr>
        <w:pStyle w:val="TH-Body"/>
        <w:widowControl/>
        <w:bidi w:val="1"/>
        <w:spacing w:before="0" w:after="120" w:line="288" w:lineRule="auto"/>
        <w:jc w:val="both"/>
      </w:pPr>
      <w:r>
        <w:rPr>
          <w:rFonts w:ascii="B Lotus" w:hAnsi="B Lotus" w:cs="B Lotus" w:eastAsia="B Lotus"/>
          <w:b w:val="0"/>
          <w:i w:val="0"/>
          <w:sz w:val="28"/>
          <w:szCs w:val="28"/>
        </w:rPr>
        <w:t>یکم. اثبات «تزاحمی‌بودن» رابطه ادله وفا با ادله اختیار حاکم (در برابر فرضیه رایجِ تعارض) با چهار دلیل اصولی، و استخراج لوازم آن، به‌ویژه «موقت‌بودن» عدول و «بازگشت» تکلیف وفا با رفع تزاحم؛ و نقد منصفانه چهار تقریر رقیب (حکومت، تخصیص، تقیید و ورود).</w:t>
      </w:r>
    </w:p>
    <w:p>
      <w:pPr>
        <w:pStyle w:val="TH-Body"/>
        <w:widowControl/>
        <w:bidi w:val="1"/>
        <w:spacing w:before="0" w:after="120" w:line="288" w:lineRule="auto"/>
        <w:jc w:val="both"/>
      </w:pPr>
      <w:r>
        <w:rPr>
          <w:rFonts w:ascii="B Lotus" w:hAnsi="B Lotus" w:cs="B Lotus" w:eastAsia="B Lotus"/>
          <w:b w:val="0"/>
          <w:i w:val="0"/>
          <w:sz w:val="28"/>
          <w:szCs w:val="28"/>
        </w:rPr>
        <w:t>دوم. ارائه «طیف پنج‌مرحله‌ای شدت عدول» (از تعلیق جزئی تا غدر ممنوع) و اصل «تناسب میان شدت عدول و درجه اطمینان» که چارچوبی عملی و درجه‌بندی‌شده برای تصمیم‌گیران است.</w:t>
      </w:r>
    </w:p>
    <w:p>
      <w:pPr>
        <w:pStyle w:val="TH-Body"/>
        <w:widowControl/>
        <w:bidi w:val="1"/>
        <w:spacing w:before="0" w:after="120" w:line="288" w:lineRule="auto"/>
        <w:jc w:val="both"/>
      </w:pPr>
      <w:r>
        <w:rPr>
          <w:rFonts w:ascii="B Lotus" w:hAnsi="B Lotus" w:cs="B Lotus" w:eastAsia="B Lotus"/>
          <w:b w:val="0"/>
          <w:i w:val="0"/>
          <w:sz w:val="28"/>
          <w:szCs w:val="28"/>
        </w:rPr>
        <w:t>سوم. استخراج «ضوابط هشت‌گانه عدول» در سه دسته مبنا، مرجع و فرایند، و شکل و آثار، با تبیین مبنای فقهی ـ اصولیِ هر یک؛ مجموعه‌ای که برای نخستین‌بار در قالب یک نظام منسجم صورت‌بندی شده است.</w:t>
      </w:r>
    </w:p>
    <w:p>
      <w:pPr>
        <w:pStyle w:val="TH-Body"/>
        <w:widowControl/>
        <w:bidi w:val="1"/>
        <w:spacing w:before="0" w:after="120" w:line="288" w:lineRule="auto"/>
        <w:jc w:val="both"/>
      </w:pPr>
      <w:r>
        <w:rPr>
          <w:rFonts w:ascii="B Lotus" w:hAnsi="B Lotus" w:cs="B Lotus" w:eastAsia="B Lotus"/>
          <w:b w:val="0"/>
          <w:i w:val="0"/>
          <w:sz w:val="28"/>
          <w:szCs w:val="28"/>
        </w:rPr>
        <w:t>چهارم. صورت‌بندی «تفکیک سه‌گانه» جواز فقهی، مشروعیت داخلی و مسئولیت بین‌المللی، با تعیین مرجع داوری، معیار و پاسخ هر سطح؛ تفکیکی که خلط رایج و خطرناک میان این سه سطح را برطرف می‌کند.</w:t>
      </w:r>
    </w:p>
    <w:p>
      <w:pPr>
        <w:pStyle w:val="TH-Body"/>
        <w:widowControl/>
        <w:bidi w:val="1"/>
        <w:spacing w:before="0" w:after="120" w:line="288" w:lineRule="auto"/>
        <w:jc w:val="both"/>
      </w:pPr>
      <w:r>
        <w:rPr>
          <w:rFonts w:ascii="B Lotus" w:hAnsi="B Lotus" w:cs="B Lotus" w:eastAsia="B Lotus"/>
          <w:b w:val="0"/>
          <w:i w:val="0"/>
          <w:sz w:val="28"/>
          <w:szCs w:val="28"/>
        </w:rPr>
        <w:t>پنجم. نقد مستندِ پیش‌فرضِ «ذکر صریح اختیار معاهداتی رهبری در اصل ۱۱۰» با تکیه بر واقعیت متنی قانون اساسی، و ارائه «تفکیک چهارگانه» اختیار صریح، ضمنی، ولایی و حکومتی به‌عنوان راه میانه میان حصرگرایی و عدم حصرِ بی‌ضابطه؛ و تحلیل نسبت حکم حکومتی با قانون مصوب مجلس (تقدم تعلیقی و موقت، نه نسخ دائم).</w:t>
      </w:r>
    </w:p>
    <w:p>
      <w:pPr>
        <w:pStyle w:val="TH-Body"/>
        <w:widowControl/>
        <w:bidi w:val="1"/>
        <w:spacing w:before="0" w:after="120" w:line="288" w:lineRule="auto"/>
        <w:jc w:val="both"/>
      </w:pPr>
      <w:r>
        <w:rPr>
          <w:rFonts w:ascii="B Lotus" w:hAnsi="B Lotus" w:cs="B Lotus" w:eastAsia="B Lotus"/>
          <w:b w:val="0"/>
          <w:i w:val="0"/>
          <w:sz w:val="28"/>
          <w:szCs w:val="28"/>
        </w:rPr>
        <w:t>ششم. پیونددادن نهاد قرآنی «انباذ علی سواء» با آیین اطلاع‌رسانی کنوانسیون وین (مواد ۶۵ تا ۶۸) و استخراج ضابطه مشترک «اعلام و شفافیت» از هر دو نظام؛ و نشان‌دادن هم‌گرایی عقلانیت فقهی و عقلانیت حقوقی در این نقطه.</w:t>
      </w:r>
    </w:p>
    <w:p>
      <w:pPr>
        <w:pStyle w:val="TH-Body"/>
        <w:widowControl/>
        <w:bidi w:val="1"/>
        <w:spacing w:before="0" w:after="120" w:line="288" w:lineRule="auto"/>
        <w:jc w:val="both"/>
      </w:pPr>
      <w:r>
        <w:rPr>
          <w:rFonts w:ascii="B Lotus" w:hAnsi="B Lotus" w:cs="B Lotus" w:eastAsia="B Lotus"/>
          <w:b w:val="0"/>
          <w:i w:val="0"/>
          <w:sz w:val="28"/>
          <w:szCs w:val="28"/>
        </w:rPr>
        <w:t>هفتم. احیای «قول مشهور فقها در فسخ مصلحتی هدنه» به‌مثابه سابقه فقهی مستقیم مسئله و صورت‌بندی امروزین آن در قالب معاهدات مدرن؛ کاری که نشان می‌دهد نظریه این رساله، ریشه در سنت فقهی دارد، نه بدعتی بی‌سابقه.</w:t>
      </w:r>
    </w:p>
    <w:p>
      <w:pPr>
        <w:pStyle w:val="TH-Body"/>
        <w:widowControl/>
        <w:bidi w:val="1"/>
        <w:spacing w:before="0" w:after="120" w:line="288" w:lineRule="auto"/>
        <w:jc w:val="both"/>
      </w:pPr>
      <w:r>
        <w:rPr>
          <w:rFonts w:ascii="B Lotus" w:hAnsi="B Lotus" w:cs="B Lotus" w:eastAsia="B Lotus"/>
          <w:b w:val="0"/>
          <w:i w:val="0"/>
          <w:sz w:val="28"/>
          <w:szCs w:val="28"/>
        </w:rPr>
        <w:t>هشتم. ارائه «راهبردهای پنج‌گانه حقوقی کاهش مسئولیت» (حق شرط، اعلامیه تفسیری، شرط‌گذاری، تعلیق توافقی، مستندسازی) که پیوند میان نظر و عمل را برقرار می‌کند و رساله را از سطح تحلیل نظری به سطح راهنمای عملی ارتقا می‌دهد.</w:t>
      </w:r>
    </w:p>
    <w:p>
      <w:pPr>
        <w:pStyle w:val="TH-Band"/>
        <w:widowControl/>
        <w:bidi w:val="1"/>
        <w:spacing w:before="200" w:after="120" w:line="288" w:lineRule="auto"/>
        <w:jc w:val="right"/>
      </w:pPr>
      <w:r>
        <w:rPr>
          <w:rFonts w:ascii="B Traffic" w:hAnsi="B Traffic" w:cs="B Traffic" w:eastAsia="B Traffic"/>
          <w:b/>
          <w:i w:val="0"/>
          <w:sz w:val="28"/>
          <w:szCs w:val="28"/>
        </w:rPr>
        <w:t>۵. پیشنهادها</w:t>
      </w:r>
    </w:p>
    <w:p>
      <w:pPr>
        <w:pStyle w:val="TH-Body"/>
        <w:widowControl/>
        <w:bidi w:val="1"/>
        <w:spacing w:before="0" w:after="120" w:line="288" w:lineRule="auto"/>
        <w:jc w:val="both"/>
      </w:pPr>
      <w:r>
        <w:rPr>
          <w:rFonts w:ascii="B Lotus" w:hAnsi="B Lotus" w:cs="B Lotus" w:eastAsia="B Lotus"/>
          <w:b w:val="0"/>
          <w:i w:val="0"/>
          <w:sz w:val="28"/>
          <w:szCs w:val="28"/>
        </w:rPr>
        <w:t>در پایان، چند پیشنهاد برای پژوهش‌های آینده و برای عمل ارائه می‌شود:</w:t>
      </w:r>
    </w:p>
    <w:p>
      <w:pPr>
        <w:pStyle w:val="TH-Body"/>
        <w:widowControl/>
        <w:bidi w:val="1"/>
        <w:spacing w:before="0" w:after="120" w:line="288" w:lineRule="auto"/>
        <w:jc w:val="both"/>
      </w:pPr>
      <w:r>
        <w:rPr>
          <w:rFonts w:ascii="B Lotus" w:hAnsi="B Lotus" w:cs="B Lotus" w:eastAsia="B Lotus"/>
          <w:b w:val="0"/>
          <w:i w:val="0"/>
          <w:sz w:val="28"/>
          <w:szCs w:val="28"/>
        </w:rPr>
        <w:t>پیشنهاد یکم (پژوهشی): بررسی تطبیقی تفصیلی مسئله در فقه عامه (به‌ویژه آرای مذاهب چهارگانه درباره صلح، هدنه و مصلحت مرسله) و مقایسه نظام‌مند آن با یافته‌های این رساله در قالب پژوهشی مستقل.</w:t>
      </w:r>
    </w:p>
    <w:p>
      <w:pPr>
        <w:pStyle w:val="TH-Body"/>
        <w:widowControl/>
        <w:bidi w:val="1"/>
        <w:spacing w:before="0" w:after="120" w:line="288" w:lineRule="auto"/>
        <w:jc w:val="both"/>
      </w:pPr>
      <w:r>
        <w:rPr>
          <w:rFonts w:ascii="B Lotus" w:hAnsi="B Lotus" w:cs="B Lotus" w:eastAsia="B Lotus"/>
          <w:b w:val="0"/>
          <w:i w:val="0"/>
          <w:sz w:val="28"/>
          <w:szCs w:val="28"/>
        </w:rPr>
        <w:t>پیشنهاد دوم (پژوهشی): گردآوری و تحلیل «رویه عملی» جمهوری اسلامی ایران در تعلیق، خاتمه و خروج از معاهدات (از جمله تجربه برجام و قراردادهای بزرگ) در قالب پژوهشی میدانی ـ اسنادی با مصاحبه با دست‌اندرکاران.</w:t>
      </w:r>
    </w:p>
    <w:p>
      <w:pPr>
        <w:pStyle w:val="TH-Body"/>
        <w:widowControl/>
        <w:bidi w:val="1"/>
        <w:spacing w:before="0" w:after="120" w:line="288" w:lineRule="auto"/>
        <w:jc w:val="both"/>
      </w:pPr>
      <w:r>
        <w:rPr>
          <w:rFonts w:ascii="B Lotus" w:hAnsi="B Lotus" w:cs="B Lotus" w:eastAsia="B Lotus"/>
          <w:b w:val="0"/>
          <w:i w:val="0"/>
          <w:sz w:val="28"/>
          <w:szCs w:val="28"/>
        </w:rPr>
        <w:t>پیشنهاد سوم (پژوهشی): بررسی تفصیلی نسبت «حکم حکومتی» با «قانون عادیِ تصویب‌کننده معاهده» در سلسله‌مراتب هنجارهای نظام حقوقی ایران، با مطالعه نظریات تفسیری شورای نگهبان و رویه مجلس.</w:t>
      </w:r>
    </w:p>
    <w:p>
      <w:pPr>
        <w:pStyle w:val="TH-Body"/>
        <w:widowControl/>
        <w:bidi w:val="1"/>
        <w:spacing w:before="0" w:after="120" w:line="288" w:lineRule="auto"/>
        <w:jc w:val="both"/>
      </w:pPr>
      <w:r>
        <w:rPr>
          <w:rFonts w:ascii="B Lotus" w:hAnsi="B Lotus" w:cs="B Lotus" w:eastAsia="B Lotus"/>
          <w:b w:val="0"/>
          <w:i w:val="0"/>
          <w:sz w:val="28"/>
          <w:szCs w:val="28"/>
        </w:rPr>
        <w:t>پیشنهاد چهارم (پژوهشی): بررسی مسئله مشابه در سطح سازمان‌های بین‌المللی (عضویت، تعلیق عضویت و خروج از سازمان‌ها) و تطبیق چارچوب این رساله بر آن حوزه.</w:t>
      </w:r>
    </w:p>
    <w:p>
      <w:pPr>
        <w:pStyle w:val="TH-Body"/>
        <w:widowControl/>
        <w:bidi w:val="1"/>
        <w:spacing w:before="0" w:after="120" w:line="288" w:lineRule="auto"/>
        <w:jc w:val="both"/>
      </w:pPr>
      <w:r>
        <w:rPr>
          <w:rFonts w:ascii="B Lotus" w:hAnsi="B Lotus" w:cs="B Lotus" w:eastAsia="B Lotus"/>
          <w:b w:val="0"/>
          <w:i w:val="0"/>
          <w:sz w:val="28"/>
          <w:szCs w:val="28"/>
        </w:rPr>
        <w:t>پیشنهاد پنجم (عملی): تدوین «دستورالعمل راهبردی مدیریت تعهدات بین‌المللی» بر اساس ضوابط هشت‌گانه این رساله، برای استفاده نهادهای تصمیم‌گیر (دفتر مقام معظم رهبری، شورای عالی امنیت ملی و وزارت امور خارجه).</w:t>
      </w:r>
    </w:p>
    <w:p>
      <w:pPr>
        <w:pStyle w:val="TH-Body"/>
        <w:widowControl/>
        <w:bidi w:val="1"/>
        <w:spacing w:before="0" w:after="120" w:line="288" w:lineRule="auto"/>
        <w:jc w:val="both"/>
      </w:pPr>
      <w:r>
        <w:rPr>
          <w:rFonts w:ascii="B Lotus" w:hAnsi="B Lotus" w:cs="B Lotus" w:eastAsia="B Lotus"/>
          <w:b w:val="0"/>
          <w:i w:val="0"/>
          <w:sz w:val="28"/>
          <w:szCs w:val="28"/>
        </w:rPr>
        <w:t>پیشنهاد ششم (عملی): گنجاندن «شرط بازنگری دوره‌ای» و «سازوکار حل اختلاف» در همه معاهدات آتی دولت ایران، تا نیاز به عدول فوق‌العاده به حداقل برسد (مقتضای ضابطه دوم و راهبرد سوم).</w:t>
      </w:r>
    </w:p>
    <w:p>
      <w:pPr>
        <w:pStyle w:val="TH-Body"/>
        <w:widowControl/>
        <w:bidi w:val="1"/>
        <w:spacing w:before="0" w:after="120" w:line="288" w:lineRule="auto"/>
        <w:jc w:val="both"/>
      </w:pPr>
      <w:r>
        <w:rPr>
          <w:rFonts w:ascii="B Lotus" w:hAnsi="B Lotus" w:cs="B Lotus" w:eastAsia="B Lotus"/>
          <w:b w:val="0"/>
          <w:i w:val="0"/>
          <w:sz w:val="28"/>
          <w:szCs w:val="28"/>
        </w:rPr>
        <w:t>و در پایان، نگارنده اذعان می‌کند که این رساله ـ با همه تلاشی که برای اتقان آن شده ـ گامی نخستین در مسئله‌ای پیچیده، چندلایه و میان‌رشته‌ای است؛ و از همه اساتید، داوران و خوانندگان ارجمند، تذکرات اصلاحی و تکمیلی را با سپاس و فروتنی می‌پذیرد؛ به این امید که در ویراست‌های بعدی ـ اگر این اثر به زیور طبع آراسته شود ـ به کمال نزدیک‌تر گردد. «وَمَا تَوْفِیقِی إِلَّا بِاللَّهِ عَلَیْهِ تَوَکَّلْتُ وَإِلَیْهِ أُنِیبُ» (هود، ۸۸).</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فهرست منابع</w:t>
      </w:r>
    </w:p>
    <w:p>
      <w:pPr>
        <w:pStyle w:val="TH-Goftar"/>
        <w:widowControl/>
        <w:bidi w:val="1"/>
        <w:spacing w:before="200" w:after="120" w:line="288" w:lineRule="auto"/>
        <w:jc w:val="right"/>
      </w:pPr>
      <w:r>
        <w:rPr>
          <w:rFonts w:ascii="B Titr" w:hAnsi="B Titr" w:cs="B Titr" w:eastAsia="B Titr"/>
          <w:b/>
          <w:i w:val="0"/>
          <w:sz w:val="32"/>
          <w:szCs w:val="32"/>
        </w:rPr>
        <w:t>۱. قرآن کریم و منابع حدیثی و تفسیری</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قرآن کریم.</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نهج‌البلاغه (گردآوری: سید رضی، محمد بن حسین).</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حرّ عاملی، محمد بن حسن، وسائل‌الشیعة إلی تحصیل مسائل الشریعة.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کلینی، محمد بن یعقوب، الکافی.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طوسی، محمد بن حسن، تهذیب‌الاحکام.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طوسی، محمد بن حسن، الاستبصار فیما اختلف من الأخبار.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صدوق، محمد بن علی بن بابویه، من لایحضره الفقیه.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صدوق، محمد بن علی بن بابویه، کمال‌الدین و تمام‌النعمة.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طبرسی، احمد بن علی، الاحتجاج علی أهل اللجاج.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طبرسی، فضل بن حسن، مجمع‌البیان فی تفسیر القرآن.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طباطبایی، سیدمحمدحسین، المیزان فی تفسیر القرآن. (مشخصات چاپی: نیازمند تطبیق با نسخه موجود)</w:t>
      </w:r>
    </w:p>
    <w:p>
      <w:pPr>
        <w:pStyle w:val="TH-Goftar"/>
        <w:widowControl/>
        <w:bidi w:val="1"/>
        <w:spacing w:before="200" w:after="120" w:line="288" w:lineRule="auto"/>
        <w:jc w:val="right"/>
      </w:pPr>
      <w:r>
        <w:rPr>
          <w:rFonts w:ascii="B Titr" w:hAnsi="B Titr" w:cs="B Titr" w:eastAsia="B Titr"/>
          <w:b/>
          <w:i w:val="0"/>
          <w:sz w:val="32"/>
          <w:szCs w:val="32"/>
        </w:rPr>
        <w:t>۲. کتب لغت عربی</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جوهری، اسماعیل بن حماد، الصحاح (تاج اللغة و صحاح العربیة).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ابن‌منظور، محمد بن مکرم، لسان‌العرب.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راغب اصفهانی، حسین بن محمد، مفردات ألفاظ القرآن.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فیومی، احمد بن محمد، المصباح المنیر.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طریحی، فخرالدین، مجمع‌البحرین. (مشخصات چاپی: نیازمند تطبیق با نسخه موجود)</w:t>
      </w:r>
    </w:p>
    <w:p>
      <w:pPr>
        <w:pStyle w:val="TH-Goftar"/>
        <w:widowControl/>
        <w:bidi w:val="1"/>
        <w:spacing w:before="200" w:after="120" w:line="288" w:lineRule="auto"/>
        <w:jc w:val="right"/>
      </w:pPr>
      <w:r>
        <w:rPr>
          <w:rFonts w:ascii="B Titr" w:hAnsi="B Titr" w:cs="B Titr" w:eastAsia="B Titr"/>
          <w:b/>
          <w:i w:val="0"/>
          <w:sz w:val="32"/>
          <w:szCs w:val="32"/>
        </w:rPr>
        <w:t>۳. کتب فقهی</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طوسی، محمد بن حسن، المبسوط فی فقه الإمامیة.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محقق حلی، جعفر بن حسن، شرائع‌الاسلام فی مسائل الحلال و الحرام.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علامه حلی، حسن بن یوسف، تذکرة‌الفقهاء.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شهید ثانی، زین‌الدین بن علی، مسالک‌الافهام إلی تنقیح شرائع‌الاسلام.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نجفی، محمدحسن، جواهرالکلام فی شرح شرائع‌الاسلام.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انصاری، مرتضی، المکاسب.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خویی، سیدابوالقاسم، مصباح‌الفقاهة.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امام خمینی، سیدروح‌الله، کتاب‌البیع.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امام خمینی، سیدروح‌الله، تحریرالوسیلة.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امام خمینی، سیدروح‌الله، صحیفه امام (مجموعه آثار). (مشخصات چاپی: نیازمند تطبیق با نسخه موجود)</w:t>
      </w:r>
    </w:p>
    <w:p>
      <w:pPr>
        <w:pStyle w:val="TH-Goftar"/>
        <w:widowControl/>
        <w:bidi w:val="1"/>
        <w:spacing w:before="200" w:after="120" w:line="288" w:lineRule="auto"/>
        <w:jc w:val="right"/>
      </w:pPr>
      <w:r>
        <w:rPr>
          <w:rFonts w:ascii="B Titr" w:hAnsi="B Titr" w:cs="B Titr" w:eastAsia="B Titr"/>
          <w:b/>
          <w:i w:val="0"/>
          <w:sz w:val="32"/>
          <w:szCs w:val="32"/>
        </w:rPr>
        <w:t>۴. کتب اصولی</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آخوند خراسانی، محمدکاظم، کفایة‌الاصول.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انصاری، مرتضی، فرائدالاصول (الرسائل).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نائینی، محمدحسین (تقریر: کاظمی خراسانی، محمدعلی)، فوائدالاصول. (مشخصات چاپی: نیازمند تطبیق با نسخه موجود)</w:t>
      </w:r>
    </w:p>
    <w:p>
      <w:pPr>
        <w:pStyle w:val="TH-Goftar"/>
        <w:widowControl/>
        <w:bidi w:val="1"/>
        <w:spacing w:before="200" w:after="120" w:line="288" w:lineRule="auto"/>
        <w:jc w:val="right"/>
      </w:pPr>
      <w:r>
        <w:rPr>
          <w:rFonts w:ascii="B Titr" w:hAnsi="B Titr" w:cs="B Titr" w:eastAsia="B Titr"/>
          <w:b/>
          <w:i w:val="0"/>
          <w:sz w:val="32"/>
          <w:szCs w:val="32"/>
        </w:rPr>
        <w:t>۵. کتب فقه سیاسی، اندیشه سیاسی اسلام و سیره</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نائینی، محمدحسین، تنبیه‌الامة و تنزیه‌الملّة.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امام خمینی، سیدروح‌الله، ولایت فقیه (تقریر درس).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مطهری، مرتضی، ولاءها و ولایت‌ها.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عمید زنجانی، عباسعلی، فقه سیاسی.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ابن‌هشام، عبدالملک، السیرة النبویة.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طبری، محمد بن جریر، تاریخ الأمم و الملوک (تاریخ طبری). (مشخصات چاپی: نیازمند تطبیق با نسخه موجود)</w:t>
      </w:r>
    </w:p>
    <w:p>
      <w:pPr>
        <w:pStyle w:val="TH-Goftar"/>
        <w:widowControl/>
        <w:bidi w:val="1"/>
        <w:spacing w:before="200" w:after="120" w:line="288" w:lineRule="auto"/>
        <w:jc w:val="right"/>
      </w:pPr>
      <w:r>
        <w:rPr>
          <w:rFonts w:ascii="B Titr" w:hAnsi="B Titr" w:cs="B Titr" w:eastAsia="B Titr"/>
          <w:b/>
          <w:i w:val="0"/>
          <w:sz w:val="32"/>
          <w:szCs w:val="32"/>
        </w:rPr>
        <w:t>۶. کتب حقوق اساسی و حقوق بین‌الملل</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قاضی شریعت‌پناهی، سیدابوالفضل، حقوق اساسی و نهادهای سیاسی.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هاشمی، سیدمحمد، حقوق اساسی جمهوری اسلامی ایران (دو جلد). (مشخصات چاپی: نیازمند تطبیق با نسخه موجود)</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ضیایی بیگدلی، محمدرضا، حقوق بین‌الملل عمومی. (مشخصات چاپی: نیازمند تطبیق با نسخه موجود)</w:t>
      </w:r>
    </w:p>
    <w:p>
      <w:pPr>
        <w:pStyle w:val="TH-Goftar"/>
        <w:widowControl/>
        <w:bidi w:val="1"/>
        <w:spacing w:before="200" w:after="120" w:line="288" w:lineRule="auto"/>
        <w:jc w:val="right"/>
      </w:pPr>
      <w:r>
        <w:rPr>
          <w:rFonts w:ascii="B Titr" w:hAnsi="B Titr" w:cs="B Titr" w:eastAsia="B Titr"/>
          <w:b/>
          <w:i w:val="0"/>
          <w:sz w:val="32"/>
          <w:szCs w:val="32"/>
        </w:rPr>
        <w:t>۷. مقالات و منابع اینترنتی</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«قراردادهای بین‌المللی در اسلام»، پرتال جامع علوم انسانی، به نشانی: https://ensani.ir/fa/article/66940 (بازیابی: ۳۰ شهریور ۱۴۰۵).</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«حق شرط در معاهدات بین‌المللی (۱)»، پایگاه اطلاع‌رسانی حوزه، به نشانی: https://hawzah.net/fa/Article/View/79856 (بازیابی: ۳۰ شهریور ۱۴۰۵).</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«ولایت مطلقه فقیه در قانون اساسی»، پایگاه اطلاع‌رسانی حوزه، به نشانی: https://hawzah.net/fa/Article/View/5323 (بازیابی: ۳۰ شهریور ۱۴۰۵).</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«مفهوم ولایت مطلقه فقیه در قانون اساسی جمهوری اسلامی ایران»، پایگاه اطلاع‌رسانی حوزه، به نشانی: https://hawzah.net/fa/Article/View/95815 (بازیابی: ۳۰ شهریور ۱۴۰۵).</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«نقد و بررسی تفسیر شورای نگهبان از اصل ۷۷ و ۱۲۵ قانون اساسی»، پایگاه کانون سردفتران و دفتریاران، به نشانی: https://www.notary.ir/content/129237 (بازیابی: ۳۰ شهریور ۱۴۰۵).</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«وفای به عهد در نهج‌البلاغه»، امامت‌پدیا (دانشنامه امامت و ولایت)، به نشانی: https://fa.imamatpedia.com/wiki/وفای_به_عهد_در_نهج_البلاغه (بازیابی: ۳۰ شهریور ۱۴۰۵).</w:t>
      </w:r>
    </w:p>
    <w:p>
      <w:pPr>
        <w:pStyle w:val="TH-Goftar"/>
        <w:widowControl/>
        <w:bidi w:val="1"/>
        <w:spacing w:before="200" w:after="120" w:line="288" w:lineRule="auto"/>
        <w:jc w:val="right"/>
      </w:pPr>
      <w:r>
        <w:rPr>
          <w:rFonts w:ascii="B Titr" w:hAnsi="B Titr" w:cs="B Titr" w:eastAsia="B Titr"/>
          <w:b/>
          <w:i w:val="0"/>
          <w:sz w:val="32"/>
          <w:szCs w:val="32"/>
        </w:rPr>
        <w:t>۸. اسناد، قوانین و آرای بین‌المللی</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قانون اساسی جمهوری اسلامی ایران (مصوب ۱۳۵۸، بازنگری ۱۳۶۸)، اصول ۵، ۵۷، ۷۷، ۹۴، ۹۸، ۱۱۰، ۱۱۲، ۱۲۵، ۱۵۲ تا ۱۵۴ و ۱۷۶.</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کنوانسیون وین حقوق معاهدات (۱۹۶۹ میلادی، لازم‌الاجرا ۱۹۸۰).</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طرح مواد کمیسیون حقوق بین‌الملل درباره مسئولیت بین‌المللی دولت‌ها (۲۰۰۱ میلادی).</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منشور سازمان ملل متحد (۱۹۴۵ میلادی).</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اساسنامه دیوان بین‌المللی دادگستری (۱۹۴۵ میلادی).</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قطعنامه ۲۲۳۱ شورای امنیت سازمان ملل متحد (۲۰۱۵ میلادی).</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برنامه جامع اقدام مشترک (برجام) (۲۰۱۵ میلادی).</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رأی دیوان بین‌المللی دادگستری در قضیه کارکنان دیپلماتیک و کنسولی ایالات متحده در تهران (۱۹۸۰).</w:t>
      </w:r>
    </w:p>
    <w:p>
      <w:pPr>
        <w:pStyle w:val="TH-Body"/>
        <w:widowControl/>
        <w:bidi w:val="1"/>
        <w:spacing w:before="0" w:after="80" w:line="288"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رأی دیوان بین‌المللی دادگستری در قضیه گابچیکوو ـ ناگیماروش (۱۹۹۷).</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پیوست‌ها</w:t>
      </w:r>
    </w:p>
    <w:p>
      <w:pPr>
        <w:pStyle w:val="TH-Goftar"/>
        <w:widowControl/>
        <w:bidi w:val="1"/>
        <w:spacing w:before="200" w:after="120" w:line="288" w:lineRule="auto"/>
        <w:jc w:val="right"/>
      </w:pPr>
      <w:r>
        <w:rPr>
          <w:rFonts w:ascii="B Titr" w:hAnsi="B Titr" w:cs="B Titr" w:eastAsia="B Titr"/>
          <w:b/>
          <w:i w:val="0"/>
          <w:sz w:val="32"/>
          <w:szCs w:val="32"/>
        </w:rPr>
        <w:t>پیوست ۱: شرح مواد کنوانسیون وین مورد استناد در این رساله</w:t>
      </w:r>
    </w:p>
    <w:p>
      <w:pPr>
        <w:pStyle w:val="TH-Body"/>
        <w:widowControl/>
        <w:bidi w:val="1"/>
        <w:spacing w:before="0" w:after="120" w:line="288" w:lineRule="auto"/>
        <w:jc w:val="both"/>
      </w:pPr>
      <w:r>
        <w:rPr>
          <w:rFonts w:ascii="B Lotus" w:hAnsi="B Lotus" w:cs="B Lotus" w:eastAsia="B Lotus"/>
          <w:b w:val="0"/>
          <w:i w:val="0"/>
          <w:sz w:val="28"/>
          <w:szCs w:val="28"/>
        </w:rPr>
        <w:t>ماده ۲ (تعریف معاهده): توافق بین‌المللی کتبی میان دولت‌ها که تابع حقوق بین‌الملل باشد، با هر عنوانی؛ مبنای مفهوم‌شناسی «معاهده» در فصل اول.</w:t>
      </w:r>
    </w:p>
    <w:p>
      <w:pPr>
        <w:pStyle w:val="TH-Body"/>
        <w:widowControl/>
        <w:bidi w:val="1"/>
        <w:spacing w:before="0" w:after="120" w:line="288" w:lineRule="auto"/>
        <w:jc w:val="both"/>
      </w:pPr>
      <w:r>
        <w:rPr>
          <w:rFonts w:ascii="B Lotus" w:hAnsi="B Lotus" w:cs="B Lotus" w:eastAsia="B Lotus"/>
          <w:b w:val="0"/>
          <w:i w:val="0"/>
          <w:sz w:val="28"/>
          <w:szCs w:val="28"/>
        </w:rPr>
        <w:t>ماده ۲۶ (اصل وفای به عهد): هر معاهده لازم‌الاجرایی اطراف خود را ملزم می‌کند و باید با حسن نیت اجرا شود؛ اصل بنیادین در برابر استثناها (فصل دوم).</w:t>
      </w:r>
    </w:p>
    <w:p>
      <w:pPr>
        <w:pStyle w:val="TH-Body"/>
        <w:widowControl/>
        <w:bidi w:val="1"/>
        <w:spacing w:before="0" w:after="120" w:line="288" w:lineRule="auto"/>
        <w:jc w:val="both"/>
      </w:pPr>
      <w:r>
        <w:rPr>
          <w:rFonts w:ascii="B Lotus" w:hAnsi="B Lotus" w:cs="B Lotus" w:eastAsia="B Lotus"/>
          <w:b w:val="0"/>
          <w:i w:val="0"/>
          <w:sz w:val="28"/>
          <w:szCs w:val="28"/>
        </w:rPr>
        <w:t>ماده ۲۷ (عدم پذیرش استناد به حقوق داخلی): هیچ طرفی نمی‌تواند عدم اجرای معاهده را با حقوق داخلی خود توجیه کند؛ بنیاد تفکیک سطوح و بحث مسئولیت (فصل پنجم).</w:t>
      </w:r>
    </w:p>
    <w:p>
      <w:pPr>
        <w:pStyle w:val="TH-Body"/>
        <w:widowControl/>
        <w:bidi w:val="1"/>
        <w:spacing w:before="0" w:after="120" w:line="288" w:lineRule="auto"/>
        <w:jc w:val="both"/>
      </w:pPr>
      <w:r>
        <w:rPr>
          <w:rFonts w:ascii="B Lotus" w:hAnsi="B Lotus" w:cs="B Lotus" w:eastAsia="B Lotus"/>
          <w:b w:val="0"/>
          <w:i w:val="0"/>
          <w:sz w:val="28"/>
          <w:szCs w:val="28"/>
        </w:rPr>
        <w:t>ماده ۴۶ (نقض آشکار قاعده بنیادین داخلی): استثنای محدود و ناظر به مرحله انعقاد، نه اجرا (فصل دوم).</w:t>
      </w:r>
    </w:p>
    <w:p>
      <w:pPr>
        <w:pStyle w:val="TH-Body"/>
        <w:widowControl/>
        <w:bidi w:val="1"/>
        <w:spacing w:before="0" w:after="120" w:line="288" w:lineRule="auto"/>
        <w:jc w:val="both"/>
      </w:pPr>
      <w:r>
        <w:rPr>
          <w:rFonts w:ascii="B Lotus" w:hAnsi="B Lotus" w:cs="B Lotus" w:eastAsia="B Lotus"/>
          <w:b w:val="0"/>
          <w:i w:val="0"/>
          <w:sz w:val="28"/>
          <w:szCs w:val="28"/>
        </w:rPr>
        <w:t>ماده ۵۳ (بطلان معاهده متعارض با قاعده آمره): سقف نظام معاهدات؛ مبنای بین‌المللی ضابطه هفتم (فصل چهارم).</w:t>
      </w:r>
    </w:p>
    <w:p>
      <w:pPr>
        <w:pStyle w:val="TH-Body"/>
        <w:widowControl/>
        <w:bidi w:val="1"/>
        <w:spacing w:before="0" w:after="120" w:line="288" w:lineRule="auto"/>
        <w:jc w:val="both"/>
      </w:pPr>
      <w:r>
        <w:rPr>
          <w:rFonts w:ascii="B Lotus" w:hAnsi="B Lotus" w:cs="B Lotus" w:eastAsia="B Lotus"/>
          <w:b w:val="0"/>
          <w:i w:val="0"/>
          <w:sz w:val="28"/>
          <w:szCs w:val="28"/>
        </w:rPr>
        <w:t>مواد ۵۴ تا ۵۹ (خاتمه و تعلیق توافقی و شرطی): راه‌حل‌های مقدم بر عدول یک‌جانبه؛ مبنای ضابطه دوم (تقدم راه توافقی).</w:t>
      </w:r>
    </w:p>
    <w:p>
      <w:pPr>
        <w:pStyle w:val="TH-Body"/>
        <w:widowControl/>
        <w:bidi w:val="1"/>
        <w:spacing w:before="0" w:after="120" w:line="288" w:lineRule="auto"/>
        <w:jc w:val="both"/>
      </w:pPr>
      <w:r>
        <w:rPr>
          <w:rFonts w:ascii="B Lotus" w:hAnsi="B Lotus" w:cs="B Lotus" w:eastAsia="B Lotus"/>
          <w:b w:val="0"/>
          <w:i w:val="0"/>
          <w:sz w:val="28"/>
          <w:szCs w:val="28"/>
        </w:rPr>
        <w:t>ماده ۶۰ (نقض اساسی و حق واکنش): در برابر نقض اساسی طرف مقابل، می‌توان اجرا را تعلیق کرد یا معاهده را خاتمه داد؛ پشتوانه «عدول واکنشی» (فصل پنجم).</w:t>
      </w:r>
    </w:p>
    <w:p>
      <w:pPr>
        <w:pStyle w:val="TH-Body"/>
        <w:widowControl/>
        <w:bidi w:val="1"/>
        <w:spacing w:before="0" w:after="120" w:line="288" w:lineRule="auto"/>
        <w:jc w:val="both"/>
      </w:pPr>
      <w:r>
        <w:rPr>
          <w:rFonts w:ascii="B Lotus" w:hAnsi="B Lotus" w:cs="B Lotus" w:eastAsia="B Lotus"/>
          <w:b w:val="0"/>
          <w:i w:val="0"/>
          <w:sz w:val="28"/>
          <w:szCs w:val="28"/>
        </w:rPr>
        <w:t>ماده ۶۱ (عدم امکان اجرا): با از بین رفتن دائمی و عینی موضوع معاهده؛ سببی مضیق (فصل دوم).</w:t>
      </w:r>
    </w:p>
    <w:p>
      <w:pPr>
        <w:pStyle w:val="TH-Body"/>
        <w:widowControl/>
        <w:bidi w:val="1"/>
        <w:spacing w:before="0" w:after="120" w:line="288" w:lineRule="auto"/>
        <w:jc w:val="both"/>
      </w:pPr>
      <w:r>
        <w:rPr>
          <w:rFonts w:ascii="B Lotus" w:hAnsi="B Lotus" w:cs="B Lotus" w:eastAsia="B Lotus"/>
          <w:b w:val="0"/>
          <w:i w:val="0"/>
          <w:sz w:val="28"/>
          <w:szCs w:val="28"/>
        </w:rPr>
        <w:t>ماده ۶۲ (تغییر بنیادین اوضاع و احوال): با شرایط بسیار سخت‌گیرانه و تفسیر مضیق دیوان در قضیه گابچیکوو؛ سببی استثنایی (فصل دوم).</w:t>
      </w:r>
    </w:p>
    <w:p>
      <w:pPr>
        <w:pStyle w:val="TH-Body"/>
        <w:widowControl/>
        <w:bidi w:val="1"/>
        <w:spacing w:before="0" w:after="120" w:line="288" w:lineRule="auto"/>
        <w:jc w:val="both"/>
      </w:pPr>
      <w:r>
        <w:rPr>
          <w:rFonts w:ascii="B Lotus" w:hAnsi="B Lotus" w:cs="B Lotus" w:eastAsia="B Lotus"/>
          <w:b w:val="0"/>
          <w:i w:val="0"/>
          <w:sz w:val="28"/>
          <w:szCs w:val="28"/>
        </w:rPr>
        <w:t>ماده ۶۴ (پیدایش قاعده آمره جدید): خاتمه معاهده متعارض موجود؛ تکمیل سقف آمره (فصل دوم).</w:t>
      </w:r>
    </w:p>
    <w:p>
      <w:pPr>
        <w:pStyle w:val="TH-Body"/>
        <w:widowControl/>
        <w:bidi w:val="1"/>
        <w:spacing w:before="0" w:after="120" w:line="288" w:lineRule="auto"/>
        <w:jc w:val="both"/>
      </w:pPr>
      <w:r>
        <w:rPr>
          <w:rFonts w:ascii="B Lotus" w:hAnsi="B Lotus" w:cs="B Lotus" w:eastAsia="B Lotus"/>
          <w:b w:val="0"/>
          <w:i w:val="0"/>
          <w:sz w:val="28"/>
          <w:szCs w:val="28"/>
        </w:rPr>
        <w:t>مواد ۶۵ تا ۶۸ (آیین اطلاع‌رسانی و مهلت): اطلاع کتبی و مستدل، مهلت دست‌کم سه ماه، و حل‌وفصل اختلاف در صورت اعتراض؛ مبنای حقوقی ضابطه «اعلام و شفافیت» (فصل چهارم).</w:t>
      </w:r>
    </w:p>
    <w:p>
      <w:pPr>
        <w:pStyle w:val="TH-Body"/>
        <w:widowControl/>
        <w:bidi w:val="1"/>
        <w:spacing w:before="0" w:after="120" w:line="288" w:lineRule="auto"/>
        <w:jc w:val="both"/>
      </w:pPr>
      <w:r>
        <w:rPr>
          <w:rFonts w:ascii="B Lotus" w:hAnsi="B Lotus" w:cs="B Lotus" w:eastAsia="B Lotus"/>
          <w:b w:val="0"/>
          <w:i w:val="0"/>
          <w:sz w:val="28"/>
          <w:szCs w:val="28"/>
        </w:rPr>
        <w:t>ماده ۷۰ (آثار خاتمه): معافیت از اجرای آتی با بقای حقوق و وضعیت‌های پیشین (فصل پنجم).</w:t>
      </w:r>
    </w:p>
    <w:p>
      <w:pPr>
        <w:pStyle w:val="TH-Body"/>
        <w:widowControl/>
        <w:bidi w:val="1"/>
        <w:spacing w:before="0" w:after="120" w:line="288" w:lineRule="auto"/>
        <w:jc w:val="both"/>
      </w:pPr>
      <w:r>
        <w:rPr>
          <w:rFonts w:ascii="B Lotus" w:hAnsi="B Lotus" w:cs="B Lotus" w:eastAsia="B Lotus"/>
          <w:b w:val="0"/>
          <w:i w:val="0"/>
          <w:sz w:val="28"/>
          <w:szCs w:val="28"/>
        </w:rPr>
        <w:t>ماده ۷۲ (آثار تعلیق): معافیت موقت از اجرای متقابل با بقای رابطه حقوقی و تکلیف خودداری از مانع‌تراشی در ازسرگیری (فصل اول و پنجم).</w:t>
      </w:r>
    </w:p>
    <w:p>
      <w:pPr>
        <w:pStyle w:val="TH-Goftar"/>
        <w:widowControl/>
        <w:bidi w:val="1"/>
        <w:spacing w:before="200" w:after="120" w:line="288" w:lineRule="auto"/>
        <w:jc w:val="right"/>
      </w:pPr>
      <w:r>
        <w:rPr>
          <w:rFonts w:ascii="B Titr" w:hAnsi="B Titr" w:cs="B Titr" w:eastAsia="B Titr"/>
          <w:b/>
          <w:i w:val="0"/>
          <w:sz w:val="32"/>
          <w:szCs w:val="32"/>
        </w:rPr>
        <w:t>پیوست ۲: شرح مواد طرح مسئولیت بین‌المللی دولت‌ها مورد استناد در این رساله</w:t>
      </w:r>
    </w:p>
    <w:p>
      <w:pPr>
        <w:pStyle w:val="TH-Body"/>
        <w:widowControl/>
        <w:bidi w:val="1"/>
        <w:spacing w:before="0" w:after="120" w:line="288" w:lineRule="auto"/>
        <w:jc w:val="both"/>
      </w:pPr>
      <w:r>
        <w:rPr>
          <w:rFonts w:ascii="B Lotus" w:hAnsi="B Lotus" w:cs="B Lotus" w:eastAsia="B Lotus"/>
          <w:b w:val="0"/>
          <w:i w:val="0"/>
          <w:sz w:val="28"/>
          <w:szCs w:val="28"/>
        </w:rPr>
        <w:t>ماده ۱ (اصل مسئولیت): هر عمل متخلفانه بین‌المللی دولت، موجب مسئولیت بین‌المللی آن است؛ چارچوب کلی فصل پنجم.</w:t>
      </w:r>
    </w:p>
    <w:p>
      <w:pPr>
        <w:pStyle w:val="TH-Body"/>
        <w:widowControl/>
        <w:bidi w:val="1"/>
        <w:spacing w:before="0" w:after="120" w:line="288" w:lineRule="auto"/>
        <w:jc w:val="both"/>
      </w:pPr>
      <w:r>
        <w:rPr>
          <w:rFonts w:ascii="B Lotus" w:hAnsi="B Lotus" w:cs="B Lotus" w:eastAsia="B Lotus"/>
          <w:b w:val="0"/>
          <w:i w:val="0"/>
          <w:sz w:val="28"/>
          <w:szCs w:val="28"/>
        </w:rPr>
        <w:t>ماده ۲ (ارکان عمل متخلفانه): انتساب رفتار به دولت و نقض تعهد بین‌المللی؛ ساختار گفتار دوم و سوم فصل پنجم.</w:t>
      </w:r>
    </w:p>
    <w:p>
      <w:pPr>
        <w:pStyle w:val="TH-Body"/>
        <w:widowControl/>
        <w:bidi w:val="1"/>
        <w:spacing w:before="0" w:after="120" w:line="288" w:lineRule="auto"/>
        <w:jc w:val="both"/>
      </w:pPr>
      <w:r>
        <w:rPr>
          <w:rFonts w:ascii="B Lotus" w:hAnsi="B Lotus" w:cs="B Lotus" w:eastAsia="B Lotus"/>
          <w:b w:val="0"/>
          <w:i w:val="0"/>
          <w:sz w:val="28"/>
          <w:szCs w:val="28"/>
        </w:rPr>
        <w:t>ماده ۴ (انتساب رفتار ارکان): رفتار هر رکن دولت عمل دولت محسوب می‌شود؛ مبنای انتساب تصمیم ولی فقیه به دولت ایران.</w:t>
      </w:r>
    </w:p>
    <w:p>
      <w:pPr>
        <w:pStyle w:val="TH-Body"/>
        <w:widowControl/>
        <w:bidi w:val="1"/>
        <w:spacing w:before="0" w:after="120" w:line="288" w:lineRule="auto"/>
        <w:jc w:val="both"/>
      </w:pPr>
      <w:r>
        <w:rPr>
          <w:rFonts w:ascii="B Lotus" w:hAnsi="B Lotus" w:cs="B Lotus" w:eastAsia="B Lotus"/>
          <w:b w:val="0"/>
          <w:i w:val="0"/>
          <w:sz w:val="28"/>
          <w:szCs w:val="28"/>
        </w:rPr>
        <w:t>ماده ۷ (انتساب با وجود تجاوز از صلاحیت): حتی رفتار فراتر از صلاحیت داخلی ـ در صورت انجام در سمت رسمی ـ منتسب است؛ بی‌اثری محدودیت‌های داخلی در انتساب.</w:t>
      </w:r>
    </w:p>
    <w:p>
      <w:pPr>
        <w:pStyle w:val="TH-Body"/>
        <w:widowControl/>
        <w:bidi w:val="1"/>
        <w:spacing w:before="0" w:after="120" w:line="288" w:lineRule="auto"/>
        <w:jc w:val="both"/>
      </w:pPr>
      <w:r>
        <w:rPr>
          <w:rFonts w:ascii="B Lotus" w:hAnsi="B Lotus" w:cs="B Lotus" w:eastAsia="B Lotus"/>
          <w:b w:val="0"/>
          <w:i w:val="0"/>
          <w:sz w:val="28"/>
          <w:szCs w:val="28"/>
        </w:rPr>
        <w:t>ماده ۸ (رفتار تحت هدایت یا کنترل دولت): انتساب رفتار غیرارکانِ تحت کنترل؛ تکمیل‌کننده بحث انتساب.</w:t>
      </w:r>
    </w:p>
    <w:p>
      <w:pPr>
        <w:pStyle w:val="TH-Body"/>
        <w:widowControl/>
        <w:bidi w:val="1"/>
        <w:spacing w:before="0" w:after="120" w:line="288" w:lineRule="auto"/>
        <w:jc w:val="both"/>
      </w:pPr>
      <w:r>
        <w:rPr>
          <w:rFonts w:ascii="B Lotus" w:hAnsi="B Lotus" w:cs="B Lotus" w:eastAsia="B Lotus"/>
          <w:b w:val="0"/>
          <w:i w:val="0"/>
          <w:sz w:val="28"/>
          <w:szCs w:val="28"/>
        </w:rPr>
        <w:t>ماده ۱۱ (تأیید و پذیرش بعدی): رفتاری که دولت آن را به‌مثابه عمل خود بپذیرد منتسب است؛ مؤید بحث (قضیه گروگان‌ها).</w:t>
      </w:r>
    </w:p>
    <w:p>
      <w:pPr>
        <w:pStyle w:val="TH-Body"/>
        <w:widowControl/>
        <w:bidi w:val="1"/>
        <w:spacing w:before="0" w:after="120" w:line="288" w:lineRule="auto"/>
        <w:jc w:val="both"/>
      </w:pPr>
      <w:r>
        <w:rPr>
          <w:rFonts w:ascii="B Lotus" w:hAnsi="B Lotus" w:cs="B Lotus" w:eastAsia="B Lotus"/>
          <w:b w:val="0"/>
          <w:i w:val="0"/>
          <w:sz w:val="28"/>
          <w:szCs w:val="28"/>
        </w:rPr>
        <w:t>ماده ۱۲ (تعریف نقض): عدم انطباق رفتار با آن‌چه تعهد ایجاب می‌کند، با ملاک عینی؛ مبنای تحقق نقض.</w:t>
      </w:r>
    </w:p>
    <w:p>
      <w:pPr>
        <w:pStyle w:val="TH-Body"/>
        <w:widowControl/>
        <w:bidi w:val="1"/>
        <w:spacing w:before="0" w:after="120" w:line="288" w:lineRule="auto"/>
        <w:jc w:val="both"/>
      </w:pPr>
      <w:r>
        <w:rPr>
          <w:rFonts w:ascii="B Lotus" w:hAnsi="B Lotus" w:cs="B Lotus" w:eastAsia="B Lotus"/>
          <w:b w:val="0"/>
          <w:i w:val="0"/>
          <w:sz w:val="28"/>
          <w:szCs w:val="28"/>
        </w:rPr>
        <w:t>مواد ۱۴ و ۱۵ (امتداد زمانی و عمل مرکب): نقض آنی، مستمر و مرکب؛ اهمیت در محاسبه آثار تعلیق مستمر.</w:t>
      </w:r>
    </w:p>
    <w:p>
      <w:pPr>
        <w:pStyle w:val="TH-Body"/>
        <w:widowControl/>
        <w:bidi w:val="1"/>
        <w:spacing w:before="0" w:after="120" w:line="288" w:lineRule="auto"/>
        <w:jc w:val="both"/>
      </w:pPr>
      <w:r>
        <w:rPr>
          <w:rFonts w:ascii="B Lotus" w:hAnsi="B Lotus" w:cs="B Lotus" w:eastAsia="B Lotus"/>
          <w:b w:val="0"/>
          <w:i w:val="0"/>
          <w:sz w:val="28"/>
          <w:szCs w:val="28"/>
        </w:rPr>
        <w:t>مواد ۲۰ تا ۲۵ (اسباب رافع وصف متخلفانه): رضایت، دفاع مشروع، اقدام متقابل، فورس‌ماژور، پریشانی و ضرورت؛ راه‌های رهایی از مسئولیت (گفتار چهارم فصل پنجم).</w:t>
      </w:r>
    </w:p>
    <w:p>
      <w:pPr>
        <w:pStyle w:val="TH-Body"/>
        <w:widowControl/>
        <w:bidi w:val="1"/>
        <w:spacing w:before="0" w:after="120" w:line="288" w:lineRule="auto"/>
        <w:jc w:val="both"/>
      </w:pPr>
      <w:r>
        <w:rPr>
          <w:rFonts w:ascii="B Lotus" w:hAnsi="B Lotus" w:cs="B Lotus" w:eastAsia="B Lotus"/>
          <w:b w:val="0"/>
          <w:i w:val="0"/>
          <w:sz w:val="28"/>
          <w:szCs w:val="28"/>
        </w:rPr>
        <w:t>ماده ۲۵ (ضرورت): صیانت از منفعت اساسی در برابر خطر شدید و قریب‌الوقوع به‌عنوان تنها راه، با شروط سخت‌گیرانه؛ مقایسه با «مصلحت» فقهی و آستانه بالاتر آن.</w:t>
      </w:r>
    </w:p>
    <w:p>
      <w:pPr>
        <w:pStyle w:val="TH-Body"/>
        <w:widowControl/>
        <w:bidi w:val="1"/>
        <w:spacing w:before="0" w:after="120" w:line="288" w:lineRule="auto"/>
        <w:jc w:val="both"/>
      </w:pPr>
      <w:r>
        <w:rPr>
          <w:rFonts w:ascii="B Lotus" w:hAnsi="B Lotus" w:cs="B Lotus" w:eastAsia="B Lotus"/>
          <w:b w:val="0"/>
          <w:i w:val="0"/>
          <w:sz w:val="28"/>
          <w:szCs w:val="28"/>
        </w:rPr>
        <w:t>ماده ۲۶ (سقف آمره): عدم شمول اسباب رافع در برابر نقض قواعد آمره؛ سقف مشترک با ضابطه هفتم.</w:t>
      </w:r>
    </w:p>
    <w:p>
      <w:pPr>
        <w:pStyle w:val="TH-Body"/>
        <w:widowControl/>
        <w:bidi w:val="1"/>
        <w:spacing w:before="0" w:after="120" w:line="288" w:lineRule="auto"/>
        <w:jc w:val="both"/>
      </w:pPr>
      <w:r>
        <w:rPr>
          <w:rFonts w:ascii="B Lotus" w:hAnsi="B Lotus" w:cs="B Lotus" w:eastAsia="B Lotus"/>
          <w:b w:val="0"/>
          <w:i w:val="0"/>
          <w:sz w:val="28"/>
          <w:szCs w:val="28"/>
        </w:rPr>
        <w:t>ماده ۳۰ (توقف و تضمین عدم تکرار): از آثار مسئولیت؛ تکلیف دولت مسئول به پایان‌دادن به نقض.</w:t>
      </w:r>
    </w:p>
    <w:p>
      <w:pPr>
        <w:pStyle w:val="TH-Body"/>
        <w:widowControl/>
        <w:bidi w:val="1"/>
        <w:spacing w:before="0" w:after="120" w:line="288" w:lineRule="auto"/>
        <w:jc w:val="both"/>
      </w:pPr>
      <w:r>
        <w:rPr>
          <w:rFonts w:ascii="B Lotus" w:hAnsi="B Lotus" w:cs="B Lotus" w:eastAsia="B Lotus"/>
          <w:b w:val="0"/>
          <w:i w:val="0"/>
          <w:sz w:val="28"/>
          <w:szCs w:val="28"/>
        </w:rPr>
        <w:t>ماده ۳۱ (جبران کامل): تکلیف جبران همه خسارت‌های وارده؛ چارچوب آثار مالی و غیرمالی.</w:t>
      </w:r>
    </w:p>
    <w:p>
      <w:pPr>
        <w:pStyle w:val="TH-Body"/>
        <w:widowControl/>
        <w:bidi w:val="1"/>
        <w:spacing w:before="0" w:after="120" w:line="288" w:lineRule="auto"/>
        <w:jc w:val="both"/>
      </w:pPr>
      <w:r>
        <w:rPr>
          <w:rFonts w:ascii="B Lotus" w:hAnsi="B Lotus" w:cs="B Lotus" w:eastAsia="B Lotus"/>
          <w:b w:val="0"/>
          <w:i w:val="0"/>
          <w:sz w:val="28"/>
          <w:szCs w:val="28"/>
        </w:rPr>
        <w:t>ماده ۳۲ (بی‌اعتباری استناد به حقوق داخلی در جبران): تکمیل ماده ۲۷ وین در مرحله آثار.</w:t>
      </w:r>
    </w:p>
    <w:p>
      <w:pPr>
        <w:pStyle w:val="TH-Body"/>
        <w:widowControl/>
        <w:bidi w:val="1"/>
        <w:spacing w:before="0" w:after="120" w:line="288" w:lineRule="auto"/>
        <w:jc w:val="both"/>
      </w:pPr>
      <w:r>
        <w:rPr>
          <w:rFonts w:ascii="B Lotus" w:hAnsi="B Lotus" w:cs="B Lotus" w:eastAsia="B Lotus"/>
          <w:b w:val="0"/>
          <w:i w:val="0"/>
          <w:sz w:val="28"/>
          <w:szCs w:val="28"/>
        </w:rPr>
        <w:t>مواد ۳۴ تا ۳۷ (صور جبران): اعاده وضع به حال سابق، غرامت مالی و جلب رضایت؛ تفصیل آثار مسئولیت.</w:t>
      </w:r>
    </w:p>
    <w:p>
      <w:pPr>
        <w:pStyle w:val="TH-Goftar"/>
        <w:widowControl/>
        <w:bidi w:val="1"/>
        <w:spacing w:before="200" w:after="120" w:line="288" w:lineRule="auto"/>
        <w:jc w:val="right"/>
      </w:pPr>
      <w:r>
        <w:rPr>
          <w:rFonts w:ascii="B Titr" w:hAnsi="B Titr" w:cs="B Titr" w:eastAsia="B Titr"/>
          <w:b/>
          <w:i w:val="0"/>
          <w:sz w:val="32"/>
          <w:szCs w:val="32"/>
        </w:rPr>
        <w:t>پیوست ۳: واژه‌نامه فارسی ـ عربی ـ انگلیسی اصطلاحات کلیدی</w:t>
      </w:r>
    </w:p>
    <w:p>
      <w:pPr>
        <w:pStyle w:val="TH-Body"/>
        <w:widowControl/>
        <w:bidi w:val="1"/>
        <w:spacing w:before="0" w:after="120" w:line="288" w:lineRule="auto"/>
        <w:jc w:val="both"/>
      </w:pPr>
      <w:r>
        <w:rPr>
          <w:rFonts w:ascii="B Lotus" w:hAnsi="B Lotus" w:cs="B Lotus" w:eastAsia="B Lotus"/>
          <w:b w:val="0"/>
          <w:i w:val="0"/>
          <w:sz w:val="28"/>
          <w:szCs w:val="28"/>
        </w:rPr>
        <w:t>معاهده: المعاهدة؛ Treaty. ــ تعلیق: التعلیق؛ Suspension. ــ نقض: النقض / الإخلال؛ Breach / Violation. ــ خاتمه: الإنهاء؛ Termination. ــ خروج: الانسحاب؛ Withdrawal / Denunciation. ــ وفای به عهد: الوفاء بالعهد؛ Pacta sunt servanda. ــ حسن نیت: حسن النیة؛ Good faith. ــ حکم حکومتی: الحکم الحکومی؛ Governmental ruling. ــ مصلحت نظام: مصلحة النظام؛ Interest of the system (maslaha). ــ حفظ نظام: حفظ النظام؛ Preservation of the system. ــ تزاحم: التزاحم؛ Conflict of obligations (tazahum). ــ اهم و مهم: الأهم والمهم؛ The more and less important. ــ ضرورت: الضرورة؛ Necessity. ــ اضطرار: الاضطرار؛ Duress / Exigency. ــ نفی سبیل: نفی السبیل؛ Negation of domination (nafy al-sabil). ــ انباذ: النبذ؛ Renunciation with notice (inbad). ــ غدر: الغدر؛ Treachery / Perfidious breach. ــ انتساب: الإسناد؛ Attribution. ــ جبران خسارت: جبر الضرر / التعویض؛ Reparation. ــ اقدام متقابل: الإجراء المضاد؛ Countermeasure. ــ فورس‌ماژور: القوة القاهرة؛ Force majeure. ــ قاعده آمره: القاعدة الآمرة؛ Peremptory norm (jus cogens). ــ حق شرط: التحفظ؛ Reservation.</w:t>
      </w:r>
    </w:p>
    <w:p>
      <w:pPr>
        <w:pStyle w:val="TH-Goftar"/>
        <w:widowControl/>
        <w:bidi w:val="1"/>
        <w:spacing w:before="200" w:after="120" w:line="288" w:lineRule="auto"/>
        <w:jc w:val="right"/>
      </w:pPr>
      <w:r>
        <w:rPr>
          <w:rFonts w:ascii="B Titr" w:hAnsi="B Titr" w:cs="B Titr" w:eastAsia="B Titr"/>
          <w:b/>
          <w:i w:val="0"/>
          <w:sz w:val="32"/>
          <w:szCs w:val="32"/>
        </w:rPr>
        <w:t>پیوست ۴: فهرست آیات مورد استناد</w:t>
      </w:r>
    </w:p>
    <w:p>
      <w:pPr>
        <w:pStyle w:val="TH-Body"/>
        <w:widowControl/>
        <w:bidi w:val="1"/>
        <w:spacing w:before="0" w:after="120" w:line="288" w:lineRule="auto"/>
        <w:jc w:val="both"/>
      </w:pPr>
      <w:r>
        <w:rPr>
          <w:rFonts w:ascii="B Lotus" w:hAnsi="B Lotus" w:cs="B Lotus" w:eastAsia="B Lotus"/>
          <w:b w:val="0"/>
          <w:i w:val="0"/>
          <w:sz w:val="28"/>
          <w:szCs w:val="28"/>
        </w:rPr>
        <w:t>سوره مائده، آیه ۱ (اوفوا بالعقود)؛ سوره نحل، آیات ۹۱ و ۹۲ (وفا و نهی از نقض)؛ سوره اسراء، آیه ۳۴ (مسئول‌بودن عهد)؛ سوره رعد، آیه ۲۰ (وصف اوفیاء)؛ سوره مؤمنون، آیه ۸ (راعون عهد)؛ سوره توبه، آیات ۴ و ۷ (اتمام عهد و تقابل)؛ سوره انفال، آیه ۵۸ (انباذ)؛ سوره نساء، آیه ۵۹ (اولی‌الامر)؛ سوره نساء، آیه ۱۴۱ (نفی سبیل)؛ سوره حج، آیه ۷۸ (نفی حرج)؛ سوره بقره، آیه ۱۷۳ (اضطرار)؛ سوره هود، آیه ۸۸ (توکل و توفیق). تفصیل استناد به هر آیه در فصل‌های سوم و چهارم آمده است.</w:t>
      </w:r>
    </w:p>
    <w:p>
      <w:pPr>
        <w:pStyle w:val="TH-Goftar"/>
        <w:widowControl/>
        <w:bidi w:val="1"/>
        <w:spacing w:before="200" w:after="120" w:line="288" w:lineRule="auto"/>
        <w:jc w:val="right"/>
      </w:pPr>
      <w:r>
        <w:rPr>
          <w:rFonts w:ascii="B Titr" w:hAnsi="B Titr" w:cs="B Titr" w:eastAsia="B Titr"/>
          <w:b/>
          <w:i w:val="0"/>
          <w:sz w:val="32"/>
          <w:szCs w:val="32"/>
        </w:rPr>
        <w:t>پیوست ۵: فهرست روایات و متون مورد استناد</w:t>
      </w:r>
    </w:p>
    <w:p>
      <w:pPr>
        <w:pStyle w:val="TH-Body"/>
        <w:widowControl/>
        <w:bidi w:val="1"/>
        <w:spacing w:before="0" w:after="120" w:line="288" w:lineRule="auto"/>
        <w:jc w:val="both"/>
      </w:pPr>
      <w:r>
        <w:rPr>
          <w:rFonts w:ascii="B Lotus" w:hAnsi="B Lotus" w:cs="B Lotus" w:eastAsia="B Lotus"/>
          <w:b w:val="0"/>
          <w:i w:val="0"/>
          <w:sz w:val="28"/>
          <w:szCs w:val="28"/>
        </w:rPr>
        <w:t>روایت نبوی «المسلمون عند شروطهم» (قاعده شروط)؛ روایت «لا إیمان لمن لا أمانة له ولا دین لمن لا عهد له» (پیوند عهد و دین)؛ روایت نبوی «لا ضرر ولا ضرار» (قاعده لاضرر)؛ عهدنامه مالک اشتر، نامه ۵۳ نهج‌البلاغه (فرمان حکومتی وفا)؛ مقبوله عمر بن حنظله (مرجعیت فقها)؛ توقیع شریف «وأما الحوادث الواقعة...» (رجوع به روات)؛ قاعده «الضرورات تبیح المحظورات»؛ قاعده «الضرورات تتقدر بقدرها». تفصیل استناد به هر یک در فصل‌های سوم و چهارم آمده است.</w:t>
      </w:r>
    </w:p>
    <w:sectPr w:rsidR="00FC693F" w:rsidRPr="0006063C" w:rsidSect="00034616">
      <w:headerReference w:type="default" r:id="rId9"/>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0" w:type="separator">
    <w:p>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در این رساله، ارجاع به آیات قرآن کریم در متن و با ذکر نام سوره و شماره آیه انجام می‌شود.</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مشخصات کامل این منابع در فهرست پایانی رساله آمده است. در ارجاع‌های این رساله، به اصل منبع ارجاع داده شده و در مواردی که نشانی دقیق چاپی نیازمند تطبیق با نسخه موجود بوده، از عبارت «ر.ک» (رجوع کنید) استفاده شده است تا خواننده به اصل منبع مراجعه کند.</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«قراردادهای بین‌المللی در اسلام»، پرتال جامع علوم انسانی، به نشانی اینترنتی: https://ensani.ir/fa/article/66940 (بازیابی: ۳۰ شهریور ۱۴۰۵).</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«حق شرط در معاهدات بین‌المللی (۱)»، پایگاه اطلاع‌رسانی حوزه، به نشانی اینترنتی: https://hawzah.net/fa/Article/View/79856 (بازیابی: ۳۰ شهریور ۱۴۰۵).</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«ولایت مطلقه فقیه در قانون اساسی»، پایگاه اطلاع‌رسانی حوزه، به نشانی اینترنتی: https://hawzah.net/fa/Article/View/5323 ؛ و «مفهوم ولایت مطلقه فقیه در قانون اساسی جمهوری اسلامی ایران»، همان پایگاه، به نشانی اینترنتی: https://hawzah.net/fa/Article/View/95815 (بازیابی هر دو: ۳۰ شهریور ۱۴۰۵).</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«نقد و بررسی تفسیر شورای نگهبان از اصل ۷۷ و ۱۲۵ قانون اساسی»، پایگاه کانون سردفتران و دفتریاران، به نشانی اینترنتی: https://www.notary.ir/content/129237 (بازیابی: ۳۰ شهریور ۱۴۰۵).</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«وفای به عهد در نهج‌البلاغه»، امامت‌پدیا (دانشنامه امامت و ولایت)، به نشانی اینترنتی: https://fa.imamatpedia.com/wiki/وفای_به_عهد_در_نهج_البلاغه (بازیابی: ۳۰ شهریور ۱۴۰۵).</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مشخصات کامل این آثار در فهرست منابع پایانی آمده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درباره وضعیت عضویت ایران در کنوانسیون وین، ر.ک: مجموعه معاهدات سازمان ملل متحد (UNTC). بنابر مشهور، ایران از امضاکنندگان کنوانسیون است ولی آن را تصویب نکرده است؛ با این حال، استناد این رساله به کنوانسیون، از باب بیان قواعد عام حقوق معاهدات (و غالباً عرفی) است نه از باب عضویت ایران.</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جوهری، الصحاح، ماده «عهد»؛ ابن‌منظور، لسان‌العرب، ماده «عهد»؛ و راغب اصفهانی، مفردات ألفاظ القرآن، ماده «عهد» (نشانی دقیق در هر مورد، نیازمند تطبیق با نسخه چاپی است).</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(۱۹۶۹)، ماده ۲، بند ۱ (الف). مضمون این تعریف در همه کتب حقوق بین‌الملل مورد اتفاق است؛ ر.ک: محمدرضا ضیایی بیگدلی، حقوق بین‌الملل عمومی.</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۵۷، ۵۸، ۶۰ و ۷۲.</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(۲۰۰۱)، ماده ۱۲.</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طریحی، مجمع‌البحرین، ماده «عهد»؛ و فیومی، المصباح المنیر، ماده «عهد» (نشانی دقیق، نیازمند تطبیق با نسخه چاپی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کتاب‌البیع، مبحث ولایت فقیه؛ و صحیفه امام (نشانی دقیق، نیازمند تطبیق با نسخه چاپی است).</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۹۴.</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۹۸.</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منابع سیره و تاریخ اسلام، وقایع سال اول هجری، میثاق مدینه (از جمله: ابن‌هشام، السیرة النبویة).</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منابع سیره و تاریخ اسلام، وقایع سال دهم هجری، هیئت نجران.</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۱۹۸۰.</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مجموعه معاهدات سازمان ملل متحد (UNTC).</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۳۸، بند ۱.</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کتب تاریخ و فلسفه حقوق بین‌الملل، بحث مبنای الزام‌آوری حقوق بین‌الملل (نشانی دقیق، نیازمند بررسی منبع اصلی است).</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 در این قضیه، دیوان هم استناد مجارستان به تغییر بنیادین اوضاع و هم استناد آن به ضرورت زیست‌محیطی را نپذیرفت و معیارهای سخت‌گیرانه‌ای برای هر دو نهاد مقرر کرد.</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۵۳ و ۶۴.</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 (نقل به مضمون؛ متن دقیق نیازمند مراجعه به متن رسمی قانون اساسی است).</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 (نقل به مضمون؛ متن دقیق نیازمند مراجعه به متن رسمی قانون اساسی است).</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(نقل به مضمون؛ متن دقیق نیازمند مراجعه به متن رسمی قانون اساسی است).</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طبرسی، مجمع‌البیان؛ و طباطبایی، المیزان، ذیل آیه ۱ سوره مائده.</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این روایت نبوی مشهور، در جوامع روایی فریقین نقل شده است؛ از جمله ر.ک: حرّ عاملی، وسائل‌الشیعة. فقها این روایت را در ابواب شروط و خیارات مورد استناد قرار داده‌اند (نشانی دقیق، نیازمند تطبیق با نسخه چاپی است).</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به نقل مشهور در جوامع روایی؛ ر.ک: منابع حدیثی باب وفای به عهد (نشانی دقیق، نیازمند بررسی منبع اصلی است).</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منابع سیره و تاریخ اسلام، وقایع سال ششم هجری، صلح حدیبیه (از جمله: ابن‌هشام، السیرة النبویة؛ و طبری، تاریخ الأمم و الملوک).</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طوسی، المبسوط، کتاب الجهاد؛ محقق حلی، شرائع‌الاسلام، کتاب الجهاد؛ علامه حلی، تذکرة‌الفقهاء، کتاب الجهاد؛ شهید ثانی، مسالک‌الافهام، کتاب الجهاد؛ نجفی، جواهرالکلام، کتاب الجهاد (نشانی دقیق مجلد و صفحه در هر مورد، نیازمند تطبیق با نسخه چاپی است).</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انصاری، المکاسب، بحث شروط؛ و خویی، مصباح‌الفقاهة، بحث شروط (نشانی دقیق، نیازمند تطبیق با نسخه چاپی است).</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جواهرالکلام، کتاب الجهاد، مبحث هدنه؛ و سایر کتب جهاد (نشانی دقیق، نیازمند تطبیق با نسخه چاپی است).</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مقبوله عمر بن حنظله، ر.ک: کلینی، الکافی؛ و طوسی، تهذیب‌الاحکام. توقیع شریف، ر.ک: صدوق، کمال‌الدین و تمام‌النعمة؛ و طبرسی، الاحتجاج (نشانی دقیق در هر مورد، نیازمند تطبیق با نسخه چاپی است).</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کتاب‌البیع، مبحث ولایت فقیه؛ و همو، ولایت فقیه (تقریر درس).</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صحیفه امام، نامه زمستان ۱۳۶۶ درباره اختیارات حکومت اسلامی (نقل به مضمون مشهور؛ متن دقیق، نیازمند مراجعه به صحیفه امام است).</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کتاب‌البیع، مبحث ولایت فقیه؛ و صحیفه امام (نشانی دقیق، نیازمند تطبیق با نسخه چاپی است).</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روایت نبوی مشهور؛ ر.ک: کلینی، الکافی؛ و حرّ عاملی، وسائل‌الشیعة (نشانی دقیق، نیازمند تطبیق با نسخه چاپی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جواهرالکلام، کتاب الجهاد، مبحث هدنه؛ و سایر کتب جهاد (نشانی دقیق، نیازمند تطبیق با نسخه چاپی است).</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۱۱۲ و ۱۷۶.</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مشاهده صورت‌بندی دو دیدگاه، ر.ک: «ولایت مطلقه فقیه در قانون اساسی» و «مفهوم ولایت مطلقه فقیه در قانون اساسی جمهوری اسلامی ایران»، پایگاه اطلاع‌رسانی حوزه، به نشانی‌های اینترنتی یادشده در پیشینه پژوهش (فصل مقدمه). همچنین ر.ک: سیدابوالفضل قاضی شریعت‌پناهی، حقوق اساسی و نهادهای سیاسی؛ و سیدمحمد هاشمی، حقوق اساسی جمهوری اسلامی ایران.</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autofit"/>
      <w:tblLook w:firstColumn="1" w:firstRow="1" w:lastColumn="0" w:lastRow="0" w:noHBand="0" w:noVBand="1" w:val="04A0"/>
      <w:bidiVisual/>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5"/>
      <w:gridCol w:w="4535"/>
    </w:tblGrid>
    <w:tr>
      <w:tc>
        <w:tcPr>
          <w:tcW w:type="dxa" w:w="6236"/>
        </w:tcPr>
        <w:p>
          <w:pPr>
            <w:widowControl/>
            <w:bidi w:val="1"/>
            <w:spacing w:before="0" w:after="0" w:line="288" w:lineRule="auto"/>
            <w:jc w:val="right"/>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tc>
      <w:tc>
        <w:tcPr>
          <w:tcW w:type="dxa" w:w="2835"/>
        </w:tcPr>
        <w:p>
          <w:pPr>
            <w:jc w:val="left"/>
          </w:pPr>
          <w:r/>
          <w:r>
            <w:rPr>
              <w:rFonts w:ascii="B Lotus" w:hAnsi="B Lotus" w:cs="B Lotus" w:eastAsia="B Lotus"/>
              <w:b w:val="0"/>
              <w:i w:val="0"/>
              <w:sz w:val="20"/>
              <w:szCs w:val="20"/>
            </w:rPr>
            <w:t xml:space="preserve">صفحه </w:t>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PAGE \* MERGEFORMAT</w:instrText>
          </w:r>
          <w:r>
            <w:rPr>
              <w:rFonts w:ascii="B Lotus" w:hAnsi="B Lotus" w:cs="B Lotus" w:eastAsia="B Lotus"/>
              <w:b w:val="0"/>
              <w:i w:val="0"/>
              <w:sz w:val="20"/>
              <w:szCs w:val="20"/>
            </w:rPr>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tabs>
        <w:tab w:val="right" w:leader="dot" w:pos="9072"/>
      </w:tabs>
    </w:pPr>
    <w:rPr>
      <w:rFonts w:ascii="B Lotus" w:hAnsi="B Lotus" w:cs="B Lotus"/>
      <w:sz w:val="26"/>
      <w:szCs w:val="26"/>
    </w:rPr>
  </w:style>
  <w:style w:type="paragraph" w:styleId="TOC3">
    <w:name w:val="toc 3"/>
    <w:basedOn w:val="Normal"/>
    <w:pPr>
      <w:bidi w:val="1"/>
      <w:jc w:val="right"/>
      <w:tabs>
        <w:tab w:val="right" w:leader="dot" w:pos="9072"/>
      </w:tabs>
    </w:pPr>
    <w:rPr>
      <w:rFonts w:ascii="B Lotus" w:hAnsi="B Lotus" w:cs="B Lotus"/>
      <w:sz w:val="26"/>
      <w:szCs w:val="26"/>
    </w:rPr>
  </w:style>
  <w:style w:type="paragraph" w:styleId="TOC4">
    <w:name w:val="toc 4"/>
    <w:basedOn w:val="Normal"/>
    <w:pPr>
      <w:bidi w:val="1"/>
      <w:jc w:val="right"/>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قلمرو اختیارات ولی فقیه در تعلیق و نقض یک‌جانبه معاهدات بین‌المللی (مطالعه فقهی ـ حقوقی)</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