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left"/>
        <w:widowControl/>
      </w:pPr>
      <w:r>
        <w:rPr>
          <w:rFonts w:ascii="Arial" w:hAnsi="Arial"/>
          <w:b/>
          <w:color w:val="16304C"/>
          <w:sz w:val="62"/>
        </w:rPr>
        <w:t>DISCLOSUREDELTA</w:t>
      </w:r>
    </w:p>
    <w:p>
      <w:pPr>
        <w:spacing w:after="120"/>
        <w:widowControl/>
      </w:pPr>
      <w:r>
        <w:rPr>
          <w:rFonts w:ascii="Arial" w:hAnsi="Arial"/>
          <w:b/>
          <w:color w:val="276398"/>
          <w:sz w:val="34"/>
        </w:rPr>
        <w:t>Projet NLP pour la recherche quantitative et le trading systématique</w:t>
      </w:r>
    </w:p>
    <w:p>
      <w:pPr>
        <w:spacing w:after="560"/>
        <w:widowControl/>
      </w:pPr>
      <w:r>
        <w:rPr>
          <w:rFonts w:ascii="Arial" w:hAnsi="Arial"/>
          <w:i/>
          <w:color w:val="555D65"/>
          <w:sz w:val="23"/>
        </w:rPr>
        <w:t>Note de cadrage destinée à un portfolio de candidature early-career en hedge fund</w:t>
      </w:r>
    </w:p>
    <w:tbl>
      <w:tblPr>
        <w:tblW w:type="auto" w:w="0"/>
        <w:jc w:val="center"/>
        <w:tblLayout w:type="fixed"/>
        <w:tblLook w:firstColumn="1" w:firstRow="1" w:lastColumn="0" w:lastRow="0" w:noHBand="0" w:noVBand="1" w:val="04A0"/>
      </w:tblPr>
      <w:tblGrid>
        <w:gridCol w:w="198"/>
        <w:gridCol w:w="8674"/>
      </w:tblGrid>
      <w:tr>
        <w:tc>
          <w:tcPr>
            <w:tcW w:type="dxa" w:w="4762"/>
            <w:shd w:fill="276398"/>
            <w:tcBorders>
              <w:top w:val="nil"/>
              <w:left w:val="nil"/>
              <w:bottom w:val="nil"/>
              <w:right w:val="nil"/>
            </w:tcBorders>
            <w:vAlign w:val="center"/>
          </w:tcPr>
          <w:p>
            <w:r/>
          </w:p>
        </w:tc>
        <w:tc>
          <w:tcPr>
            <w:tcW w:type="dxa" w:w="4762"/>
            <w:shd w:fill="EAF2F8"/>
            <w:tcBorders>
              <w:top w:val="nil"/>
              <w:left w:val="nil"/>
              <w:bottom w:val="nil"/>
              <w:right w:val="nil"/>
            </w:tcBorders>
            <w:vAlign w:val="center"/>
          </w:tcPr>
          <w:p>
            <w:pPr>
              <w:spacing w:before="120" w:after="40"/>
            </w:pPr>
            <w:r>
              <w:rPr>
                <w:rFonts w:ascii="Arial" w:hAnsi="Arial"/>
                <w:b/>
                <w:color w:val="16304C"/>
                <w:sz w:val="20"/>
              </w:rPr>
              <w:t>Recommandation centrale</w:t>
            </w:r>
          </w:p>
          <w:p>
            <w:pPr>
              <w:spacing w:after="120" w:line="259" w:lineRule="auto"/>
            </w:pPr>
            <w:r>
              <w:rPr>
                <w:rFonts w:ascii="Arial" w:hAnsi="Arial"/>
                <w:color w:val="1E2226"/>
                <w:sz w:val="19"/>
              </w:rPr>
              <w:t>Construire un pipeline point-in-time sur les rapports 10-K et 10-Q afin de mesurer les changements sémantiques entre deux publications successives, puis tester leur pouvoir prédictif sur les rendements anormaux et le risque futur des actions.</w:t>
            </w:r>
          </w:p>
        </w:tc>
      </w:tr>
    </w:tbl>
    <w:p>
      <w:pPr>
        <w:spacing w:after="0"/>
        <w:widowControl/>
      </w:pPr>
    </w:p>
    <w:p>
      <w:pPr>
        <w:spacing w:before="680" w:after="100"/>
        <w:widowControl/>
      </w:pPr>
      <w:r>
        <w:rPr>
          <w:rFonts w:ascii="Arial" w:hAnsi="Arial"/>
          <w:b/>
          <w:color w:val="16304C"/>
          <w:sz w:val="22"/>
        </w:rPr>
        <w:t>Positionnement du projet</w:t>
      </w:r>
    </w:p>
    <w:p>
      <w:pPr>
        <w:pStyle w:val="ListBullet"/>
        <w:spacing w:after="50" w:line="259" w:lineRule="auto"/>
        <w:widowControl/>
      </w:pPr>
      <w:r>
        <w:rPr>
          <w:rFonts w:ascii="Arial" w:hAnsi="Arial"/>
          <w:color w:val="1E2226"/>
          <w:sz w:val="20"/>
        </w:rPr>
        <w:t>Projet de recherche d’alpha cross-sectionnel, et non simple démonstration de sentiment analysis.</w:t>
      </w:r>
    </w:p>
    <w:p>
      <w:pPr>
        <w:pStyle w:val="ListBullet"/>
        <w:spacing w:after="50" w:line="259" w:lineRule="auto"/>
        <w:widowControl/>
      </w:pPr>
      <w:r>
        <w:rPr>
          <w:rFonts w:ascii="Arial" w:hAnsi="Arial"/>
          <w:color w:val="1E2226"/>
          <w:sz w:val="20"/>
        </w:rPr>
        <w:t>Pipeline complet : données textuelles, hypothèse économique, modélisation, validation, portefeuille, coûts et attribution.</w:t>
      </w:r>
    </w:p>
    <w:p>
      <w:pPr>
        <w:pStyle w:val="ListBullet"/>
        <w:spacing w:after="50" w:line="259" w:lineRule="auto"/>
        <w:widowControl/>
      </w:pPr>
      <w:r>
        <w:rPr>
          <w:rFonts w:ascii="Arial" w:hAnsi="Arial"/>
          <w:color w:val="1E2226"/>
          <w:sz w:val="20"/>
        </w:rPr>
        <w:t>Complément naturel à une expérience existante en RAG et topic modelling sur les earnings calls.</w:t>
      </w:r>
    </w:p>
    <w:p>
      <w:pPr>
        <w:spacing w:before="960"/>
        <w:widowControl/>
      </w:pPr>
      <w:r>
        <w:rPr>
          <w:rFonts w:ascii="Arial" w:hAnsi="Arial"/>
          <w:color w:val="555D65"/>
          <w:sz w:val="19"/>
        </w:rPr>
        <w:t>Document de travail — juillet 2026</w:t>
      </w:r>
    </w:p>
    <w:p>
      <w:pPr>
        <w:widowControl/>
      </w:pPr>
      <w:r>
        <w:br w:type="page"/>
      </w:r>
    </w:p>
    <w:p>
      <w:pPr>
        <w:pStyle w:val="Heading1"/>
        <w:widowControl/>
      </w:pPr>
      <w:r>
        <w:t>Synthèse exécutive</w:t>
      </w:r>
    </w:p>
    <w:p>
      <w:pPr>
        <w:keepNext w:val="0"/>
        <w:spacing w:after="100" w:line="269" w:lineRule="auto"/>
        <w:widowControl/>
      </w:pPr>
      <w:r>
        <w:rPr>
          <w:rFonts w:ascii="Arial" w:hAnsi="Arial"/>
          <w:i w:val="0"/>
          <w:color w:val="1E2226"/>
          <w:sz w:val="20"/>
        </w:rPr>
        <w:t>Pour renforcer une candidature à un poste de Quant Researcher ou Quantitative Developer junior en hedge fund, le projet doit démontrer davantage qu’une maîtrise des modèles de langage. Il doit montrer une capacité à transformer une source alternative en signal quantitatif robuste, à éviter les biais de backtest et à construire une stratégie investissable.</w:t>
      </w:r>
    </w:p>
    <w:p>
      <w:pPr>
        <w:keepNext w:val="0"/>
        <w:spacing w:after="100" w:line="269" w:lineRule="auto"/>
        <w:widowControl/>
      </w:pPr>
      <w:r>
        <w:rPr>
          <w:rFonts w:ascii="Arial" w:hAnsi="Arial"/>
          <w:i w:val="0"/>
          <w:color w:val="1E2226"/>
          <w:sz w:val="20"/>
        </w:rPr>
        <w:t>Le projet recommandé, DisclosureDelta, étudie si les changements de langage dans les publications réglementaires américaines — notamment les 10-K et 10-Q — contiennent une information prédictive sur les rendements anormaux, la volatilité ou le risque de baisse. Le signal principal n’est pas le niveau absolu de sentiment, mais la variation inattendue du discours d’une entreprise par rapport à ses propres publications antérieures et à ses pairs sectoriels.</w:t>
      </w:r>
    </w:p>
    <w:tbl>
      <w:tblPr>
        <w:tblW w:type="auto" w:w="0"/>
        <w:jc w:val="center"/>
        <w:tblLayout w:type="fixed"/>
        <w:tblLook w:firstColumn="1" w:firstRow="1" w:lastColumn="0" w:lastRow="0" w:noHBand="0" w:noVBand="1" w:val="04A0"/>
      </w:tblPr>
      <w:tblGrid>
        <w:gridCol w:w="198"/>
        <w:gridCol w:w="8674"/>
      </w:tblGrid>
      <w:tr>
        <w:tc>
          <w:tcPr>
            <w:tcW w:type="dxa" w:w="4762"/>
            <w:shd w:fill="276398"/>
            <w:tcBorders>
              <w:top w:val="nil"/>
              <w:left w:val="nil"/>
              <w:bottom w:val="nil"/>
              <w:right w:val="nil"/>
            </w:tcBorders>
            <w:vAlign w:val="center"/>
          </w:tcPr>
          <w:p>
            <w:r/>
          </w:p>
        </w:tc>
        <w:tc>
          <w:tcPr>
            <w:tcW w:type="dxa" w:w="4762"/>
            <w:shd w:fill="EAF2F8"/>
            <w:tcBorders>
              <w:top w:val="nil"/>
              <w:left w:val="nil"/>
              <w:bottom w:val="nil"/>
              <w:right w:val="nil"/>
            </w:tcBorders>
            <w:vAlign w:val="center"/>
          </w:tcPr>
          <w:p>
            <w:pPr>
              <w:spacing w:before="120" w:after="40"/>
            </w:pPr>
            <w:r>
              <w:rPr>
                <w:rFonts w:ascii="Arial" w:hAnsi="Arial"/>
                <w:b/>
                <w:color w:val="16304C"/>
                <w:sz w:val="20"/>
              </w:rPr>
              <w:t>Pourquoi ce choix est pertinent</w:t>
            </w:r>
          </w:p>
          <w:p>
            <w:pPr>
              <w:spacing w:after="120" w:line="259" w:lineRule="auto"/>
            </w:pPr>
            <w:r>
              <w:rPr>
                <w:rFonts w:ascii="Arial" w:hAnsi="Arial"/>
                <w:color w:val="1E2226"/>
                <w:sz w:val="19"/>
              </w:rPr>
              <w:t>Le projet couvre les dimensions réellement différenciantes pour une équipe systematic ou alternative data : ingestion point-in-time, parsing de documents, construction de features, validation walk-forward, ranking cross-sectionnel, neutralisation des facteurs, coûts de transaction et tests de robustesse.</w:t>
            </w:r>
          </w:p>
        </w:tc>
      </w:tr>
    </w:tbl>
    <w:p>
      <w:pPr>
        <w:spacing w:after="0"/>
        <w:widowControl/>
      </w:pPr>
    </w:p>
    <w:p>
      <w:pPr>
        <w:pStyle w:val="Heading1"/>
        <w:widowControl/>
      </w:pPr>
      <w:r>
        <w:t>Sommaire</w:t>
      </w:r>
    </w:p>
    <w:p>
      <w:pPr>
        <w:pStyle w:val="ListBullet"/>
        <w:spacing w:after="50" w:line="259" w:lineRule="auto"/>
        <w:widowControl/>
      </w:pPr>
      <w:r>
        <w:rPr>
          <w:rFonts w:ascii="Arial" w:hAnsi="Arial"/>
          <w:color w:val="1E2226"/>
          <w:sz w:val="20"/>
        </w:rPr>
        <w:t>1. Objectif et positionnement</w:t>
      </w:r>
    </w:p>
    <w:p>
      <w:pPr>
        <w:pStyle w:val="ListBullet"/>
        <w:spacing w:after="50" w:line="259" w:lineRule="auto"/>
        <w:widowControl/>
      </w:pPr>
      <w:r>
        <w:rPr>
          <w:rFonts w:ascii="Arial" w:hAnsi="Arial"/>
          <w:color w:val="1E2226"/>
          <w:sz w:val="20"/>
        </w:rPr>
        <w:t>2. Question de recherche et hypothèses</w:t>
      </w:r>
    </w:p>
    <w:p>
      <w:pPr>
        <w:pStyle w:val="ListBullet"/>
        <w:spacing w:after="50" w:line="259" w:lineRule="auto"/>
        <w:widowControl/>
      </w:pPr>
      <w:r>
        <w:rPr>
          <w:rFonts w:ascii="Arial" w:hAnsi="Arial"/>
          <w:color w:val="1E2226"/>
          <w:sz w:val="20"/>
        </w:rPr>
        <w:t>3. Données et construction point-in-time</w:t>
      </w:r>
    </w:p>
    <w:p>
      <w:pPr>
        <w:pStyle w:val="ListBullet"/>
        <w:spacing w:after="50" w:line="259" w:lineRule="auto"/>
        <w:widowControl/>
      </w:pPr>
      <w:r>
        <w:rPr>
          <w:rFonts w:ascii="Arial" w:hAnsi="Arial"/>
          <w:color w:val="1E2226"/>
          <w:sz w:val="20"/>
        </w:rPr>
        <w:t>4. Construction des features NLP</w:t>
      </w:r>
    </w:p>
    <w:p>
      <w:pPr>
        <w:pStyle w:val="ListBullet"/>
        <w:spacing w:after="50" w:line="259" w:lineRule="auto"/>
        <w:widowControl/>
      </w:pPr>
      <w:r>
        <w:rPr>
          <w:rFonts w:ascii="Arial" w:hAnsi="Arial"/>
          <w:color w:val="1E2226"/>
          <w:sz w:val="20"/>
        </w:rPr>
        <w:t>5. Variables cibles et modèles</w:t>
      </w:r>
    </w:p>
    <w:p>
      <w:pPr>
        <w:pStyle w:val="ListBullet"/>
        <w:spacing w:after="50" w:line="259" w:lineRule="auto"/>
        <w:widowControl/>
      </w:pPr>
      <w:r>
        <w:rPr>
          <w:rFonts w:ascii="Arial" w:hAnsi="Arial"/>
          <w:color w:val="1E2226"/>
          <w:sz w:val="20"/>
        </w:rPr>
        <w:t>6. Protocole de validation</w:t>
      </w:r>
    </w:p>
    <w:p>
      <w:pPr>
        <w:pStyle w:val="ListBullet"/>
        <w:spacing w:after="50" w:line="259" w:lineRule="auto"/>
        <w:widowControl/>
      </w:pPr>
      <w:r>
        <w:rPr>
          <w:rFonts w:ascii="Arial" w:hAnsi="Arial"/>
          <w:color w:val="1E2226"/>
          <w:sz w:val="20"/>
        </w:rPr>
        <w:t>7. Construction du portefeuille</w:t>
      </w:r>
    </w:p>
    <w:p>
      <w:pPr>
        <w:pStyle w:val="ListBullet"/>
        <w:spacing w:after="50" w:line="259" w:lineRule="auto"/>
        <w:widowControl/>
      </w:pPr>
      <w:r>
        <w:rPr>
          <w:rFonts w:ascii="Arial" w:hAnsi="Arial"/>
          <w:color w:val="1E2226"/>
          <w:sz w:val="20"/>
        </w:rPr>
        <w:t>8. Métriques et attribution</w:t>
      </w:r>
    </w:p>
    <w:p>
      <w:pPr>
        <w:pStyle w:val="ListBullet"/>
        <w:spacing w:after="50" w:line="259" w:lineRule="auto"/>
        <w:widowControl/>
      </w:pPr>
      <w:r>
        <w:rPr>
          <w:rFonts w:ascii="Arial" w:hAnsi="Arial"/>
          <w:color w:val="1E2226"/>
          <w:sz w:val="20"/>
        </w:rPr>
        <w:t>9. Tests de robustesse et principaux risques</w:t>
      </w:r>
    </w:p>
    <w:p>
      <w:pPr>
        <w:pStyle w:val="ListBullet"/>
        <w:spacing w:after="50" w:line="259" w:lineRule="auto"/>
        <w:widowControl/>
      </w:pPr>
      <w:r>
        <w:rPr>
          <w:rFonts w:ascii="Arial" w:hAnsi="Arial"/>
          <w:color w:val="1E2226"/>
          <w:sz w:val="20"/>
        </w:rPr>
        <w:t>10. Plan d’exécution en six semaines</w:t>
      </w:r>
    </w:p>
    <w:p>
      <w:pPr>
        <w:pStyle w:val="ListBullet"/>
        <w:spacing w:after="50" w:line="259" w:lineRule="auto"/>
        <w:widowControl/>
      </w:pPr>
      <w:r>
        <w:rPr>
          <w:rFonts w:ascii="Arial" w:hAnsi="Arial"/>
          <w:color w:val="1E2226"/>
          <w:sz w:val="20"/>
        </w:rPr>
        <w:t>11. Architecture GitHub et livrables</w:t>
      </w:r>
    </w:p>
    <w:p>
      <w:pPr>
        <w:pStyle w:val="ListBullet"/>
        <w:spacing w:after="50" w:line="259" w:lineRule="auto"/>
        <w:widowControl/>
      </w:pPr>
      <w:r>
        <w:rPr>
          <w:rFonts w:ascii="Arial" w:hAnsi="Arial"/>
          <w:color w:val="1E2226"/>
          <w:sz w:val="20"/>
        </w:rPr>
        <w:t>12. Formulation pour le CV</w:t>
      </w:r>
    </w:p>
    <w:p>
      <w:pPr>
        <w:pStyle w:val="ListBullet"/>
        <w:spacing w:after="50" w:line="259" w:lineRule="auto"/>
        <w:widowControl/>
      </w:pPr>
      <w:r>
        <w:rPr>
          <w:rFonts w:ascii="Arial" w:hAnsi="Arial"/>
          <w:color w:val="1E2226"/>
          <w:sz w:val="20"/>
        </w:rPr>
        <w:t>13. Ce qu’il faut éviter</w:t>
      </w:r>
    </w:p>
    <w:p>
      <w:pPr>
        <w:pStyle w:val="ListBullet"/>
        <w:spacing w:after="50" w:line="259" w:lineRule="auto"/>
        <w:widowControl/>
      </w:pPr>
      <w:r>
        <w:rPr>
          <w:rFonts w:ascii="Arial" w:hAnsi="Arial"/>
          <w:color w:val="1E2226"/>
          <w:sz w:val="20"/>
        </w:rPr>
        <w:t>14. Extensions possibles</w:t>
      </w:r>
    </w:p>
    <w:p>
      <w:pPr>
        <w:pStyle w:val="ListBullet"/>
        <w:spacing w:after="50" w:line="259" w:lineRule="auto"/>
        <w:widowControl/>
      </w:pPr>
      <w:r>
        <w:rPr>
          <w:rFonts w:ascii="Arial" w:hAnsi="Arial"/>
          <w:color w:val="1E2226"/>
          <w:sz w:val="20"/>
        </w:rPr>
        <w:t>15. Ressources de départ</w:t>
      </w:r>
    </w:p>
    <w:p>
      <w:pPr>
        <w:pStyle w:val="Heading1"/>
        <w:widowControl/>
      </w:pPr>
      <w:r>
        <w:t>1. Objectif et positionnement</w:t>
      </w:r>
    </w:p>
    <w:p>
      <w:pPr>
        <w:keepNext w:val="0"/>
        <w:spacing w:after="100" w:line="269" w:lineRule="auto"/>
        <w:widowControl/>
      </w:pPr>
      <w:r>
        <w:rPr>
          <w:rFonts w:ascii="Arial" w:hAnsi="Arial"/>
          <w:i w:val="0"/>
          <w:color w:val="1E2226"/>
          <w:sz w:val="20"/>
        </w:rPr>
        <w:t>L’objectif est de construire un projet qui ressemble à un véritable pipeline de recherche quantitative. Le livrable final doit permettre à un recruteur de comprendre immédiatement : quelle anomalie est testée, pourquoi elle pourrait exister, comment les données sont datées, comment le modèle est évalué et comment le signal est transformé en portefeuille.</w:t>
      </w:r>
    </w:p>
    <w:p>
      <w:pPr>
        <w:pStyle w:val="Heading2"/>
        <w:widowControl/>
      </w:pPr>
      <w:r>
        <w:t>1.1 Nom et définition du projet</w:t>
      </w:r>
    </w:p>
    <w:p>
      <w:pPr>
        <w:keepNext w:val="0"/>
        <w:spacing w:after="100" w:line="269" w:lineRule="auto"/>
        <w:widowControl/>
      </w:pPr>
      <w:r>
        <w:rPr>
          <w:rFonts w:ascii="Arial" w:hAnsi="Arial"/>
          <w:b/>
          <w:color w:val="1E2226"/>
          <w:sz w:val="20"/>
        </w:rPr>
        <w:t>Nom proposé :</w:t>
      </w:r>
      <w:r>
        <w:rPr>
          <w:rFonts w:ascii="Arial" w:hAnsi="Arial"/>
          <w:i w:val="0"/>
          <w:color w:val="1E2226"/>
          <w:sz w:val="20"/>
        </w:rPr>
        <w:t xml:space="preserve"> DisclosureDelta — Cross-sectional alpha from semantic changes in SEC filings.</w:t>
      </w:r>
    </w:p>
    <w:p>
      <w:pPr>
        <w:keepNext w:val="0"/>
        <w:spacing w:after="100" w:line="269" w:lineRule="auto"/>
        <w:widowControl/>
      </w:pPr>
      <w:r>
        <w:rPr>
          <w:rFonts w:ascii="Arial" w:hAnsi="Arial"/>
          <w:i w:val="0"/>
          <w:color w:val="1E2226"/>
          <w:sz w:val="20"/>
        </w:rPr>
        <w:t>Le système compare les sections importantes de deux filings successifs d’une même entreprise, détecte les ajouts, suppressions et modifications sémantiques, puis mesure si ces changements prédisent la performance ou le risque futur du titre.</w:t>
      </w:r>
    </w:p>
    <w:p>
      <w:pPr>
        <w:pStyle w:val="Heading2"/>
        <w:widowControl/>
      </w:pPr>
      <w:r>
        <w:t>1.2 Pourquoi ne pas refaire un projet FinBERT classique</w:t>
      </w:r>
    </w:p>
    <w:p>
      <w:pPr>
        <w:keepNext w:val="0"/>
        <w:spacing w:after="100" w:line="269" w:lineRule="auto"/>
        <w:widowControl/>
      </w:pPr>
      <w:r>
        <w:rPr>
          <w:rFonts w:ascii="Arial" w:hAnsi="Arial"/>
          <w:i w:val="0"/>
          <w:color w:val="1E2226"/>
          <w:sz w:val="20"/>
        </w:rPr>
        <w:t>Un pipeline du type « news → FinBERT → sentiment → prédiction du prix » est facile à reproduire et rarement convaincant. Il souffre souvent d’un split aléatoire, d’une mauvaise gestion des timestamps, d’une absence de coûts de transaction et d’un manque d’hypothèse économique.</w:t>
      </w:r>
    </w:p>
    <w:p>
      <w:pPr>
        <w:keepNext w:val="0"/>
        <w:spacing w:after="100" w:line="269" w:lineRule="auto"/>
        <w:widowControl/>
      </w:pPr>
      <w:r>
        <w:rPr>
          <w:rFonts w:ascii="Arial" w:hAnsi="Arial"/>
          <w:i w:val="0"/>
          <w:color w:val="1E2226"/>
          <w:sz w:val="20"/>
        </w:rPr>
        <w:t>DisclosureDelta est plus fort parce qu’il met l’accent sur l’information nouvelle. Une publication très négative peut être attendue et déjà intégrée dans les prix ; un changement modéré mais inédit dans la section Liquidity and Capital Resources peut, en revanche, signaler une dégradation encore partiellement sous-réagie.</w:t>
      </w:r>
    </w:p>
    <w:p>
      <w:pPr>
        <w:pStyle w:val="Heading1"/>
        <w:widowControl/>
      </w:pPr>
      <w:r>
        <w:t>2. Question de recherche et hypothèses</w:t>
      </w:r>
    </w:p>
    <w:p>
      <w:pPr>
        <w:pStyle w:val="Heading2"/>
        <w:widowControl/>
      </w:pPr>
      <w:r>
        <w:t>2.1 Question principale</w:t>
      </w:r>
    </w:p>
    <w:tbl>
      <w:tblPr>
        <w:tblW w:type="auto" w:w="0"/>
        <w:jc w:val="center"/>
        <w:tblLayout w:type="fixed"/>
        <w:tblLook w:firstColumn="1" w:firstRow="1" w:lastColumn="0" w:lastRow="0" w:noHBand="0" w:noVBand="1" w:val="04A0"/>
      </w:tblPr>
      <w:tblGrid>
        <w:gridCol w:w="198"/>
        <w:gridCol w:w="8674"/>
      </w:tblGrid>
      <w:tr>
        <w:tc>
          <w:tcPr>
            <w:tcW w:type="dxa" w:w="4762"/>
            <w:shd w:fill="276398"/>
            <w:tcBorders>
              <w:top w:val="nil"/>
              <w:left w:val="nil"/>
              <w:bottom w:val="nil"/>
              <w:right w:val="nil"/>
            </w:tcBorders>
            <w:vAlign w:val="center"/>
          </w:tcPr>
          <w:p>
            <w:r/>
          </w:p>
        </w:tc>
        <w:tc>
          <w:tcPr>
            <w:tcW w:type="dxa" w:w="4762"/>
            <w:shd w:fill="EAF2F8"/>
            <w:tcBorders>
              <w:top w:val="nil"/>
              <w:left w:val="nil"/>
              <w:bottom w:val="nil"/>
              <w:right w:val="nil"/>
            </w:tcBorders>
            <w:vAlign w:val="center"/>
          </w:tcPr>
          <w:p>
            <w:pPr>
              <w:spacing w:before="120" w:after="40"/>
            </w:pPr>
            <w:r>
              <w:rPr>
                <w:rFonts w:ascii="Arial" w:hAnsi="Arial"/>
                <w:b/>
                <w:color w:val="16304C"/>
                <w:sz w:val="20"/>
              </w:rPr>
              <w:t>Question de recherche</w:t>
            </w:r>
          </w:p>
          <w:p>
            <w:pPr>
              <w:spacing w:after="120" w:line="259" w:lineRule="auto"/>
            </w:pPr>
            <w:r>
              <w:rPr>
                <w:rFonts w:ascii="Arial" w:hAnsi="Arial"/>
                <w:color w:val="1E2226"/>
                <w:sz w:val="19"/>
              </w:rPr>
              <w:t>Les changements sémantiques inattendus dans les rapports 10-Q et 10-K contiennent-ils une information prédictive sur les rendements anormaux et le risque futur des actions ?</w:t>
            </w:r>
          </w:p>
        </w:tc>
      </w:tr>
    </w:tbl>
    <w:p>
      <w:pPr>
        <w:spacing w:after="0"/>
        <w:widowControl/>
      </w:pPr>
    </w:p>
    <w:p>
      <w:pPr>
        <w:pStyle w:val="Heading2"/>
        <w:widowControl/>
      </w:pPr>
      <w:r>
        <w:t>2.2 Hypothèse économique</w:t>
      </w:r>
    </w:p>
    <w:p>
      <w:pPr>
        <w:keepNext w:val="0"/>
        <w:spacing w:after="100" w:line="269" w:lineRule="auto"/>
        <w:widowControl/>
      </w:pPr>
      <w:r>
        <w:rPr>
          <w:rFonts w:ascii="Arial" w:hAnsi="Arial"/>
          <w:i w:val="0"/>
          <w:color w:val="1E2226"/>
          <w:sz w:val="20"/>
        </w:rPr>
        <w:t>L’hypothèse n’est pas que le ton négatif entraîne mécaniquement une baisse du cours. Elle est que la modification inhabituelle du langage d’une entreprise, relativement à son historique et au discours de son secteur, peut révéler une évolution des fondamentaux ou des risques encore imparfaitement intégrée par le marché.</w:t>
      </w:r>
    </w:p>
    <w:p>
      <w:pPr>
        <w:keepNext w:val="0"/>
        <w:spacing w:after="100" w:line="269" w:lineRule="auto"/>
        <w:widowControl/>
      </w:pPr>
      <w:r>
        <w:rPr>
          <w:rFonts w:ascii="Arial" w:hAnsi="Arial"/>
          <w:i w:val="0"/>
          <w:color w:val="1E2226"/>
          <w:sz w:val="20"/>
        </w:rPr>
        <w:t>Plusieurs mécanismes peuvent expliquer une sous-réaction : longueur et complexité des documents, attention limitée des investisseurs, langage juridique diffus, faible comparabilité d’une année sur l’autre et hétérogénéité de l’information entre sections.</w:t>
      </w:r>
    </w:p>
    <w:p>
      <w:pPr>
        <w:pStyle w:val="Heading2"/>
        <w:widowControl/>
      </w:pPr>
      <w:r>
        <w:t>2.3 Hypothèses testables</w:t>
      </w:r>
    </w:p>
    <w:p>
      <w:pPr>
        <w:pStyle w:val="ListBullet"/>
        <w:spacing w:after="50" w:line="259" w:lineRule="auto"/>
        <w:widowControl/>
      </w:pPr>
      <w:r>
        <w:rPr>
          <w:rFonts w:ascii="Arial" w:hAnsi="Arial"/>
          <w:color w:val="1E2226"/>
          <w:sz w:val="20"/>
        </w:rPr>
        <w:t>H1 — Novelty : une hausse inhabituelle de la distance sémantique entre deux filings prédit une augmentation de la volatilité ou du risque de baisse.</w:t>
      </w:r>
    </w:p>
    <w:p>
      <w:pPr>
        <w:pStyle w:val="ListBullet"/>
        <w:spacing w:after="50" w:line="259" w:lineRule="auto"/>
        <w:widowControl/>
      </w:pPr>
      <w:r>
        <w:rPr>
          <w:rFonts w:ascii="Arial" w:hAnsi="Arial"/>
          <w:color w:val="1E2226"/>
          <w:sz w:val="20"/>
        </w:rPr>
        <w:t>H2 — Direction : une dégradation du ton dans les paragraphes nouvellement ajoutés prédit des rendements anormaux futurs plus faibles.</w:t>
      </w:r>
    </w:p>
    <w:p>
      <w:pPr>
        <w:pStyle w:val="ListBullet"/>
        <w:spacing w:after="50" w:line="259" w:lineRule="auto"/>
        <w:widowControl/>
      </w:pPr>
      <w:r>
        <w:rPr>
          <w:rFonts w:ascii="Arial" w:hAnsi="Arial"/>
          <w:color w:val="1E2226"/>
          <w:sz w:val="20"/>
        </w:rPr>
        <w:t>H3 — Information relative : une variation propre à l’entreprise, après neutralisation du secteur, est plus informative qu’un changement brut.</w:t>
      </w:r>
    </w:p>
    <w:p>
      <w:pPr>
        <w:pStyle w:val="ListBullet"/>
        <w:spacing w:after="50" w:line="259" w:lineRule="auto"/>
        <w:widowControl/>
      </w:pPr>
      <w:r>
        <w:rPr>
          <w:rFonts w:ascii="Arial" w:hAnsi="Arial"/>
          <w:color w:val="1E2226"/>
          <w:sz w:val="20"/>
        </w:rPr>
        <w:t>H4 — Localisation : les changements dans Risk Factors, MD&amp;A et Liquidity and Capital Resources n’ont pas le même pouvoir prédictif.</w:t>
      </w:r>
    </w:p>
    <w:p>
      <w:pPr>
        <w:pStyle w:val="ListBullet"/>
        <w:spacing w:after="50" w:line="259" w:lineRule="auto"/>
        <w:widowControl/>
      </w:pPr>
      <w:r>
        <w:rPr>
          <w:rFonts w:ascii="Arial" w:hAnsi="Arial"/>
          <w:color w:val="1E2226"/>
          <w:sz w:val="20"/>
        </w:rPr>
        <w:t>H5 — Non-linéarité : les modèles d’arbres ou de ranking capturent mieux les interactions entre novelty, sentiment, taille et liquidité que les modèles linéaires.</w:t>
      </w:r>
    </w:p>
    <w:p>
      <w:pPr>
        <w:pStyle w:val="Heading1"/>
        <w:widowControl/>
      </w:pPr>
      <w:r>
        <w:t>3. Données et construction point-in-time</w:t>
      </w:r>
    </w:p>
    <w:p>
      <w:pPr>
        <w:pStyle w:val="Heading2"/>
        <w:widowControl/>
      </w:pPr>
      <w:r>
        <w:t>3.1 Documents réglementaires</w:t>
      </w:r>
    </w:p>
    <w:p>
      <w:pPr>
        <w:keepNext w:val="0"/>
        <w:spacing w:after="100" w:line="269" w:lineRule="auto"/>
        <w:widowControl/>
      </w:pPr>
      <w:r>
        <w:rPr>
          <w:rFonts w:ascii="Arial" w:hAnsi="Arial"/>
          <w:i w:val="0"/>
          <w:color w:val="1E2226"/>
          <w:sz w:val="20"/>
        </w:rPr>
        <w:t>La source principale est EDGAR, la base de publications de la Securities and Exchange Commission. Le périmètre initial doit rester contrôlé : rapports annuels 10-K et trimestriels 10-Q, puis éventuellement 8-K dans une extension.</w:t>
      </w:r>
    </w:p>
    <w:p>
      <w:pPr>
        <w:keepNext w:val="0"/>
        <w:spacing w:after="100" w:line="269" w:lineRule="auto"/>
        <w:widowControl/>
      </w:pPr>
      <w:r>
        <w:rPr>
          <w:rFonts w:ascii="Arial" w:hAnsi="Arial"/>
          <w:i w:val="0"/>
          <w:color w:val="1E2226"/>
          <w:sz w:val="20"/>
        </w:rPr>
        <w:t>Pour chaque document, les champs suivants doivent être conservés :</w:t>
      </w:r>
    </w:p>
    <w:p>
      <w:pPr>
        <w:pStyle w:val="ListBullet"/>
        <w:spacing w:after="50" w:line="259" w:lineRule="auto"/>
        <w:widowControl/>
      </w:pPr>
      <w:r>
        <w:rPr>
          <w:rFonts w:ascii="Arial" w:hAnsi="Arial"/>
          <w:color w:val="1E2226"/>
          <w:sz w:val="20"/>
        </w:rPr>
        <w:t>CIK, ticker et identifiant permanent de l’entreprise ;</w:t>
      </w:r>
    </w:p>
    <w:p>
      <w:pPr>
        <w:pStyle w:val="ListBullet"/>
        <w:spacing w:after="50" w:line="259" w:lineRule="auto"/>
        <w:widowControl/>
      </w:pPr>
      <w:r>
        <w:rPr>
          <w:rFonts w:ascii="Arial" w:hAnsi="Arial"/>
          <w:color w:val="1E2226"/>
          <w:sz w:val="20"/>
        </w:rPr>
        <w:t>type de formulaire et accession number ;</w:t>
      </w:r>
    </w:p>
    <w:p>
      <w:pPr>
        <w:pStyle w:val="ListBullet"/>
        <w:spacing w:after="50" w:line="259" w:lineRule="auto"/>
        <w:widowControl/>
      </w:pPr>
      <w:r>
        <w:rPr>
          <w:rFonts w:ascii="Arial" w:hAnsi="Arial"/>
          <w:color w:val="1E2226"/>
          <w:sz w:val="20"/>
        </w:rPr>
        <w:t>période comptable couverte ;</w:t>
      </w:r>
    </w:p>
    <w:p>
      <w:pPr>
        <w:pStyle w:val="ListBullet"/>
        <w:spacing w:after="50" w:line="259" w:lineRule="auto"/>
        <w:widowControl/>
      </w:pPr>
      <w:r>
        <w:rPr>
          <w:rFonts w:ascii="Arial" w:hAnsi="Arial"/>
          <w:color w:val="1E2226"/>
          <w:sz w:val="20"/>
        </w:rPr>
        <w:t>date et heure exacte d’acceptation par EDGAR ;</w:t>
      </w:r>
    </w:p>
    <w:p>
      <w:pPr>
        <w:pStyle w:val="ListBullet"/>
        <w:spacing w:after="50" w:line="259" w:lineRule="auto"/>
        <w:widowControl/>
      </w:pPr>
      <w:r>
        <w:rPr>
          <w:rFonts w:ascii="Arial" w:hAnsi="Arial"/>
          <w:color w:val="1E2226"/>
          <w:sz w:val="20"/>
        </w:rPr>
        <w:t>URL ou chemin du document source ;</w:t>
      </w:r>
    </w:p>
    <w:p>
      <w:pPr>
        <w:pStyle w:val="ListBullet"/>
        <w:spacing w:after="50" w:line="259" w:lineRule="auto"/>
        <w:widowControl/>
      </w:pPr>
      <w:r>
        <w:rPr>
          <w:rFonts w:ascii="Arial" w:hAnsi="Arial"/>
          <w:color w:val="1E2226"/>
          <w:sz w:val="20"/>
        </w:rPr>
        <w:t>texte brut et texte nettoyé par section ;</w:t>
      </w:r>
    </w:p>
    <w:p>
      <w:pPr>
        <w:pStyle w:val="ListBullet"/>
        <w:spacing w:after="50" w:line="259" w:lineRule="auto"/>
        <w:widowControl/>
      </w:pPr>
      <w:r>
        <w:rPr>
          <w:rFonts w:ascii="Arial" w:hAnsi="Arial"/>
          <w:color w:val="1E2226"/>
          <w:sz w:val="20"/>
        </w:rPr>
        <w:t>version du parseur et date d’ingestion.</w:t>
      </w:r>
    </w:p>
    <w:p>
      <w:pPr>
        <w:pStyle w:val="Heading2"/>
        <w:widowControl/>
      </w:pPr>
      <w:r>
        <w:t>3.2 Sections prioritaires</w:t>
      </w:r>
    </w:p>
    <w:p>
      <w:pPr>
        <w:keepNext w:val="0"/>
        <w:spacing w:after="100" w:line="269" w:lineRule="auto"/>
        <w:widowControl/>
      </w:pPr>
      <w:r>
        <w:rPr>
          <w:rFonts w:ascii="Arial" w:hAnsi="Arial"/>
          <w:i w:val="0"/>
          <w:color w:val="1E2226"/>
          <w:sz w:val="20"/>
        </w:rPr>
        <w:t>Le premier prototype ne doit pas traiter tout le document. Il est préférable d’extraire correctement trois sections à forte valeur informationnelle :</w:t>
      </w:r>
    </w:p>
    <w:p>
      <w:pPr>
        <w:pStyle w:val="ListBullet"/>
        <w:spacing w:after="50" w:line="259" w:lineRule="auto"/>
        <w:widowControl/>
      </w:pPr>
      <w:r>
        <w:rPr>
          <w:rFonts w:ascii="Arial" w:hAnsi="Arial"/>
          <w:color w:val="1E2226"/>
          <w:sz w:val="20"/>
        </w:rPr>
        <w:t>Risk Factors ;</w:t>
      </w:r>
    </w:p>
    <w:p>
      <w:pPr>
        <w:pStyle w:val="ListBullet"/>
        <w:spacing w:after="50" w:line="259" w:lineRule="auto"/>
        <w:widowControl/>
      </w:pPr>
      <w:r>
        <w:rPr>
          <w:rFonts w:ascii="Arial" w:hAnsi="Arial"/>
          <w:color w:val="1E2226"/>
          <w:sz w:val="20"/>
        </w:rPr>
        <w:t>Management’s Discussion and Analysis — MD&amp;A ;</w:t>
      </w:r>
    </w:p>
    <w:p>
      <w:pPr>
        <w:pStyle w:val="ListBullet"/>
        <w:spacing w:after="50" w:line="259" w:lineRule="auto"/>
        <w:widowControl/>
      </w:pPr>
      <w:r>
        <w:rPr>
          <w:rFonts w:ascii="Arial" w:hAnsi="Arial"/>
          <w:color w:val="1E2226"/>
          <w:sz w:val="20"/>
        </w:rPr>
        <w:t>Liquidity and Capital Resources.</w:t>
      </w:r>
    </w:p>
    <w:p>
      <w:pPr>
        <w:keepNext w:val="0"/>
        <w:spacing w:after="100" w:line="269" w:lineRule="auto"/>
        <w:widowControl/>
      </w:pPr>
      <w:r>
        <w:rPr>
          <w:rFonts w:ascii="Arial" w:hAnsi="Arial"/>
          <w:i w:val="0"/>
          <w:color w:val="1E2226"/>
          <w:sz w:val="20"/>
        </w:rPr>
        <w:t>Cette restriction améliore la qualité du parsing, accélère les expériences et permet une analyse économique par type d’information.</w:t>
      </w:r>
    </w:p>
    <w:p>
      <w:pPr>
        <w:pStyle w:val="Heading2"/>
        <w:widowControl/>
      </w:pPr>
      <w:r>
        <w:t>3.3 Univers d’actions</w:t>
      </w:r>
    </w:p>
    <w:p>
      <w:pPr>
        <w:keepNext w:val="0"/>
        <w:spacing w:after="100" w:line="269" w:lineRule="auto"/>
        <w:widowControl/>
      </w:pPr>
      <w:r>
        <w:rPr>
          <w:rFonts w:ascii="Arial" w:hAnsi="Arial"/>
          <w:i w:val="0"/>
          <w:color w:val="1E2226"/>
          <w:sz w:val="20"/>
        </w:rPr>
        <w:t>La version idéale s’appuie sur un univers historique point-in-time issu de CRSP/Compustat via WRDS. Elle permet de gérer les changements de ticker, radiations, fusions et appartenances historiques à l’univers.</w:t>
      </w:r>
    </w:p>
    <w:p>
      <w:pPr>
        <w:keepNext w:val="0"/>
        <w:spacing w:after="100" w:line="269" w:lineRule="auto"/>
        <w:widowControl/>
      </w:pPr>
      <w:r>
        <w:rPr>
          <w:rFonts w:ascii="Arial" w:hAnsi="Arial"/>
          <w:i w:val="0"/>
          <w:color w:val="1E2226"/>
          <w:sz w:val="20"/>
        </w:rPr>
        <w:t>Sans accès à WRDS, une version publique reste possible : 300 à 500 actions américaines liquides, exclusion des microcapitalisations et documentation explicite du biais de survivance. Le backtest doit alors être présenté comme une preuve de concept, non comme une estimation définitive d’un alpha tradable.</w:t>
      </w:r>
    </w:p>
    <w:p>
      <w:pPr>
        <w:pStyle w:val="Heading2"/>
        <w:widowControl/>
      </w:pPr>
      <w:r>
        <w:t>3.4 Données de marché et facteurs</w:t>
      </w:r>
    </w:p>
    <w:p>
      <w:pPr>
        <w:pStyle w:val="ListBullet"/>
        <w:spacing w:after="50" w:line="259" w:lineRule="auto"/>
        <w:widowControl/>
      </w:pPr>
      <w:r>
        <w:rPr>
          <w:rFonts w:ascii="Arial" w:hAnsi="Arial"/>
          <w:color w:val="1E2226"/>
          <w:sz w:val="20"/>
        </w:rPr>
        <w:t>Prix ajustés et rendements journaliers ;</w:t>
      </w:r>
    </w:p>
    <w:p>
      <w:pPr>
        <w:pStyle w:val="ListBullet"/>
        <w:spacing w:after="50" w:line="259" w:lineRule="auto"/>
        <w:widowControl/>
      </w:pPr>
      <w:r>
        <w:rPr>
          <w:rFonts w:ascii="Arial" w:hAnsi="Arial"/>
          <w:color w:val="1E2226"/>
          <w:sz w:val="20"/>
        </w:rPr>
        <w:t>volume, dollar volume et ADV ;</w:t>
      </w:r>
    </w:p>
    <w:p>
      <w:pPr>
        <w:pStyle w:val="ListBullet"/>
        <w:spacing w:after="50" w:line="259" w:lineRule="auto"/>
        <w:widowControl/>
      </w:pPr>
      <w:r>
        <w:rPr>
          <w:rFonts w:ascii="Arial" w:hAnsi="Arial"/>
          <w:color w:val="1E2226"/>
          <w:sz w:val="20"/>
        </w:rPr>
        <w:t>capitalisation et classification sectorielle ;</w:t>
      </w:r>
    </w:p>
    <w:p>
      <w:pPr>
        <w:pStyle w:val="ListBullet"/>
        <w:spacing w:after="50" w:line="259" w:lineRule="auto"/>
        <w:widowControl/>
      </w:pPr>
      <w:r>
        <w:rPr>
          <w:rFonts w:ascii="Arial" w:hAnsi="Arial"/>
          <w:color w:val="1E2226"/>
          <w:sz w:val="20"/>
        </w:rPr>
        <w:t>beta marché et volatilité historique ;</w:t>
      </w:r>
    </w:p>
    <w:p>
      <w:pPr>
        <w:pStyle w:val="ListBullet"/>
        <w:spacing w:after="50" w:line="259" w:lineRule="auto"/>
        <w:widowControl/>
      </w:pPr>
      <w:r>
        <w:rPr>
          <w:rFonts w:ascii="Arial" w:hAnsi="Arial"/>
          <w:color w:val="1E2226"/>
          <w:sz w:val="20"/>
        </w:rPr>
        <w:t>facteurs Fama-French et momentum ;</w:t>
      </w:r>
    </w:p>
    <w:p>
      <w:pPr>
        <w:pStyle w:val="ListBullet"/>
        <w:spacing w:after="50" w:line="259" w:lineRule="auto"/>
        <w:widowControl/>
      </w:pPr>
      <w:r>
        <w:rPr>
          <w:rFonts w:ascii="Arial" w:hAnsi="Arial"/>
          <w:color w:val="1E2226"/>
          <w:sz w:val="20"/>
        </w:rPr>
        <w:t>dates de résultats, lorsque disponibles, pour distinguer l’effet du filing de l’effet earnings.</w:t>
      </w:r>
    </w:p>
    <w:p>
      <w:pPr>
        <w:pStyle w:val="Heading2"/>
        <w:widowControl/>
      </w:pPr>
      <w:r>
        <w:t>3.5 Règle de disponibilité de l’information</w:t>
      </w:r>
    </w:p>
    <w:p>
      <w:pPr>
        <w:keepNext w:val="0"/>
        <w:spacing w:after="100" w:line="269" w:lineRule="auto"/>
        <w:widowControl/>
      </w:pPr>
      <w:r>
        <w:rPr>
          <w:rFonts w:ascii="Arial" w:hAnsi="Arial"/>
          <w:i w:val="0"/>
          <w:color w:val="1E2226"/>
          <w:sz w:val="20"/>
        </w:rPr>
        <w:t>Le timestamp EDGAR est central. Le signal ne doit jamais être exécuté avant que le document soit publiquement disponible. Une convention conservatrice consiste à exécuter toute observation au prochain open après l’heure d’acceptation, y compris lorsque le filing est publié pendant la séance.</w:t>
      </w:r>
    </w:p>
    <w:tbl>
      <w:tblPr>
        <w:tblW w:type="auto" w:w="0"/>
        <w:jc w:val="center"/>
        <w:tblLayout w:type="fixed"/>
        <w:tblLook w:firstColumn="1" w:firstRow="1" w:lastColumn="0" w:lastRow="0" w:noHBand="0" w:noVBand="1" w:val="04A0"/>
      </w:tblPr>
      <w:tblGrid>
        <w:gridCol w:w="198"/>
        <w:gridCol w:w="8674"/>
      </w:tblGrid>
      <w:tr>
        <w:tc>
          <w:tcPr>
            <w:tcW w:type="dxa" w:w="4762"/>
            <w:shd w:fill="276398"/>
            <w:tcBorders>
              <w:top w:val="nil"/>
              <w:left w:val="nil"/>
              <w:bottom w:val="nil"/>
              <w:right w:val="nil"/>
            </w:tcBorders>
            <w:vAlign w:val="center"/>
          </w:tcPr>
          <w:p>
            <w:r/>
          </w:p>
        </w:tc>
        <w:tc>
          <w:tcPr>
            <w:tcW w:type="dxa" w:w="4762"/>
            <w:shd w:fill="EAF2F8"/>
            <w:tcBorders>
              <w:top w:val="nil"/>
              <w:left w:val="nil"/>
              <w:bottom w:val="nil"/>
              <w:right w:val="nil"/>
            </w:tcBorders>
            <w:vAlign w:val="center"/>
          </w:tcPr>
          <w:p>
            <w:pPr>
              <w:spacing w:before="120" w:after="40"/>
            </w:pPr>
            <w:r>
              <w:rPr>
                <w:rFonts w:ascii="Arial" w:hAnsi="Arial"/>
                <w:b/>
                <w:color w:val="16304C"/>
                <w:sz w:val="20"/>
              </w:rPr>
              <w:t>Principe point-in-time</w:t>
            </w:r>
          </w:p>
          <w:p>
            <w:pPr>
              <w:spacing w:after="120" w:line="259" w:lineRule="auto"/>
            </w:pPr>
            <w:r>
              <w:rPr>
                <w:rFonts w:ascii="Arial" w:hAnsi="Arial"/>
                <w:color w:val="1E2226"/>
                <w:sz w:val="19"/>
              </w:rPr>
              <w:t>À la date t, aucune feature, transformation, normalisation ou appartenance à l’univers ne doit utiliser une information apparue après t.</w:t>
            </w:r>
          </w:p>
        </w:tc>
      </w:tr>
    </w:tbl>
    <w:p>
      <w:pPr>
        <w:spacing w:after="0"/>
        <w:widowControl/>
      </w:pPr>
    </w:p>
    <w:p>
      <w:pPr>
        <w:pStyle w:val="Heading1"/>
        <w:widowControl/>
      </w:pPr>
      <w:r>
        <w:t>4. Construction des features NLP</w:t>
      </w:r>
    </w:p>
    <w:p>
      <w:pPr>
        <w:keepNext w:val="0"/>
        <w:spacing w:after="100" w:line="269" w:lineRule="auto"/>
        <w:widowControl/>
      </w:pPr>
      <w:r>
        <w:rPr>
          <w:rFonts w:ascii="Arial" w:hAnsi="Arial"/>
          <w:i w:val="0"/>
          <w:color w:val="1E2226"/>
          <w:sz w:val="20"/>
        </w:rPr>
        <w:t>Le projet doit suivre une progression claire : commencer par des baselines interprétables, puis ajouter des représentations contextualisées et des extractions structurées. Chaque niveau doit être évalué séparément dans une étude d’ablation.</w:t>
      </w:r>
    </w:p>
    <w:p>
      <w:pPr>
        <w:pStyle w:val="Heading2"/>
        <w:widowControl/>
      </w:pPr>
      <w:r>
        <w:t>4.1 Niveau 1 — Baseline lexicale</w:t>
      </w:r>
    </w:p>
    <w:p>
      <w:pPr>
        <w:keepNext w:val="0"/>
        <w:spacing w:after="100" w:line="269" w:lineRule="auto"/>
        <w:widowControl/>
      </w:pPr>
      <w:r>
        <w:rPr>
          <w:rFonts w:ascii="Arial" w:hAnsi="Arial"/>
          <w:i w:val="0"/>
          <w:color w:val="1E2226"/>
          <w:sz w:val="20"/>
        </w:rPr>
        <w:t>Construire des variables simples avec le dictionnaire Loughran-McDonald et des mesures de style :</w:t>
      </w:r>
    </w:p>
    <w:p>
      <w:pPr>
        <w:pStyle w:val="ListBullet"/>
        <w:spacing w:after="50" w:line="259" w:lineRule="auto"/>
        <w:widowControl/>
      </w:pPr>
      <w:r>
        <w:rPr>
          <w:rFonts w:ascii="Arial" w:hAnsi="Arial"/>
          <w:color w:val="1E2226"/>
          <w:sz w:val="20"/>
        </w:rPr>
        <w:t>proportion de termes négatifs, positifs et d’incertitude ;</w:t>
      </w:r>
    </w:p>
    <w:p>
      <w:pPr>
        <w:pStyle w:val="ListBullet"/>
        <w:spacing w:after="50" w:line="259" w:lineRule="auto"/>
        <w:widowControl/>
      </w:pPr>
      <w:r>
        <w:rPr>
          <w:rFonts w:ascii="Arial" w:hAnsi="Arial"/>
          <w:color w:val="1E2226"/>
          <w:sz w:val="20"/>
        </w:rPr>
        <w:t>litigiousness et constraining language ;</w:t>
      </w:r>
    </w:p>
    <w:p>
      <w:pPr>
        <w:pStyle w:val="ListBullet"/>
        <w:spacing w:after="50" w:line="259" w:lineRule="auto"/>
        <w:widowControl/>
      </w:pPr>
      <w:r>
        <w:rPr>
          <w:rFonts w:ascii="Arial" w:hAnsi="Arial"/>
          <w:color w:val="1E2226"/>
          <w:sz w:val="20"/>
        </w:rPr>
        <w:t>modalité forte et faible ;</w:t>
      </w:r>
    </w:p>
    <w:p>
      <w:pPr>
        <w:pStyle w:val="ListBullet"/>
        <w:spacing w:after="50" w:line="259" w:lineRule="auto"/>
        <w:widowControl/>
      </w:pPr>
      <w:r>
        <w:rPr>
          <w:rFonts w:ascii="Arial" w:hAnsi="Arial"/>
          <w:color w:val="1E2226"/>
          <w:sz w:val="20"/>
        </w:rPr>
        <w:t>longueur moyenne des phrases ;</w:t>
      </w:r>
    </w:p>
    <w:p>
      <w:pPr>
        <w:pStyle w:val="ListBullet"/>
        <w:spacing w:after="50" w:line="259" w:lineRule="auto"/>
        <w:widowControl/>
      </w:pPr>
      <w:r>
        <w:rPr>
          <w:rFonts w:ascii="Arial" w:hAnsi="Arial"/>
          <w:color w:val="1E2226"/>
          <w:sz w:val="20"/>
        </w:rPr>
        <w:t>complexité syntaxique et lisibilité ;</w:t>
      </w:r>
    </w:p>
    <w:p>
      <w:pPr>
        <w:pStyle w:val="ListBullet"/>
        <w:spacing w:after="50" w:line="259" w:lineRule="auto"/>
        <w:widowControl/>
      </w:pPr>
      <w:r>
        <w:rPr>
          <w:rFonts w:ascii="Arial" w:hAnsi="Arial"/>
          <w:color w:val="1E2226"/>
          <w:sz w:val="20"/>
        </w:rPr>
        <w:t>densité numérique ;</w:t>
      </w:r>
    </w:p>
    <w:p>
      <w:pPr>
        <w:pStyle w:val="ListBullet"/>
        <w:spacing w:after="50" w:line="259" w:lineRule="auto"/>
        <w:widowControl/>
      </w:pPr>
      <w:r>
        <w:rPr>
          <w:rFonts w:ascii="Arial" w:hAnsi="Arial"/>
          <w:color w:val="1E2226"/>
          <w:sz w:val="20"/>
        </w:rPr>
        <w:t>proportion de phrases prospectives ;</w:t>
      </w:r>
    </w:p>
    <w:p>
      <w:pPr>
        <w:pStyle w:val="ListBullet"/>
        <w:spacing w:after="50" w:line="259" w:lineRule="auto"/>
        <w:widowControl/>
      </w:pPr>
      <w:r>
        <w:rPr>
          <w:rFonts w:ascii="Arial" w:hAnsi="Arial"/>
          <w:color w:val="1E2226"/>
          <w:sz w:val="20"/>
        </w:rPr>
        <w:t>taille et variation de taille de chaque section.</w:t>
      </w:r>
    </w:p>
    <w:p>
      <w:pPr>
        <w:keepNext w:val="0"/>
        <w:spacing w:after="100" w:line="269" w:lineRule="auto"/>
        <w:widowControl/>
      </w:pPr>
      <w:r>
        <w:rPr>
          <w:rFonts w:ascii="Arial" w:hAnsi="Arial"/>
          <w:i w:val="0"/>
          <w:color w:val="1E2226"/>
          <w:sz w:val="20"/>
        </w:rPr>
        <w:t>Ces variables constituent une référence indispensable. Elles permettent d’évaluer si un modèle moderne apporte une information au-delà d’un traitement lexical reproductible.</w:t>
      </w:r>
    </w:p>
    <w:p>
      <w:pPr>
        <w:pStyle w:val="Heading2"/>
        <w:widowControl/>
      </w:pPr>
      <w:r>
        <w:t>4.2 Niveau 2 — Sentiment contextualisé</w:t>
      </w:r>
    </w:p>
    <w:p>
      <w:pPr>
        <w:keepNext w:val="0"/>
        <w:spacing w:after="100" w:line="269" w:lineRule="auto"/>
        <w:widowControl/>
      </w:pPr>
      <w:r>
        <w:rPr>
          <w:rFonts w:ascii="Arial" w:hAnsi="Arial"/>
          <w:i w:val="0"/>
          <w:color w:val="1E2226"/>
          <w:sz w:val="20"/>
        </w:rPr>
        <w:t>Appliquer FinBERT phrase par phrase, puis agréger les probabilités de sentiment au niveau du paragraphe, de la section et du document.</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Exemple de score agrégé</w:t>
              <w:br/>
            </w:r>
            <w:r>
              <w:rPr>
                <w:rFonts w:ascii="Cambria Math" w:hAnsi="Cambria Math"/>
                <w:color w:val="16304C"/>
                <w:sz w:val="22"/>
              </w:rPr>
              <w:t>Sentiment(i,t) = (1 / N(i,t)) × Σ[j=1..N(i,t)] [p⁺(i,t,j) − p⁻(i,t,j)]</w:t>
            </w:r>
          </w:p>
        </w:tc>
      </w:tr>
    </w:tbl>
    <w:p>
      <w:pPr>
        <w:spacing w:after="0"/>
        <w:widowControl/>
      </w:pPr>
    </w:p>
    <w:p>
      <w:pPr>
        <w:keepNext w:val="0"/>
        <w:spacing w:after="100" w:line="269" w:lineRule="auto"/>
        <w:widowControl/>
      </w:pPr>
      <w:r>
        <w:rPr>
          <w:rFonts w:ascii="Arial" w:hAnsi="Arial"/>
          <w:i w:val="0"/>
          <w:color w:val="1E2226"/>
          <w:sz w:val="20"/>
        </w:rPr>
        <w:t>Le niveau absolu de sentiment est une baseline, non le signal principal. Il doit être complété par sa variation par rapport au filing précédent.</w:t>
      </w:r>
    </w:p>
    <w:p>
      <w:pPr>
        <w:pStyle w:val="Heading2"/>
        <w:widowControl/>
      </w:pPr>
      <w:r>
        <w:t>4.3 Niveau 3 — Semantic delta</w:t>
      </w:r>
    </w:p>
    <w:p>
      <w:pPr>
        <w:keepNext w:val="0"/>
        <w:spacing w:after="100" w:line="269" w:lineRule="auto"/>
        <w:widowControl/>
      </w:pPr>
      <w:r>
        <w:rPr>
          <w:rFonts w:ascii="Arial" w:hAnsi="Arial"/>
          <w:i w:val="0"/>
          <w:color w:val="1E2226"/>
          <w:sz w:val="20"/>
        </w:rPr>
        <w:t>Pour chaque section, comparer la publication courante à la publication précédente de même type. Une première mesure est la distance cosinus entre les embeddings des deux sections.</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Distance sémantique entre deux publications successives</w:t>
              <w:br/>
            </w:r>
            <w:r>
              <w:rPr>
                <w:rFonts w:ascii="Cambria Math" w:hAnsi="Cambria Math"/>
                <w:color w:val="16304C"/>
                <w:sz w:val="22"/>
              </w:rPr>
              <w:t>Δ_semantic(i,t) = 1 − cos(e(D(i,t)), e(D(i,t−1)))</w:t>
            </w:r>
          </w:p>
        </w:tc>
      </w:tr>
    </w:tbl>
    <w:p>
      <w:pPr>
        <w:spacing w:after="0"/>
        <w:widowControl/>
      </w:pPr>
    </w:p>
    <w:p>
      <w:pPr>
        <w:keepNext w:val="0"/>
        <w:spacing w:after="100" w:line="269" w:lineRule="auto"/>
        <w:widowControl/>
      </w:pPr>
      <w:r>
        <w:rPr>
          <w:rFonts w:ascii="Arial" w:hAnsi="Arial"/>
          <w:i w:val="0"/>
          <w:color w:val="1E2226"/>
          <w:sz w:val="20"/>
        </w:rPr>
        <w:t>Une version plus robuste travaille au niveau des paragraphes :</w:t>
      </w:r>
    </w:p>
    <w:p>
      <w:pPr>
        <w:pStyle w:val="ListNumber"/>
        <w:spacing w:after="60" w:line="259" w:lineRule="auto"/>
        <w:widowControl/>
      </w:pPr>
      <w:r>
        <w:rPr>
          <w:rFonts w:ascii="Arial" w:hAnsi="Arial"/>
          <w:color w:val="1E2226"/>
          <w:sz w:val="20"/>
        </w:rPr>
        <w:t>segmenter chaque section en paragraphes ;</w:t>
      </w:r>
    </w:p>
    <w:p>
      <w:pPr>
        <w:pStyle w:val="ListNumber"/>
        <w:spacing w:after="60" w:line="259" w:lineRule="auto"/>
        <w:widowControl/>
      </w:pPr>
      <w:r>
        <w:rPr>
          <w:rFonts w:ascii="Arial" w:hAnsi="Arial"/>
          <w:color w:val="1E2226"/>
          <w:sz w:val="20"/>
        </w:rPr>
        <w:t>calculer les embeddings ;</w:t>
      </w:r>
    </w:p>
    <w:p>
      <w:pPr>
        <w:pStyle w:val="ListNumber"/>
        <w:spacing w:after="60" w:line="259" w:lineRule="auto"/>
        <w:widowControl/>
      </w:pPr>
      <w:r>
        <w:rPr>
          <w:rFonts w:ascii="Arial" w:hAnsi="Arial"/>
          <w:color w:val="1E2226"/>
          <w:sz w:val="20"/>
        </w:rPr>
        <w:t>apparier les paragraphes actuels et antérieurs par similarité ;</w:t>
      </w:r>
    </w:p>
    <w:p>
      <w:pPr>
        <w:pStyle w:val="ListNumber"/>
        <w:spacing w:after="60" w:line="259" w:lineRule="auto"/>
        <w:widowControl/>
      </w:pPr>
      <w:r>
        <w:rPr>
          <w:rFonts w:ascii="Arial" w:hAnsi="Arial"/>
          <w:color w:val="1E2226"/>
          <w:sz w:val="20"/>
        </w:rPr>
        <w:t>identifier les paragraphes inchangés, modifiés, ajoutés ou supprimés ;</w:t>
      </w:r>
    </w:p>
    <w:p>
      <w:pPr>
        <w:pStyle w:val="ListNumber"/>
        <w:spacing w:after="60" w:line="259" w:lineRule="auto"/>
        <w:widowControl/>
      </w:pPr>
      <w:r>
        <w:rPr>
          <w:rFonts w:ascii="Arial" w:hAnsi="Arial"/>
          <w:color w:val="1E2226"/>
          <w:sz w:val="20"/>
        </w:rPr>
        <w:t>agréger séparément la nouveauté, la direction du sentiment et la matérialité des changements.</w:t>
      </w:r>
    </w:p>
    <w:p>
      <w:pPr>
        <w:keepNext w:val="0"/>
        <w:spacing w:after="100" w:line="269" w:lineRule="auto"/>
        <w:widowControl/>
      </w:pPr>
      <w:r>
        <w:rPr>
          <w:rFonts w:ascii="Arial" w:hAnsi="Arial"/>
          <w:i w:val="0"/>
          <w:color w:val="1E2226"/>
          <w:sz w:val="20"/>
        </w:rPr>
        <w:t>Features candidates :</w:t>
      </w:r>
    </w:p>
    <w:p>
      <w:pPr>
        <w:pStyle w:val="ListBullet"/>
        <w:spacing w:after="50" w:line="259" w:lineRule="auto"/>
        <w:widowControl/>
      </w:pPr>
      <w:r>
        <w:rPr>
          <w:rFonts w:ascii="Arial" w:hAnsi="Arial"/>
          <w:color w:val="1E2226"/>
          <w:sz w:val="20"/>
        </w:rPr>
        <w:t>risk_factor_novelty ;</w:t>
      </w:r>
    </w:p>
    <w:p>
      <w:pPr>
        <w:pStyle w:val="ListBullet"/>
        <w:spacing w:after="50" w:line="259" w:lineRule="auto"/>
        <w:widowControl/>
      </w:pPr>
      <w:r>
        <w:rPr>
          <w:rFonts w:ascii="Arial" w:hAnsi="Arial"/>
          <w:color w:val="1E2226"/>
          <w:sz w:val="20"/>
        </w:rPr>
        <w:t>mda_negative_shift ;</w:t>
      </w:r>
    </w:p>
    <w:p>
      <w:pPr>
        <w:pStyle w:val="ListBullet"/>
        <w:spacing w:after="50" w:line="259" w:lineRule="auto"/>
        <w:widowControl/>
      </w:pPr>
      <w:r>
        <w:rPr>
          <w:rFonts w:ascii="Arial" w:hAnsi="Arial"/>
          <w:color w:val="1E2226"/>
          <w:sz w:val="20"/>
        </w:rPr>
        <w:t>liquidity_uncertainty_shift ;</w:t>
      </w:r>
    </w:p>
    <w:p>
      <w:pPr>
        <w:pStyle w:val="ListBullet"/>
        <w:spacing w:after="50" w:line="259" w:lineRule="auto"/>
        <w:widowControl/>
      </w:pPr>
      <w:r>
        <w:rPr>
          <w:rFonts w:ascii="Arial" w:hAnsi="Arial"/>
          <w:color w:val="1E2226"/>
          <w:sz w:val="20"/>
        </w:rPr>
        <w:t>new_risk_paragraph_ratio ;</w:t>
      </w:r>
    </w:p>
    <w:p>
      <w:pPr>
        <w:pStyle w:val="ListBullet"/>
        <w:spacing w:after="50" w:line="259" w:lineRule="auto"/>
        <w:widowControl/>
      </w:pPr>
      <w:r>
        <w:rPr>
          <w:rFonts w:ascii="Arial" w:hAnsi="Arial"/>
          <w:color w:val="1E2226"/>
          <w:sz w:val="20"/>
        </w:rPr>
        <w:t>removed_positive_guidance_ratio ;</w:t>
      </w:r>
    </w:p>
    <w:p>
      <w:pPr>
        <w:pStyle w:val="ListBullet"/>
        <w:spacing w:after="50" w:line="259" w:lineRule="auto"/>
        <w:widowControl/>
      </w:pPr>
      <w:r>
        <w:rPr>
          <w:rFonts w:ascii="Arial" w:hAnsi="Arial"/>
          <w:color w:val="1E2226"/>
          <w:sz w:val="20"/>
        </w:rPr>
        <w:t>semantic_change_concentration ;</w:t>
      </w:r>
    </w:p>
    <w:p>
      <w:pPr>
        <w:pStyle w:val="ListBullet"/>
        <w:spacing w:after="50" w:line="259" w:lineRule="auto"/>
        <w:widowControl/>
      </w:pPr>
      <w:r>
        <w:rPr>
          <w:rFonts w:ascii="Arial" w:hAnsi="Arial"/>
          <w:color w:val="1E2226"/>
          <w:sz w:val="20"/>
        </w:rPr>
        <w:t>maximum_paragraph_shift.</w:t>
      </w:r>
    </w:p>
    <w:p>
      <w:pPr>
        <w:pStyle w:val="Heading2"/>
        <w:widowControl/>
      </w:pPr>
      <w:r>
        <w:t>4.4 Niveau 4 — Changement relatif aux pairs</w:t>
      </w:r>
    </w:p>
    <w:p>
      <w:pPr>
        <w:keepNext w:val="0"/>
        <w:spacing w:after="100" w:line="269" w:lineRule="auto"/>
        <w:widowControl/>
      </w:pPr>
      <w:r>
        <w:rPr>
          <w:rFonts w:ascii="Arial" w:hAnsi="Arial"/>
          <w:i w:val="0"/>
          <w:color w:val="1E2226"/>
          <w:sz w:val="20"/>
        </w:rPr>
        <w:t>Un changement de langage peut refléter un choc commun au secteur. Il faut donc construire une surprise textuelle spécifique à l’entreprise en retirant la médiane sectorielle observée sur une fenêtre comparable.</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Neutralisation sectorielle de la novelty</w:t>
              <w:br/>
            </w:r>
            <w:r>
              <w:rPr>
                <w:rFonts w:ascii="Cambria Math" w:hAnsi="Cambria Math"/>
                <w:color w:val="16304C"/>
                <w:sz w:val="22"/>
              </w:rPr>
              <w:t>Δ̃(i,t) = Δ(i,t) − Median{Δ(j,t) : j appartient au secteur de i}</w:t>
            </w:r>
          </w:p>
        </w:tc>
      </w:tr>
    </w:tbl>
    <w:p>
      <w:pPr>
        <w:spacing w:after="0"/>
        <w:widowControl/>
      </w:pPr>
    </w:p>
    <w:p>
      <w:pPr>
        <w:keepNext w:val="0"/>
        <w:spacing w:after="100" w:line="269" w:lineRule="auto"/>
        <w:widowControl/>
      </w:pPr>
      <w:r>
        <w:rPr>
          <w:rFonts w:ascii="Arial" w:hAnsi="Arial"/>
          <w:i w:val="0"/>
          <w:color w:val="1E2226"/>
          <w:sz w:val="20"/>
        </w:rPr>
        <w:t>Cette variable mesure si l’entreprise modifie son discours davantage ou dans une direction différente de ses pairs.</w:t>
      </w:r>
    </w:p>
    <w:p>
      <w:pPr>
        <w:widowControl/>
      </w:pPr>
      <w:r>
        <w:br w:type="page"/>
      </w:r>
    </w:p>
    <w:p>
      <w:pPr>
        <w:pStyle w:val="Heading2"/>
        <w:widowControl/>
      </w:pPr>
      <w:r>
        <w:t>4.5 Niveau 5 — Extraction structurée par LLM</w:t>
      </w:r>
    </w:p>
    <w:p>
      <w:pPr>
        <w:keepNext w:val="0"/>
        <w:spacing w:after="100" w:line="269" w:lineRule="auto"/>
        <w:widowControl/>
      </w:pPr>
      <w:r>
        <w:rPr>
          <w:rFonts w:ascii="Arial" w:hAnsi="Arial"/>
          <w:i w:val="0"/>
          <w:color w:val="1E2226"/>
          <w:sz w:val="20"/>
        </w:rPr>
        <w:t>Le LLM doit être utilisé comme extracteur contrôlé, et non comme système produisant directement une recommandation d’achat ou de vente. Pour chaque section, il peut retourner un objet JSON standardisé :</w:t>
      </w:r>
    </w:p>
    <w:p>
      <w:pPr>
        <w:pStyle w:val="CodeBlock"/>
        <w:keepLines/>
        <w:widowControl/>
      </w:pPr>
      <w:r>
        <w:rPr>
          <w:rFonts w:ascii="Consolas" w:hAnsi="Consolas"/>
          <w:color w:val="1E2226"/>
          <w:sz w:val="17"/>
        </w:rPr>
        <w:t>{</w:t>
        <w:br/>
        <w:t xml:space="preserve">  "guidance_change": "raised | maintained | lowered | absent",</w:t>
        <w:br/>
        <w:t xml:space="preserve">  "demand_outlook": "improving | stable | deteriorating",</w:t>
        <w:br/>
        <w:t xml:space="preserve">  "margin_outlook": "improving | stable | deteriorating",</w:t>
        <w:br/>
        <w:t xml:space="preserve">  "capex_change": "increase | stable | decrease",</w:t>
        <w:br/>
        <w:t xml:space="preserve">  "new_material_risk": true,</w:t>
        <w:br/>
        <w:t xml:space="preserve">  "liquidity_concern": false,</w:t>
        <w:br/>
        <w:t xml:space="preserve">  "evidence": ["short supporting passage"]</w:t>
        <w:br/>
        <w:t>}</w:t>
      </w:r>
    </w:p>
    <w:p>
      <w:pPr>
        <w:keepNext w:val="0"/>
        <w:spacing w:after="100" w:line="269" w:lineRule="auto"/>
        <w:widowControl/>
      </w:pPr>
      <w:r>
        <w:rPr>
          <w:rFonts w:ascii="Arial" w:hAnsi="Arial"/>
          <w:i w:val="0"/>
          <w:color w:val="1E2226"/>
          <w:sz w:val="20"/>
        </w:rPr>
        <w:t>Les sorties sont ensuite transformées en variables numériques, accompagnées d’un score de confiance et d’une courte preuve textuelle. Un échantillon doit être annoté manuellement pour mesurer la précision de l’extraction.</w:t>
      </w:r>
    </w:p>
    <w:p>
      <w:pPr>
        <w:pStyle w:val="Heading2"/>
        <w:widowControl/>
      </w:pPr>
      <w:r>
        <w:t>4.6 Contrôles tabulaires</w:t>
      </w:r>
    </w:p>
    <w:p>
      <w:pPr>
        <w:keepNext w:val="0"/>
        <w:spacing w:after="100" w:line="269" w:lineRule="auto"/>
        <w:widowControl/>
      </w:pPr>
      <w:r>
        <w:rPr>
          <w:rFonts w:ascii="Arial" w:hAnsi="Arial"/>
          <w:i w:val="0"/>
          <w:color w:val="1E2226"/>
          <w:sz w:val="20"/>
        </w:rPr>
        <w:t>Les features textuelles doivent être combinées à des variables de contrôle connues avant la publication :</w:t>
      </w:r>
    </w:p>
    <w:p>
      <w:pPr>
        <w:pStyle w:val="ListBullet"/>
        <w:spacing w:after="50" w:line="259" w:lineRule="auto"/>
        <w:widowControl/>
      </w:pPr>
      <w:r>
        <w:rPr>
          <w:rFonts w:ascii="Arial" w:hAnsi="Arial"/>
          <w:color w:val="1E2226"/>
          <w:sz w:val="20"/>
        </w:rPr>
        <w:t>momentum à 1, 3 et 12 mois ;</w:t>
      </w:r>
    </w:p>
    <w:p>
      <w:pPr>
        <w:pStyle w:val="ListBullet"/>
        <w:spacing w:after="50" w:line="259" w:lineRule="auto"/>
        <w:widowControl/>
      </w:pPr>
      <w:r>
        <w:rPr>
          <w:rFonts w:ascii="Arial" w:hAnsi="Arial"/>
          <w:color w:val="1E2226"/>
          <w:sz w:val="20"/>
        </w:rPr>
        <w:t>volatilité et beta ;</w:t>
      </w:r>
    </w:p>
    <w:p>
      <w:pPr>
        <w:pStyle w:val="ListBullet"/>
        <w:spacing w:after="50" w:line="259" w:lineRule="auto"/>
        <w:widowControl/>
      </w:pPr>
      <w:r>
        <w:rPr>
          <w:rFonts w:ascii="Arial" w:hAnsi="Arial"/>
          <w:color w:val="1E2226"/>
          <w:sz w:val="20"/>
        </w:rPr>
        <w:t>taille, book-to-market si disponible et liquidité ;</w:t>
      </w:r>
    </w:p>
    <w:p>
      <w:pPr>
        <w:pStyle w:val="ListBullet"/>
        <w:spacing w:after="50" w:line="259" w:lineRule="auto"/>
        <w:widowControl/>
      </w:pPr>
      <w:r>
        <w:rPr>
          <w:rFonts w:ascii="Arial" w:hAnsi="Arial"/>
          <w:color w:val="1E2226"/>
          <w:sz w:val="20"/>
        </w:rPr>
        <w:t>rendement récent du secteur ;</w:t>
      </w:r>
    </w:p>
    <w:p>
      <w:pPr>
        <w:pStyle w:val="ListBullet"/>
        <w:spacing w:after="50" w:line="259" w:lineRule="auto"/>
        <w:widowControl/>
      </w:pPr>
      <w:r>
        <w:rPr>
          <w:rFonts w:ascii="Arial" w:hAnsi="Arial"/>
          <w:color w:val="1E2226"/>
          <w:sz w:val="20"/>
        </w:rPr>
        <w:t>saisonnalité du trimestre ;</w:t>
      </w:r>
    </w:p>
    <w:p>
      <w:pPr>
        <w:pStyle w:val="ListBullet"/>
        <w:spacing w:after="50" w:line="259" w:lineRule="auto"/>
        <w:widowControl/>
      </w:pPr>
      <w:r>
        <w:rPr>
          <w:rFonts w:ascii="Arial" w:hAnsi="Arial"/>
          <w:color w:val="1E2226"/>
          <w:sz w:val="20"/>
        </w:rPr>
        <w:t>longueur du filing et délai depuis le filing précédent.</w:t>
      </w:r>
    </w:p>
    <w:p>
      <w:pPr>
        <w:pStyle w:val="Heading1"/>
        <w:widowControl/>
      </w:pPr>
      <w:r>
        <w:t>5. Variables cibles et modèles</w:t>
      </w:r>
    </w:p>
    <w:p>
      <w:pPr>
        <w:pStyle w:val="Heading2"/>
        <w:widowControl/>
      </w:pPr>
      <w:r>
        <w:t>5.1 Rendements anormaux</w:t>
      </w:r>
    </w:p>
    <w:p>
      <w:pPr>
        <w:keepNext w:val="0"/>
        <w:spacing w:after="100" w:line="269" w:lineRule="auto"/>
        <w:widowControl/>
      </w:pPr>
      <w:r>
        <w:rPr>
          <w:rFonts w:ascii="Arial" w:hAnsi="Arial"/>
          <w:i w:val="0"/>
          <w:color w:val="1E2226"/>
          <w:sz w:val="20"/>
        </w:rPr>
        <w:t>Il est préférable de prédire un rendement résiduel plutôt que le signe du rendement brut. Pour des horizons h ∈ {1, 5, 20} jours :</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Rendement futur neutralisé des facteurs</w:t>
              <w:br/>
            </w:r>
            <w:r>
              <w:rPr>
                <w:rFonts w:ascii="Cambria Math" w:hAnsi="Cambria Math"/>
                <w:color w:val="16304C"/>
                <w:sz w:val="22"/>
              </w:rPr>
              <w:t>y(i,t,h) = R(i,t→t+h) − β̂(i,t)ᵀ F(t→t+h)</w:t>
            </w:r>
          </w:p>
        </w:tc>
      </w:tr>
    </w:tbl>
    <w:p>
      <w:pPr>
        <w:spacing w:after="0"/>
        <w:widowControl/>
      </w:pPr>
    </w:p>
    <w:p>
      <w:pPr>
        <w:keepNext w:val="0"/>
        <w:spacing w:after="100" w:line="269" w:lineRule="auto"/>
        <w:widowControl/>
      </w:pPr>
      <w:r>
        <w:rPr>
          <w:rFonts w:ascii="Arial" w:hAnsi="Arial"/>
          <w:i w:val="0"/>
          <w:color w:val="1E2226"/>
          <w:sz w:val="20"/>
        </w:rPr>
        <w:t>La neutralisation peut inclure le marché, le secteur, size, value et momentum. Une version plus simple retire le rendement sectoriel sur le même horizon.</w:t>
      </w:r>
    </w:p>
    <w:p>
      <w:pPr>
        <w:pStyle w:val="Heading2"/>
        <w:widowControl/>
      </w:pPr>
      <w:r>
        <w:t>5.2 Risque futur</w:t>
      </w:r>
    </w:p>
    <w:p>
      <w:pPr>
        <w:keepNext w:val="0"/>
        <w:spacing w:after="100" w:line="269" w:lineRule="auto"/>
        <w:widowControl/>
      </w:pPr>
      <w:r>
        <w:rPr>
          <w:rFonts w:ascii="Arial" w:hAnsi="Arial"/>
          <w:i w:val="0"/>
          <w:color w:val="1E2226"/>
          <w:sz w:val="20"/>
        </w:rPr>
        <w:t>Le langage réglementaire peut être plus informatif sur le risque que sur le rendement moyen. Il faut donc prédire également :</w:t>
      </w:r>
    </w:p>
    <w:p>
      <w:pPr>
        <w:pStyle w:val="ListBullet"/>
        <w:spacing w:after="50" w:line="259" w:lineRule="auto"/>
        <w:widowControl/>
      </w:pPr>
      <w:r>
        <w:rPr>
          <w:rFonts w:ascii="Arial" w:hAnsi="Arial"/>
          <w:color w:val="1E2226"/>
          <w:sz w:val="20"/>
        </w:rPr>
        <w:t>volatilité réalisée sur 20 ou 60 jours ;</w:t>
      </w:r>
    </w:p>
    <w:p>
      <w:pPr>
        <w:pStyle w:val="ListBullet"/>
        <w:spacing w:after="50" w:line="259" w:lineRule="auto"/>
        <w:widowControl/>
      </w:pPr>
      <w:r>
        <w:rPr>
          <w:rFonts w:ascii="Arial" w:hAnsi="Arial"/>
          <w:color w:val="1E2226"/>
          <w:sz w:val="20"/>
        </w:rPr>
        <w:t>minimum du rendement cumulé futur ;</w:t>
      </w:r>
    </w:p>
    <w:p>
      <w:pPr>
        <w:pStyle w:val="ListBullet"/>
        <w:spacing w:after="50" w:line="259" w:lineRule="auto"/>
        <w:widowControl/>
      </w:pPr>
      <w:r>
        <w:rPr>
          <w:rFonts w:ascii="Arial" w:hAnsi="Arial"/>
          <w:color w:val="1E2226"/>
          <w:sz w:val="20"/>
        </w:rPr>
        <w:t>probabilité d’un drawdown supérieur à un seuil ;</w:t>
      </w:r>
    </w:p>
    <w:p>
      <w:pPr>
        <w:pStyle w:val="ListBullet"/>
        <w:spacing w:after="50" w:line="259" w:lineRule="auto"/>
        <w:widowControl/>
      </w:pPr>
      <w:r>
        <w:rPr>
          <w:rFonts w:ascii="Arial" w:hAnsi="Arial"/>
          <w:color w:val="1E2226"/>
          <w:sz w:val="20"/>
        </w:rPr>
        <w:t>asymétrie ou downside semivariance ;</w:t>
      </w:r>
    </w:p>
    <w:p>
      <w:pPr>
        <w:pStyle w:val="ListBullet"/>
        <w:spacing w:after="50" w:line="259" w:lineRule="auto"/>
        <w:widowControl/>
      </w:pPr>
      <w:r>
        <w:rPr>
          <w:rFonts w:ascii="Arial" w:hAnsi="Arial"/>
          <w:color w:val="1E2226"/>
          <w:sz w:val="20"/>
        </w:rPr>
        <w:t>hausse future de l’incertitude idiosyncratique.</w:t>
      </w:r>
    </w:p>
    <w:p>
      <w:pPr>
        <w:widowControl/>
      </w:pPr>
      <w:r>
        <w:br w:type="page"/>
      </w:r>
    </w:p>
    <w:p>
      <w:pPr>
        <w:pStyle w:val="Heading2"/>
        <w:widowControl/>
      </w:pPr>
      <w:r>
        <w:t>5.3 Familles de modèles</w:t>
      </w:r>
    </w:p>
    <w:p>
      <w:pPr>
        <w:keepNext w:val="0"/>
        <w:spacing w:after="100" w:line="269" w:lineRule="auto"/>
        <w:widowControl/>
      </w:pPr>
      <w:r>
        <w:rPr>
          <w:rFonts w:ascii="Arial" w:hAnsi="Arial"/>
          <w:i w:val="0"/>
          <w:color w:val="1E2226"/>
          <w:sz w:val="20"/>
        </w:rPr>
        <w:t>Le nombre d’observations est limité par la fréquence des filings. Un fine-tuning end-to-end d’un grand transformer n’est donc pas nécessaire pour la première version. Comparer :</w:t>
      </w:r>
    </w:p>
    <w:p>
      <w:pPr>
        <w:pStyle w:val="ListBullet"/>
        <w:spacing w:after="50" w:line="259" w:lineRule="auto"/>
        <w:widowControl/>
      </w:pPr>
      <w:r>
        <w:rPr>
          <w:rFonts w:ascii="Arial" w:hAnsi="Arial"/>
          <w:color w:val="1E2226"/>
          <w:sz w:val="20"/>
        </w:rPr>
        <w:t>régression linéaire, Ridge ou Elastic Net ;</w:t>
      </w:r>
    </w:p>
    <w:p>
      <w:pPr>
        <w:pStyle w:val="ListBullet"/>
        <w:spacing w:after="50" w:line="259" w:lineRule="auto"/>
        <w:widowControl/>
      </w:pPr>
      <w:r>
        <w:rPr>
          <w:rFonts w:ascii="Arial" w:hAnsi="Arial"/>
          <w:color w:val="1E2226"/>
          <w:sz w:val="20"/>
        </w:rPr>
        <w:t>LightGBM ou XGBoost ;</w:t>
      </w:r>
    </w:p>
    <w:p>
      <w:pPr>
        <w:pStyle w:val="ListBullet"/>
        <w:spacing w:after="50" w:line="259" w:lineRule="auto"/>
        <w:widowControl/>
      </w:pPr>
      <w:r>
        <w:rPr>
          <w:rFonts w:ascii="Arial" w:hAnsi="Arial"/>
          <w:color w:val="1E2226"/>
          <w:sz w:val="20"/>
        </w:rPr>
        <w:t>modèle de ranking cross-sectionnel ;</w:t>
      </w:r>
    </w:p>
    <w:p>
      <w:pPr>
        <w:pStyle w:val="ListBullet"/>
        <w:spacing w:after="50" w:line="259" w:lineRule="auto"/>
        <w:widowControl/>
      </w:pPr>
      <w:r>
        <w:rPr>
          <w:rFonts w:ascii="Arial" w:hAnsi="Arial"/>
          <w:color w:val="1E2226"/>
          <w:sz w:val="20"/>
        </w:rPr>
        <w:t>petit MLP utilisant embeddings et variables tabulaires ;</w:t>
      </w:r>
    </w:p>
    <w:p>
      <w:pPr>
        <w:pStyle w:val="ListBullet"/>
        <w:spacing w:after="50" w:line="259" w:lineRule="auto"/>
        <w:widowControl/>
      </w:pPr>
      <w:r>
        <w:rPr>
          <w:rFonts w:ascii="Arial" w:hAnsi="Arial"/>
          <w:color w:val="1E2226"/>
          <w:sz w:val="20"/>
        </w:rPr>
        <w:t>ensemble de modèles.</w:t>
      </w:r>
    </w:p>
    <w:p>
      <w:pPr>
        <w:pStyle w:val="Heading2"/>
        <w:widowControl/>
      </w:pPr>
      <w:r>
        <w:t>5.4 Score de ranking</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Score prédit pour classer les titres à une date donnée</w:t>
              <w:br/>
            </w:r>
            <w:r>
              <w:rPr>
                <w:rFonts w:ascii="Cambria Math" w:hAnsi="Cambria Math"/>
                <w:color w:val="16304C"/>
                <w:sz w:val="22"/>
              </w:rPr>
              <w:t>ŝ(i,t) = fθ(X(i,t))</w:t>
            </w:r>
          </w:p>
        </w:tc>
      </w:tr>
    </w:tbl>
    <w:p>
      <w:pPr>
        <w:spacing w:after="0"/>
        <w:widowControl/>
      </w:pPr>
    </w:p>
    <w:p>
      <w:pPr>
        <w:keepNext w:val="0"/>
        <w:spacing w:after="100" w:line="269" w:lineRule="auto"/>
        <w:widowControl/>
      </w:pPr>
      <w:r>
        <w:rPr>
          <w:rFonts w:ascii="Arial" w:hAnsi="Arial"/>
          <w:i w:val="0"/>
          <w:color w:val="1E2226"/>
          <w:sz w:val="20"/>
        </w:rPr>
        <w:t>La tâche principale peut être formulée comme un problème de classement : ordonner les entreprises selon le rendement résiduel attendu ou le risque futur. Cette formulation est souvent plus stable qu’une prédiction exacte des rendements.</w:t>
      </w:r>
    </w:p>
    <w:p>
      <w:pPr>
        <w:pStyle w:val="Heading2"/>
        <w:widowControl/>
      </w:pPr>
      <w:r>
        <w:t>5.5 Étude d’ablation</w:t>
      </w:r>
    </w:p>
    <w:p>
      <w:pPr>
        <w:keepNext w:val="0"/>
        <w:spacing w:after="100" w:line="269" w:lineRule="auto"/>
        <w:widowControl/>
      </w:pPr>
      <w:r>
        <w:rPr>
          <w:rFonts w:ascii="Arial" w:hAnsi="Arial"/>
          <w:i w:val="0"/>
          <w:color w:val="1E2226"/>
          <w:sz w:val="20"/>
        </w:rPr>
        <w:t>Chaque famille de features doit être testée isolément puis en combinaison :</w:t>
      </w:r>
    </w:p>
    <w:p>
      <w:pPr>
        <w:pStyle w:val="ListBullet"/>
        <w:spacing w:after="50" w:line="259" w:lineRule="auto"/>
        <w:widowControl/>
      </w:pPr>
      <w:r>
        <w:rPr>
          <w:rFonts w:ascii="Arial" w:hAnsi="Arial"/>
          <w:color w:val="1E2226"/>
          <w:sz w:val="20"/>
        </w:rPr>
        <w:t>variables de marché uniquement ;</w:t>
      </w:r>
    </w:p>
    <w:p>
      <w:pPr>
        <w:pStyle w:val="ListBullet"/>
        <w:spacing w:after="50" w:line="259" w:lineRule="auto"/>
        <w:widowControl/>
      </w:pPr>
      <w:r>
        <w:rPr>
          <w:rFonts w:ascii="Arial" w:hAnsi="Arial"/>
          <w:color w:val="1E2226"/>
          <w:sz w:val="20"/>
        </w:rPr>
        <w:t>lexique uniquement ;</w:t>
      </w:r>
    </w:p>
    <w:p>
      <w:pPr>
        <w:pStyle w:val="ListBullet"/>
        <w:spacing w:after="50" w:line="259" w:lineRule="auto"/>
        <w:widowControl/>
      </w:pPr>
      <w:r>
        <w:rPr>
          <w:rFonts w:ascii="Arial" w:hAnsi="Arial"/>
          <w:color w:val="1E2226"/>
          <w:sz w:val="20"/>
        </w:rPr>
        <w:t>FinBERT uniquement ;</w:t>
      </w:r>
    </w:p>
    <w:p>
      <w:pPr>
        <w:pStyle w:val="ListBullet"/>
        <w:spacing w:after="50" w:line="259" w:lineRule="auto"/>
        <w:widowControl/>
      </w:pPr>
      <w:r>
        <w:rPr>
          <w:rFonts w:ascii="Arial" w:hAnsi="Arial"/>
          <w:color w:val="1E2226"/>
          <w:sz w:val="20"/>
        </w:rPr>
        <w:t>semantic delta uniquement ;</w:t>
      </w:r>
    </w:p>
    <w:p>
      <w:pPr>
        <w:pStyle w:val="ListBullet"/>
        <w:spacing w:after="50" w:line="259" w:lineRule="auto"/>
        <w:widowControl/>
      </w:pPr>
      <w:r>
        <w:rPr>
          <w:rFonts w:ascii="Arial" w:hAnsi="Arial"/>
          <w:color w:val="1E2226"/>
          <w:sz w:val="20"/>
        </w:rPr>
        <w:t>extraction LLM uniquement ;</w:t>
      </w:r>
    </w:p>
    <w:p>
      <w:pPr>
        <w:pStyle w:val="ListBullet"/>
        <w:spacing w:after="50" w:line="259" w:lineRule="auto"/>
        <w:widowControl/>
      </w:pPr>
      <w:r>
        <w:rPr>
          <w:rFonts w:ascii="Arial" w:hAnsi="Arial"/>
          <w:color w:val="1E2226"/>
          <w:sz w:val="20"/>
        </w:rPr>
        <w:t>toutes les features ;</w:t>
      </w:r>
    </w:p>
    <w:p>
      <w:pPr>
        <w:pStyle w:val="ListBullet"/>
        <w:spacing w:after="50" w:line="259" w:lineRule="auto"/>
        <w:widowControl/>
      </w:pPr>
      <w:r>
        <w:rPr>
          <w:rFonts w:ascii="Arial" w:hAnsi="Arial"/>
          <w:color w:val="1E2226"/>
          <w:sz w:val="20"/>
        </w:rPr>
        <w:t>toutes les features sans LLM.</w:t>
      </w:r>
    </w:p>
    <w:p>
      <w:pPr>
        <w:pStyle w:val="Heading1"/>
        <w:widowControl/>
      </w:pPr>
      <w:r>
        <w:t>6. Protocole de validation</w:t>
      </w:r>
    </w:p>
    <w:p>
      <w:pPr>
        <w:keepNext w:val="0"/>
        <w:spacing w:after="100" w:line="269" w:lineRule="auto"/>
        <w:widowControl/>
      </w:pPr>
      <w:r>
        <w:rPr>
          <w:rFonts w:ascii="Arial" w:hAnsi="Arial"/>
          <w:i w:val="0"/>
          <w:color w:val="1E2226"/>
          <w:sz w:val="20"/>
        </w:rPr>
        <w:t>La qualité de la validation compte davantage que la sophistication du modèle. Les données financières sont non stationnaires, fortement autocorrélées et exposées aux fuites temporelles.</w:t>
      </w:r>
    </w:p>
    <w:p>
      <w:pPr>
        <w:pStyle w:val="Heading2"/>
        <w:widowControl/>
      </w:pPr>
      <w:r>
        <w:t>6.1 Walk-forward temporel</w:t>
      </w:r>
    </w:p>
    <w:p>
      <w:pPr>
        <w:keepNext w:val="0"/>
        <w:spacing w:after="100" w:line="269" w:lineRule="auto"/>
        <w:widowControl/>
      </w:pPr>
      <w:r>
        <w:rPr>
          <w:rFonts w:ascii="Arial" w:hAnsi="Arial"/>
          <w:i w:val="0"/>
          <w:color w:val="1E2226"/>
          <w:sz w:val="20"/>
        </w:rPr>
        <w:t>Utiliser des fenêtres temporelles successives. Exemple :</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2381"/>
            <w:vAlign w:val="center"/>
            <w:shd w:fill="16304C"/>
          </w:tcPr>
          <w:p>
            <w:pPr>
              <w:jc w:val="center"/>
            </w:pPr>
            <w:r>
              <w:rPr>
                <w:rFonts w:ascii="Arial" w:hAnsi="Arial"/>
                <w:b/>
                <w:color w:val="FFFFFF"/>
                <w:sz w:val="18"/>
              </w:rPr>
              <w:t>Itération</w:t>
            </w:r>
          </w:p>
        </w:tc>
        <w:tc>
          <w:tcPr>
            <w:tcW w:type="dxa" w:w="2381"/>
            <w:vAlign w:val="center"/>
            <w:shd w:fill="16304C"/>
          </w:tcPr>
          <w:p>
            <w:pPr>
              <w:jc w:val="center"/>
            </w:pPr>
            <w:r>
              <w:rPr>
                <w:rFonts w:ascii="Arial" w:hAnsi="Arial"/>
                <w:b/>
                <w:color w:val="FFFFFF"/>
                <w:sz w:val="18"/>
              </w:rPr>
              <w:t>Entraînement</w:t>
            </w:r>
          </w:p>
        </w:tc>
        <w:tc>
          <w:tcPr>
            <w:tcW w:type="dxa" w:w="2381"/>
            <w:vAlign w:val="center"/>
            <w:shd w:fill="16304C"/>
          </w:tcPr>
          <w:p>
            <w:pPr>
              <w:jc w:val="center"/>
            </w:pPr>
            <w:r>
              <w:rPr>
                <w:rFonts w:ascii="Arial" w:hAnsi="Arial"/>
                <w:b/>
                <w:color w:val="FFFFFF"/>
                <w:sz w:val="18"/>
              </w:rPr>
              <w:t>Validation</w:t>
            </w:r>
          </w:p>
        </w:tc>
        <w:tc>
          <w:tcPr>
            <w:tcW w:type="dxa" w:w="2381"/>
            <w:vAlign w:val="center"/>
            <w:shd w:fill="16304C"/>
          </w:tcPr>
          <w:p>
            <w:pPr>
              <w:jc w:val="center"/>
            </w:pPr>
            <w:r>
              <w:rPr>
                <w:rFonts w:ascii="Arial" w:hAnsi="Arial"/>
                <w:b/>
                <w:color w:val="FFFFFF"/>
                <w:sz w:val="18"/>
              </w:rPr>
              <w:t>Test</w:t>
            </w:r>
          </w:p>
        </w:tc>
      </w:tr>
      <w:tr>
        <w:tc>
          <w:tcPr>
            <w:tcW w:type="dxa" w:w="2381"/>
            <w:vAlign w:val="center"/>
          </w:tcPr>
          <w:p>
            <w:pPr>
              <w:jc w:val="center"/>
            </w:pPr>
            <w:r>
              <w:rPr>
                <w:rFonts w:ascii="Arial" w:hAnsi="Arial"/>
                <w:b w:val="0"/>
                <w:color w:val="1E2226"/>
                <w:sz w:val="18"/>
              </w:rPr>
              <w:t>1</w:t>
            </w:r>
          </w:p>
        </w:tc>
        <w:tc>
          <w:tcPr>
            <w:tcW w:type="dxa" w:w="2381"/>
            <w:vAlign w:val="center"/>
          </w:tcPr>
          <w:p>
            <w:pPr>
              <w:jc w:val="center"/>
            </w:pPr>
            <w:r>
              <w:rPr>
                <w:rFonts w:ascii="Arial" w:hAnsi="Arial"/>
                <w:b w:val="0"/>
                <w:color w:val="1E2226"/>
                <w:sz w:val="18"/>
              </w:rPr>
              <w:t>2012–2018</w:t>
            </w:r>
          </w:p>
        </w:tc>
        <w:tc>
          <w:tcPr>
            <w:tcW w:type="dxa" w:w="2381"/>
            <w:vAlign w:val="center"/>
          </w:tcPr>
          <w:p>
            <w:pPr>
              <w:jc w:val="center"/>
            </w:pPr>
            <w:r>
              <w:rPr>
                <w:rFonts w:ascii="Arial" w:hAnsi="Arial"/>
                <w:b w:val="0"/>
                <w:color w:val="1E2226"/>
                <w:sz w:val="18"/>
              </w:rPr>
              <w:t>2019</w:t>
            </w:r>
          </w:p>
        </w:tc>
        <w:tc>
          <w:tcPr>
            <w:tcW w:type="dxa" w:w="2381"/>
            <w:vAlign w:val="center"/>
          </w:tcPr>
          <w:p>
            <w:pPr>
              <w:jc w:val="center"/>
            </w:pPr>
            <w:r>
              <w:rPr>
                <w:rFonts w:ascii="Arial" w:hAnsi="Arial"/>
                <w:b w:val="0"/>
                <w:color w:val="1E2226"/>
                <w:sz w:val="18"/>
              </w:rPr>
              <w:t>2020</w:t>
            </w:r>
          </w:p>
        </w:tc>
      </w:tr>
      <w:tr>
        <w:tc>
          <w:tcPr>
            <w:tcW w:type="dxa" w:w="2381"/>
            <w:vAlign w:val="center"/>
            <w:shd w:fill="F3F5F7"/>
          </w:tcPr>
          <w:p>
            <w:pPr>
              <w:jc w:val="center"/>
            </w:pPr>
            <w:r>
              <w:rPr>
                <w:rFonts w:ascii="Arial" w:hAnsi="Arial"/>
                <w:b w:val="0"/>
                <w:color w:val="1E2226"/>
                <w:sz w:val="18"/>
              </w:rPr>
              <w:t>2</w:t>
            </w:r>
          </w:p>
        </w:tc>
        <w:tc>
          <w:tcPr>
            <w:tcW w:type="dxa" w:w="2381"/>
            <w:vAlign w:val="center"/>
            <w:shd w:fill="F3F5F7"/>
          </w:tcPr>
          <w:p>
            <w:pPr>
              <w:jc w:val="center"/>
            </w:pPr>
            <w:r>
              <w:rPr>
                <w:rFonts w:ascii="Arial" w:hAnsi="Arial"/>
                <w:b w:val="0"/>
                <w:color w:val="1E2226"/>
                <w:sz w:val="18"/>
              </w:rPr>
              <w:t>2012–2019</w:t>
            </w:r>
          </w:p>
        </w:tc>
        <w:tc>
          <w:tcPr>
            <w:tcW w:type="dxa" w:w="2381"/>
            <w:vAlign w:val="center"/>
            <w:shd w:fill="F3F5F7"/>
          </w:tcPr>
          <w:p>
            <w:pPr>
              <w:jc w:val="center"/>
            </w:pPr>
            <w:r>
              <w:rPr>
                <w:rFonts w:ascii="Arial" w:hAnsi="Arial"/>
                <w:b w:val="0"/>
                <w:color w:val="1E2226"/>
                <w:sz w:val="18"/>
              </w:rPr>
              <w:t>2020</w:t>
            </w:r>
          </w:p>
        </w:tc>
        <w:tc>
          <w:tcPr>
            <w:tcW w:type="dxa" w:w="2381"/>
            <w:vAlign w:val="center"/>
            <w:shd w:fill="F3F5F7"/>
          </w:tcPr>
          <w:p>
            <w:pPr>
              <w:jc w:val="center"/>
            </w:pPr>
            <w:r>
              <w:rPr>
                <w:rFonts w:ascii="Arial" w:hAnsi="Arial"/>
                <w:b w:val="0"/>
                <w:color w:val="1E2226"/>
                <w:sz w:val="18"/>
              </w:rPr>
              <w:t>2021</w:t>
            </w:r>
          </w:p>
        </w:tc>
      </w:tr>
      <w:tr>
        <w:tc>
          <w:tcPr>
            <w:tcW w:type="dxa" w:w="2381"/>
            <w:vAlign w:val="center"/>
          </w:tcPr>
          <w:p>
            <w:pPr>
              <w:jc w:val="center"/>
            </w:pPr>
            <w:r>
              <w:rPr>
                <w:rFonts w:ascii="Arial" w:hAnsi="Arial"/>
                <w:b w:val="0"/>
                <w:color w:val="1E2226"/>
                <w:sz w:val="18"/>
              </w:rPr>
              <w:t>3</w:t>
            </w:r>
          </w:p>
        </w:tc>
        <w:tc>
          <w:tcPr>
            <w:tcW w:type="dxa" w:w="2381"/>
            <w:vAlign w:val="center"/>
          </w:tcPr>
          <w:p>
            <w:pPr>
              <w:jc w:val="center"/>
            </w:pPr>
            <w:r>
              <w:rPr>
                <w:rFonts w:ascii="Arial" w:hAnsi="Arial"/>
                <w:b w:val="0"/>
                <w:color w:val="1E2226"/>
                <w:sz w:val="18"/>
              </w:rPr>
              <w:t>2012–2020</w:t>
            </w:r>
          </w:p>
        </w:tc>
        <w:tc>
          <w:tcPr>
            <w:tcW w:type="dxa" w:w="2381"/>
            <w:vAlign w:val="center"/>
          </w:tcPr>
          <w:p>
            <w:pPr>
              <w:jc w:val="center"/>
            </w:pPr>
            <w:r>
              <w:rPr>
                <w:rFonts w:ascii="Arial" w:hAnsi="Arial"/>
                <w:b w:val="0"/>
                <w:color w:val="1E2226"/>
                <w:sz w:val="18"/>
              </w:rPr>
              <w:t>2021</w:t>
            </w:r>
          </w:p>
        </w:tc>
        <w:tc>
          <w:tcPr>
            <w:tcW w:type="dxa" w:w="2381"/>
            <w:vAlign w:val="center"/>
          </w:tcPr>
          <w:p>
            <w:pPr>
              <w:jc w:val="center"/>
            </w:pPr>
            <w:r>
              <w:rPr>
                <w:rFonts w:ascii="Arial" w:hAnsi="Arial"/>
                <w:b w:val="0"/>
                <w:color w:val="1E2226"/>
                <w:sz w:val="18"/>
              </w:rPr>
              <w:t>2022</w:t>
            </w:r>
          </w:p>
        </w:tc>
      </w:tr>
      <w:tr>
        <w:tc>
          <w:tcPr>
            <w:tcW w:type="dxa" w:w="2381"/>
            <w:vAlign w:val="center"/>
            <w:shd w:fill="F3F5F7"/>
          </w:tcPr>
          <w:p>
            <w:pPr>
              <w:jc w:val="center"/>
            </w:pPr>
            <w:r>
              <w:rPr>
                <w:rFonts w:ascii="Arial" w:hAnsi="Arial"/>
                <w:b w:val="0"/>
                <w:color w:val="1E2226"/>
                <w:sz w:val="18"/>
              </w:rPr>
              <w:t>4</w:t>
            </w:r>
          </w:p>
        </w:tc>
        <w:tc>
          <w:tcPr>
            <w:tcW w:type="dxa" w:w="2381"/>
            <w:vAlign w:val="center"/>
            <w:shd w:fill="F3F5F7"/>
          </w:tcPr>
          <w:p>
            <w:pPr>
              <w:jc w:val="center"/>
            </w:pPr>
            <w:r>
              <w:rPr>
                <w:rFonts w:ascii="Arial" w:hAnsi="Arial"/>
                <w:b w:val="0"/>
                <w:color w:val="1E2226"/>
                <w:sz w:val="18"/>
              </w:rPr>
              <w:t>2012–2021</w:t>
            </w:r>
          </w:p>
        </w:tc>
        <w:tc>
          <w:tcPr>
            <w:tcW w:type="dxa" w:w="2381"/>
            <w:vAlign w:val="center"/>
            <w:shd w:fill="F3F5F7"/>
          </w:tcPr>
          <w:p>
            <w:pPr>
              <w:jc w:val="center"/>
            </w:pPr>
            <w:r>
              <w:rPr>
                <w:rFonts w:ascii="Arial" w:hAnsi="Arial"/>
                <w:b w:val="0"/>
                <w:color w:val="1E2226"/>
                <w:sz w:val="18"/>
              </w:rPr>
              <w:t>2022</w:t>
            </w:r>
          </w:p>
        </w:tc>
        <w:tc>
          <w:tcPr>
            <w:tcW w:type="dxa" w:w="2381"/>
            <w:vAlign w:val="center"/>
            <w:shd w:fill="F3F5F7"/>
          </w:tcPr>
          <w:p>
            <w:pPr>
              <w:jc w:val="center"/>
            </w:pPr>
            <w:r>
              <w:rPr>
                <w:rFonts w:ascii="Arial" w:hAnsi="Arial"/>
                <w:b w:val="0"/>
                <w:color w:val="1E2226"/>
                <w:sz w:val="18"/>
              </w:rPr>
              <w:t>2023</w:t>
            </w:r>
          </w:p>
        </w:tc>
      </w:tr>
      <w:tr>
        <w:tc>
          <w:tcPr>
            <w:tcW w:type="dxa" w:w="2381"/>
            <w:vAlign w:val="center"/>
          </w:tcPr>
          <w:p>
            <w:pPr>
              <w:jc w:val="center"/>
            </w:pPr>
            <w:r>
              <w:rPr>
                <w:rFonts w:ascii="Arial" w:hAnsi="Arial"/>
                <w:b w:val="0"/>
                <w:color w:val="1E2226"/>
                <w:sz w:val="18"/>
              </w:rPr>
              <w:t>5</w:t>
            </w:r>
          </w:p>
        </w:tc>
        <w:tc>
          <w:tcPr>
            <w:tcW w:type="dxa" w:w="2381"/>
            <w:vAlign w:val="center"/>
          </w:tcPr>
          <w:p>
            <w:pPr>
              <w:jc w:val="center"/>
            </w:pPr>
            <w:r>
              <w:rPr>
                <w:rFonts w:ascii="Arial" w:hAnsi="Arial"/>
                <w:b w:val="0"/>
                <w:color w:val="1E2226"/>
                <w:sz w:val="18"/>
              </w:rPr>
              <w:t>2012–2022</w:t>
            </w:r>
          </w:p>
        </w:tc>
        <w:tc>
          <w:tcPr>
            <w:tcW w:type="dxa" w:w="2381"/>
            <w:vAlign w:val="center"/>
          </w:tcPr>
          <w:p>
            <w:pPr>
              <w:jc w:val="center"/>
            </w:pPr>
            <w:r>
              <w:rPr>
                <w:rFonts w:ascii="Arial" w:hAnsi="Arial"/>
                <w:b w:val="0"/>
                <w:color w:val="1E2226"/>
                <w:sz w:val="18"/>
              </w:rPr>
              <w:t>2023</w:t>
            </w:r>
          </w:p>
        </w:tc>
        <w:tc>
          <w:tcPr>
            <w:tcW w:type="dxa" w:w="2381"/>
            <w:vAlign w:val="center"/>
          </w:tcPr>
          <w:p>
            <w:pPr>
              <w:jc w:val="center"/>
            </w:pPr>
            <w:r>
              <w:rPr>
                <w:rFonts w:ascii="Arial" w:hAnsi="Arial"/>
                <w:b w:val="0"/>
                <w:color w:val="1E2226"/>
                <w:sz w:val="18"/>
              </w:rPr>
              <w:t>2024</w:t>
            </w:r>
          </w:p>
        </w:tc>
      </w:tr>
    </w:tbl>
    <w:p>
      <w:pPr>
        <w:spacing w:after="0"/>
        <w:widowControl/>
      </w:pPr>
    </w:p>
    <w:p>
      <w:pPr>
        <w:pStyle w:val="Heading2"/>
        <w:widowControl/>
      </w:pPr>
      <w:r>
        <w:t>6.2 Purge et embargo</w:t>
      </w:r>
    </w:p>
    <w:p>
      <w:pPr>
        <w:pStyle w:val="ListBullet"/>
        <w:spacing w:after="50" w:line="259" w:lineRule="auto"/>
        <w:widowControl/>
      </w:pPr>
      <w:r>
        <w:rPr>
          <w:rFonts w:ascii="Arial" w:hAnsi="Arial"/>
          <w:color w:val="1E2226"/>
          <w:sz w:val="20"/>
        </w:rPr>
        <w:t>purger les observations dont les horizons de rendement se chevauchent entre train et validation/test ;</w:t>
      </w:r>
    </w:p>
    <w:p>
      <w:pPr>
        <w:pStyle w:val="ListBullet"/>
        <w:spacing w:after="50" w:line="259" w:lineRule="auto"/>
        <w:widowControl/>
      </w:pPr>
      <w:r>
        <w:rPr>
          <w:rFonts w:ascii="Arial" w:hAnsi="Arial"/>
          <w:color w:val="1E2226"/>
          <w:sz w:val="20"/>
        </w:rPr>
        <w:t>appliquer un embargo autour des frontières temporelles ;</w:t>
      </w:r>
    </w:p>
    <w:p>
      <w:pPr>
        <w:pStyle w:val="ListBullet"/>
        <w:spacing w:after="50" w:line="259" w:lineRule="auto"/>
        <w:widowControl/>
      </w:pPr>
      <w:r>
        <w:rPr>
          <w:rFonts w:ascii="Arial" w:hAnsi="Arial"/>
          <w:color w:val="1E2226"/>
          <w:sz w:val="20"/>
        </w:rPr>
        <w:t>grouper toutes les observations d’un même événement ;</w:t>
      </w:r>
    </w:p>
    <w:p>
      <w:pPr>
        <w:pStyle w:val="ListBullet"/>
        <w:spacing w:after="50" w:line="259" w:lineRule="auto"/>
        <w:widowControl/>
      </w:pPr>
      <w:r>
        <w:rPr>
          <w:rFonts w:ascii="Arial" w:hAnsi="Arial"/>
          <w:color w:val="1E2226"/>
          <w:sz w:val="20"/>
        </w:rPr>
        <w:t>réserver une période finale totalement non utilisée pour le tuning.</w:t>
      </w:r>
    </w:p>
    <w:p>
      <w:pPr>
        <w:pStyle w:val="Heading2"/>
        <w:widowControl/>
      </w:pPr>
      <w:r>
        <w:t>6.3 Transformations apprises sur le train</w:t>
      </w:r>
    </w:p>
    <w:p>
      <w:pPr>
        <w:pStyle w:val="ListBullet"/>
        <w:spacing w:after="50" w:line="259" w:lineRule="auto"/>
        <w:widowControl/>
      </w:pPr>
      <w:r>
        <w:rPr>
          <w:rFonts w:ascii="Arial" w:hAnsi="Arial"/>
          <w:color w:val="1E2226"/>
          <w:sz w:val="20"/>
        </w:rPr>
        <w:t>winsorisation ;</w:t>
      </w:r>
    </w:p>
    <w:p>
      <w:pPr>
        <w:pStyle w:val="ListBullet"/>
        <w:spacing w:after="50" w:line="259" w:lineRule="auto"/>
        <w:widowControl/>
      </w:pPr>
      <w:r>
        <w:rPr>
          <w:rFonts w:ascii="Arial" w:hAnsi="Arial"/>
          <w:color w:val="1E2226"/>
          <w:sz w:val="20"/>
        </w:rPr>
        <w:t>standardisation ;</w:t>
      </w:r>
    </w:p>
    <w:p>
      <w:pPr>
        <w:pStyle w:val="ListBullet"/>
        <w:spacing w:after="50" w:line="259" w:lineRule="auto"/>
        <w:widowControl/>
      </w:pPr>
      <w:r>
        <w:rPr>
          <w:rFonts w:ascii="Arial" w:hAnsi="Arial"/>
          <w:color w:val="1E2226"/>
          <w:sz w:val="20"/>
        </w:rPr>
        <w:t>imputation ;</w:t>
      </w:r>
    </w:p>
    <w:p>
      <w:pPr>
        <w:pStyle w:val="ListBullet"/>
        <w:spacing w:after="50" w:line="259" w:lineRule="auto"/>
        <w:widowControl/>
      </w:pPr>
      <w:r>
        <w:rPr>
          <w:rFonts w:ascii="Arial" w:hAnsi="Arial"/>
          <w:color w:val="1E2226"/>
          <w:sz w:val="20"/>
        </w:rPr>
        <w:t>réduction dimensionnelle ;</w:t>
      </w:r>
    </w:p>
    <w:p>
      <w:pPr>
        <w:pStyle w:val="ListBullet"/>
        <w:spacing w:after="50" w:line="259" w:lineRule="auto"/>
        <w:widowControl/>
      </w:pPr>
      <w:r>
        <w:rPr>
          <w:rFonts w:ascii="Arial" w:hAnsi="Arial"/>
          <w:color w:val="1E2226"/>
          <w:sz w:val="20"/>
        </w:rPr>
        <w:t>sélection de variables ;</w:t>
      </w:r>
    </w:p>
    <w:p>
      <w:pPr>
        <w:pStyle w:val="ListBullet"/>
        <w:spacing w:after="50" w:line="259" w:lineRule="auto"/>
        <w:widowControl/>
      </w:pPr>
      <w:r>
        <w:rPr>
          <w:rFonts w:ascii="Arial" w:hAnsi="Arial"/>
          <w:color w:val="1E2226"/>
          <w:sz w:val="20"/>
        </w:rPr>
        <w:t>calibrage des seuils de portefeuille.</w:t>
      </w:r>
    </w:p>
    <w:p>
      <w:pPr>
        <w:keepNext w:val="0"/>
        <w:spacing w:after="100" w:line="269" w:lineRule="auto"/>
        <w:widowControl/>
      </w:pPr>
      <w:r>
        <w:rPr>
          <w:rFonts w:ascii="Arial" w:hAnsi="Arial"/>
          <w:i w:val="0"/>
          <w:color w:val="1E2226"/>
          <w:sz w:val="20"/>
        </w:rPr>
        <w:t>Aucune statistique calculée sur la validation ou le test ne doit entrer dans ces transformations.</w:t>
      </w:r>
    </w:p>
    <w:p>
      <w:pPr>
        <w:pStyle w:val="Heading2"/>
        <w:widowControl/>
      </w:pPr>
      <w:r>
        <w:t>6.4 Exécution du signal</w:t>
      </w:r>
    </w:p>
    <w:p>
      <w:pPr>
        <w:keepNext w:val="0"/>
        <w:spacing w:after="100" w:line="269" w:lineRule="auto"/>
        <w:widowControl/>
      </w:pPr>
      <w:r>
        <w:rPr>
          <w:rFonts w:ascii="Arial" w:hAnsi="Arial"/>
          <w:i w:val="0"/>
          <w:color w:val="1E2226"/>
          <w:sz w:val="20"/>
        </w:rPr>
        <w:t>La convention d’exécution doit être codée une seule fois et testée. Par exemple : publication avant l’ouverture → exécution à l’open du jour ; publication pendant ou après la séance → exécution à l’open du jour suivant. Une règle encore plus conservatrice exécute systématiquement au prochain open.</w:t>
      </w:r>
    </w:p>
    <w:p>
      <w:pPr>
        <w:pStyle w:val="Heading1"/>
        <w:widowControl/>
      </w:pPr>
      <w:r>
        <w:t>7. Construction du portefeuille</w:t>
      </w:r>
    </w:p>
    <w:p>
      <w:pPr>
        <w:pStyle w:val="Heading2"/>
        <w:widowControl/>
      </w:pPr>
      <w:r>
        <w:t>7.1 Portefeuille événementiel long-short</w:t>
      </w:r>
    </w:p>
    <w:p>
      <w:pPr>
        <w:keepNext w:val="0"/>
        <w:spacing w:after="100" w:line="269" w:lineRule="auto"/>
        <w:widowControl/>
      </w:pPr>
      <w:r>
        <w:rPr>
          <w:rFonts w:ascii="Arial" w:hAnsi="Arial"/>
          <w:i w:val="0"/>
          <w:color w:val="1E2226"/>
          <w:sz w:val="20"/>
        </w:rPr>
        <w:t>À chaque date de publication, classer les titres selon le score prédit. Acheter le quantile supérieur et vendre le quantile inférieur, avec une durée de détention de 5 ou 20 jours. Les cohortes d’événements qui se chevauchent sont agrégées dans un portefeuille quotidien.</w:t>
      </w:r>
    </w:p>
    <w:p>
      <w:pPr>
        <w:pStyle w:val="Heading2"/>
        <w:widowControl/>
      </w:pPr>
      <w:r>
        <w:t>7.2 Contraintes</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Neutralité dollar, beta et secteur</w:t>
              <w:br/>
            </w:r>
            <w:r>
              <w:rPr>
                <w:rFonts w:ascii="Cambria Math" w:hAnsi="Cambria Math"/>
                <w:color w:val="16304C"/>
                <w:sz w:val="22"/>
              </w:rPr>
              <w:t>Σᵢ w(i,t) = 0</w:t>
              <w:br/>
            </w:r>
            <w:r>
              <w:rPr>
                <w:rFonts w:ascii="Cambria Math" w:hAnsi="Cambria Math"/>
                <w:color w:val="16304C"/>
                <w:sz w:val="22"/>
              </w:rPr>
              <w:t>w(t)ᵀ β(t) ≈ 0</w:t>
              <w:br/>
            </w:r>
            <w:r>
              <w:rPr>
                <w:rFonts w:ascii="Cambria Math" w:hAnsi="Cambria Math"/>
                <w:color w:val="16304C"/>
                <w:sz w:val="22"/>
              </w:rPr>
              <w:t>w(t)ᵀ S(t) ≈ 0</w:t>
            </w:r>
          </w:p>
        </w:tc>
      </w:tr>
    </w:tbl>
    <w:p>
      <w:pPr>
        <w:spacing w:after="0"/>
        <w:widowControl/>
      </w:pPr>
    </w:p>
    <w:p>
      <w:pPr>
        <w:keepNext w:val="0"/>
        <w:spacing w:after="100" w:line="269" w:lineRule="auto"/>
        <w:widowControl/>
      </w:pPr>
      <w:r>
        <w:rPr>
          <w:rFonts w:ascii="Arial" w:hAnsi="Arial"/>
          <w:i w:val="0"/>
          <w:color w:val="1E2226"/>
          <w:sz w:val="20"/>
        </w:rPr>
        <w:t>Ajouter des contraintes de position maximale, de liquidité et de turnover. Une pondération inverse de la volatilité ou une optimisation quadratique simple peut compléter la pondération équipondérée.</w:t>
      </w:r>
    </w:p>
    <w:p>
      <w:pPr>
        <w:pStyle w:val="Heading2"/>
        <w:widowControl/>
      </w:pPr>
      <w:r>
        <w:t>7.3 Coûts de transaction</w:t>
      </w:r>
    </w:p>
    <w:p>
      <w:pPr>
        <w:keepNext w:val="0"/>
        <w:spacing w:after="100" w:line="269" w:lineRule="auto"/>
        <w:widowControl/>
      </w:pPr>
      <w:r>
        <w:rPr>
          <w:rFonts w:ascii="Arial" w:hAnsi="Arial"/>
          <w:i w:val="0"/>
          <w:color w:val="1E2226"/>
          <w:sz w:val="20"/>
        </w:rPr>
        <w:t>Présenter les résultats avec plusieurs hypothèses de coût, par exemple 5, 10 et 25 points de base par transaction. Ajouter, lorsque possible, une composante liée au spread ou à la participation à l’ADV.</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Approximation simple des coûts</w:t>
              <w:br/>
            </w:r>
            <w:r>
              <w:rPr>
                <w:rFonts w:ascii="Cambria Math" w:hAnsi="Cambria Math"/>
                <w:color w:val="16304C"/>
                <w:sz w:val="22"/>
              </w:rPr>
              <w:t>PnL_net(t) = PnL_gross(t) − cost_bps × Turnover(t)</w:t>
            </w:r>
          </w:p>
        </w:tc>
      </w:tr>
    </w:tbl>
    <w:p>
      <w:pPr>
        <w:spacing w:after="0"/>
        <w:widowControl/>
      </w:pPr>
    </w:p>
    <w:p>
      <w:pPr>
        <w:pStyle w:val="Heading2"/>
        <w:widowControl/>
      </w:pPr>
      <w:r>
        <w:t>7.4 Variantes</w:t>
      </w:r>
    </w:p>
    <w:p>
      <w:pPr>
        <w:pStyle w:val="ListBullet"/>
        <w:spacing w:after="50" w:line="259" w:lineRule="auto"/>
        <w:widowControl/>
      </w:pPr>
      <w:r>
        <w:rPr>
          <w:rFonts w:ascii="Arial" w:hAnsi="Arial"/>
          <w:color w:val="1E2226"/>
          <w:sz w:val="20"/>
        </w:rPr>
        <w:t>long-short déciles ;</w:t>
      </w:r>
    </w:p>
    <w:p>
      <w:pPr>
        <w:pStyle w:val="ListBullet"/>
        <w:spacing w:after="50" w:line="259" w:lineRule="auto"/>
        <w:widowControl/>
      </w:pPr>
      <w:r>
        <w:rPr>
          <w:rFonts w:ascii="Arial" w:hAnsi="Arial"/>
          <w:color w:val="1E2226"/>
          <w:sz w:val="20"/>
        </w:rPr>
        <w:t>long-only top quintile contre benchmark ;</w:t>
      </w:r>
    </w:p>
    <w:p>
      <w:pPr>
        <w:pStyle w:val="ListBullet"/>
        <w:spacing w:after="50" w:line="259" w:lineRule="auto"/>
        <w:widowControl/>
      </w:pPr>
      <w:r>
        <w:rPr>
          <w:rFonts w:ascii="Arial" w:hAnsi="Arial"/>
          <w:color w:val="1E2226"/>
          <w:sz w:val="20"/>
        </w:rPr>
        <w:t>short-only pour les nouveaux risques matériels ;</w:t>
      </w:r>
    </w:p>
    <w:p>
      <w:pPr>
        <w:pStyle w:val="ListBullet"/>
        <w:spacing w:after="50" w:line="259" w:lineRule="auto"/>
        <w:widowControl/>
      </w:pPr>
      <w:r>
        <w:rPr>
          <w:rFonts w:ascii="Arial" w:hAnsi="Arial"/>
          <w:color w:val="1E2226"/>
          <w:sz w:val="20"/>
        </w:rPr>
        <w:t>portfolio de volatilité : achat d’options ou proxy variance lorsque les données le permettent ;</w:t>
      </w:r>
    </w:p>
    <w:p>
      <w:pPr>
        <w:pStyle w:val="ListBullet"/>
        <w:spacing w:after="50" w:line="259" w:lineRule="auto"/>
        <w:widowControl/>
      </w:pPr>
      <w:r>
        <w:rPr>
          <w:rFonts w:ascii="Arial" w:hAnsi="Arial"/>
          <w:color w:val="1E2226"/>
          <w:sz w:val="20"/>
        </w:rPr>
        <w:t>stratégie de risk avoidance : sous-pondération des entreprises présentant une hausse de novelty négative.</w:t>
      </w:r>
    </w:p>
    <w:p>
      <w:pPr>
        <w:pStyle w:val="Heading1"/>
        <w:widowControl/>
      </w:pPr>
      <w:r>
        <w:t>8. Métriques et attribution</w:t>
      </w:r>
    </w:p>
    <w:p>
      <w:pPr>
        <w:keepNext w:val="0"/>
        <w:spacing w:after="100" w:line="269" w:lineRule="auto"/>
        <w:widowControl/>
      </w:pPr>
      <w:r>
        <w:rPr>
          <w:rFonts w:ascii="Arial" w:hAnsi="Arial"/>
          <w:i w:val="0"/>
          <w:color w:val="1E2226"/>
          <w:sz w:val="20"/>
        </w:rPr>
        <w:t>Le rapport final doit distinguer la qualité prédictive du modèle et la performance économique de la stratégie.</w:t>
      </w:r>
    </w:p>
    <w:p>
      <w:pPr>
        <w:pStyle w:val="Heading2"/>
        <w:widowControl/>
      </w:pPr>
      <w:r>
        <w:t>8.1 Métriques prédictives</w:t>
      </w:r>
    </w:p>
    <w:p>
      <w:pPr>
        <w:pStyle w:val="ListBullet"/>
        <w:spacing w:after="50" w:line="259" w:lineRule="auto"/>
        <w:widowControl/>
      </w:pPr>
      <w:r>
        <w:rPr>
          <w:rFonts w:ascii="Arial" w:hAnsi="Arial"/>
          <w:color w:val="1E2226"/>
          <w:sz w:val="20"/>
        </w:rPr>
        <w:t>Pearson information coefficient ;</w:t>
      </w:r>
    </w:p>
    <w:p>
      <w:pPr>
        <w:pStyle w:val="ListBullet"/>
        <w:spacing w:after="50" w:line="259" w:lineRule="auto"/>
        <w:widowControl/>
      </w:pPr>
      <w:r>
        <w:rPr>
          <w:rFonts w:ascii="Arial" w:hAnsi="Arial"/>
          <w:color w:val="1E2226"/>
          <w:sz w:val="20"/>
        </w:rPr>
        <w:t>Spearman rank IC ;</w:t>
      </w:r>
    </w:p>
    <w:p>
      <w:pPr>
        <w:pStyle w:val="ListBullet"/>
        <w:spacing w:after="50" w:line="259" w:lineRule="auto"/>
        <w:widowControl/>
      </w:pPr>
      <w:r>
        <w:rPr>
          <w:rFonts w:ascii="Arial" w:hAnsi="Arial"/>
          <w:color w:val="1E2226"/>
          <w:sz w:val="20"/>
        </w:rPr>
        <w:t>IC moyen et information ratio de l’IC ;</w:t>
      </w:r>
    </w:p>
    <w:p>
      <w:pPr>
        <w:pStyle w:val="ListBullet"/>
        <w:spacing w:after="50" w:line="259" w:lineRule="auto"/>
        <w:widowControl/>
      </w:pPr>
      <w:r>
        <w:rPr>
          <w:rFonts w:ascii="Arial" w:hAnsi="Arial"/>
          <w:color w:val="1E2226"/>
          <w:sz w:val="20"/>
        </w:rPr>
        <w:t>AUC ou Brier score pour les cibles binaires de risque ;</w:t>
      </w:r>
    </w:p>
    <w:p>
      <w:pPr>
        <w:pStyle w:val="ListBullet"/>
        <w:spacing w:after="50" w:line="259" w:lineRule="auto"/>
        <w:widowControl/>
      </w:pPr>
      <w:r>
        <w:rPr>
          <w:rFonts w:ascii="Arial" w:hAnsi="Arial"/>
          <w:color w:val="1E2226"/>
          <w:sz w:val="20"/>
        </w:rPr>
        <w:t>erreur quadratique pour la volatilité ;</w:t>
      </w:r>
    </w:p>
    <w:p>
      <w:pPr>
        <w:pStyle w:val="ListBullet"/>
        <w:spacing w:after="50" w:line="259" w:lineRule="auto"/>
        <w:widowControl/>
      </w:pPr>
      <w:r>
        <w:rPr>
          <w:rFonts w:ascii="Arial" w:hAnsi="Arial"/>
          <w:color w:val="1E2226"/>
          <w:sz w:val="20"/>
        </w:rPr>
        <w:t>stabilité des coefficients ou feature importance par fenêtre.</w:t>
      </w:r>
    </w:p>
    <w:p>
      <w:pPr>
        <w:pStyle w:val="Heading2"/>
        <w:widowControl/>
      </w:pPr>
      <w:r>
        <w:t>8.2 Métriques de portefeuille</w:t>
      </w:r>
    </w:p>
    <w:p>
      <w:pPr>
        <w:pStyle w:val="ListBullet"/>
        <w:spacing w:after="50" w:line="259" w:lineRule="auto"/>
        <w:widowControl/>
      </w:pPr>
      <w:r>
        <w:rPr>
          <w:rFonts w:ascii="Arial" w:hAnsi="Arial"/>
          <w:color w:val="1E2226"/>
          <w:sz w:val="20"/>
        </w:rPr>
        <w:t>rendement annualisé et volatilité ;</w:t>
      </w:r>
    </w:p>
    <w:p>
      <w:pPr>
        <w:pStyle w:val="ListBullet"/>
        <w:spacing w:after="50" w:line="259" w:lineRule="auto"/>
        <w:widowControl/>
      </w:pPr>
      <w:r>
        <w:rPr>
          <w:rFonts w:ascii="Arial" w:hAnsi="Arial"/>
          <w:color w:val="1E2226"/>
          <w:sz w:val="20"/>
        </w:rPr>
        <w:t>Sharpe brut et net ;</w:t>
      </w:r>
    </w:p>
    <w:p>
      <w:pPr>
        <w:pStyle w:val="ListBullet"/>
        <w:spacing w:after="50" w:line="259" w:lineRule="auto"/>
        <w:widowControl/>
      </w:pPr>
      <w:r>
        <w:rPr>
          <w:rFonts w:ascii="Arial" w:hAnsi="Arial"/>
          <w:color w:val="1E2226"/>
          <w:sz w:val="20"/>
        </w:rPr>
        <w:t>maximum drawdown ;</w:t>
      </w:r>
    </w:p>
    <w:p>
      <w:pPr>
        <w:pStyle w:val="ListBullet"/>
        <w:spacing w:after="50" w:line="259" w:lineRule="auto"/>
        <w:widowControl/>
      </w:pPr>
      <w:r>
        <w:rPr>
          <w:rFonts w:ascii="Arial" w:hAnsi="Arial"/>
          <w:color w:val="1E2226"/>
          <w:sz w:val="20"/>
        </w:rPr>
        <w:t>turnover et rendement par unité de turnover ;</w:t>
      </w:r>
    </w:p>
    <w:p>
      <w:pPr>
        <w:pStyle w:val="ListBullet"/>
        <w:spacing w:after="50" w:line="259" w:lineRule="auto"/>
        <w:widowControl/>
      </w:pPr>
      <w:r>
        <w:rPr>
          <w:rFonts w:ascii="Arial" w:hAnsi="Arial"/>
          <w:color w:val="1E2226"/>
          <w:sz w:val="20"/>
        </w:rPr>
        <w:t>hit ratio ;</w:t>
      </w:r>
    </w:p>
    <w:p>
      <w:pPr>
        <w:pStyle w:val="ListBullet"/>
        <w:spacing w:after="50" w:line="259" w:lineRule="auto"/>
        <w:widowControl/>
      </w:pPr>
      <w:r>
        <w:rPr>
          <w:rFonts w:ascii="Arial" w:hAnsi="Arial"/>
          <w:color w:val="1E2226"/>
          <w:sz w:val="20"/>
        </w:rPr>
        <w:t>performance des jambes long et short séparément ;</w:t>
      </w:r>
    </w:p>
    <w:p>
      <w:pPr>
        <w:pStyle w:val="ListBullet"/>
        <w:spacing w:after="50" w:line="259" w:lineRule="auto"/>
        <w:widowControl/>
      </w:pPr>
      <w:r>
        <w:rPr>
          <w:rFonts w:ascii="Arial" w:hAnsi="Arial"/>
          <w:color w:val="1E2226"/>
          <w:sz w:val="20"/>
        </w:rPr>
        <w:t>capacité approximative selon l’ADV ;</w:t>
      </w:r>
    </w:p>
    <w:p>
      <w:pPr>
        <w:pStyle w:val="ListBullet"/>
        <w:spacing w:after="50" w:line="259" w:lineRule="auto"/>
        <w:widowControl/>
      </w:pPr>
      <w:r>
        <w:rPr>
          <w:rFonts w:ascii="Arial" w:hAnsi="Arial"/>
          <w:color w:val="1E2226"/>
          <w:sz w:val="20"/>
        </w:rPr>
        <w:t>stabilité par année, secteur et capitalisation.</w:t>
      </w:r>
    </w:p>
    <w:p>
      <w:pPr>
        <w:pStyle w:val="Heading2"/>
        <w:widowControl/>
      </w:pPr>
      <w:r>
        <w:t>8.3 Attribution factorielle</w:t>
      </w:r>
    </w:p>
    <w:tbl>
      <w:tblPr>
        <w:tblW w:type="auto" w:w="0"/>
        <w:jc w:val="center"/>
        <w:tblLayout w:type="fixed"/>
        <w:tblLook w:firstColumn="1" w:firstRow="1" w:lastColumn="0" w:lastRow="0" w:noHBand="0" w:noVBand="1" w:val="04A0"/>
      </w:tblPr>
      <w:tblGrid>
        <w:gridCol w:w="9524"/>
      </w:tblGrid>
      <w:tr>
        <w:tc>
          <w:tcPr>
            <w:tcW w:type="dxa" w:w="8787"/>
            <w:shd w:fill="F7F9FB"/>
            <w:tcBorders>
              <w:top w:val="single" w:sz="6" w:color="D7DEE5"/>
              <w:left w:val="single" w:sz="6" w:color="D7DEE5"/>
              <w:bottom w:val="single" w:sz="6" w:color="D7DEE5"/>
              <w:right w:val="single" w:sz="6" w:color="D7DEE5"/>
            </w:tcBorders>
          </w:tcPr>
          <w:p>
            <w:pPr>
              <w:spacing w:before="100" w:after="100"/>
              <w:jc w:val="center"/>
            </w:pPr>
            <w:r>
              <w:rPr>
                <w:rFonts w:ascii="Arial" w:hAnsi="Arial"/>
                <w:i/>
                <w:color w:val="555D65"/>
                <w:sz w:val="18"/>
              </w:rPr>
              <w:t>Régression des rendements long-short sur les facteurs</w:t>
              <w:br/>
            </w:r>
            <w:r>
              <w:rPr>
                <w:rFonts w:ascii="Cambria Math" w:hAnsi="Cambria Math"/>
                <w:color w:val="16304C"/>
                <w:sz w:val="22"/>
              </w:rPr>
              <w:t>R_LS(t) = α + βᵀ F(t) + ε(t)</w:t>
            </w:r>
          </w:p>
        </w:tc>
      </w:tr>
    </w:tbl>
    <w:p>
      <w:pPr>
        <w:spacing w:after="0"/>
        <w:widowControl/>
      </w:pPr>
    </w:p>
    <w:p>
      <w:pPr>
        <w:keepNext w:val="0"/>
        <w:spacing w:after="100" w:line="269" w:lineRule="auto"/>
        <w:widowControl/>
      </w:pPr>
      <w:r>
        <w:rPr>
          <w:rFonts w:ascii="Arial" w:hAnsi="Arial"/>
          <w:i w:val="0"/>
          <w:color w:val="1E2226"/>
          <w:sz w:val="20"/>
        </w:rPr>
        <w:t>Le résultat intéressant est un alpha relativement stable après neutralisation des facteurs, et non un Sharpe élevé provenant principalement d’une exposition cachée au momentum, à la taille ou à un secteur.</w:t>
      </w:r>
    </w:p>
    <w:p>
      <w:pPr>
        <w:pStyle w:val="Heading1"/>
        <w:widowControl/>
      </w:pPr>
      <w:r>
        <w:t>9. Tests de robustesse et principaux risques</w:t>
      </w:r>
    </w:p>
    <w:p>
      <w:pPr>
        <w:pStyle w:val="Heading2"/>
        <w:widowControl/>
      </w:pPr>
      <w:r>
        <w:t>9.1 Tests indispensables</w:t>
      </w:r>
    </w:p>
    <w:p>
      <w:pPr>
        <w:pStyle w:val="ListBullet"/>
        <w:spacing w:after="50" w:line="259" w:lineRule="auto"/>
        <w:widowControl/>
      </w:pPr>
      <w:r>
        <w:rPr>
          <w:rFonts w:ascii="Arial" w:hAnsi="Arial"/>
          <w:color w:val="1E2226"/>
          <w:sz w:val="20"/>
        </w:rPr>
        <w:t>permutation aléatoire des labels ;</w:t>
      </w:r>
    </w:p>
    <w:p>
      <w:pPr>
        <w:pStyle w:val="ListBullet"/>
        <w:spacing w:after="50" w:line="259" w:lineRule="auto"/>
        <w:widowControl/>
      </w:pPr>
      <w:r>
        <w:rPr>
          <w:rFonts w:ascii="Arial" w:hAnsi="Arial"/>
          <w:color w:val="1E2226"/>
          <w:sz w:val="20"/>
        </w:rPr>
        <w:t>décalage artificiel des timestamps ;</w:t>
      </w:r>
    </w:p>
    <w:p>
      <w:pPr>
        <w:pStyle w:val="ListBullet"/>
        <w:spacing w:after="50" w:line="259" w:lineRule="auto"/>
        <w:widowControl/>
      </w:pPr>
      <w:r>
        <w:rPr>
          <w:rFonts w:ascii="Arial" w:hAnsi="Arial"/>
          <w:color w:val="1E2226"/>
          <w:sz w:val="20"/>
        </w:rPr>
        <w:t>dates placebo sans publication ;</w:t>
      </w:r>
    </w:p>
    <w:p>
      <w:pPr>
        <w:pStyle w:val="ListBullet"/>
        <w:spacing w:after="50" w:line="259" w:lineRule="auto"/>
        <w:widowControl/>
      </w:pPr>
      <w:r>
        <w:rPr>
          <w:rFonts w:ascii="Arial" w:hAnsi="Arial"/>
          <w:color w:val="1E2226"/>
          <w:sz w:val="20"/>
        </w:rPr>
        <w:t>comparaison avec un modèle sans texte ;</w:t>
      </w:r>
    </w:p>
    <w:p>
      <w:pPr>
        <w:pStyle w:val="ListBullet"/>
        <w:spacing w:after="50" w:line="259" w:lineRule="auto"/>
        <w:widowControl/>
      </w:pPr>
      <w:r>
        <w:rPr>
          <w:rFonts w:ascii="Arial" w:hAnsi="Arial"/>
          <w:color w:val="1E2226"/>
          <w:sz w:val="20"/>
        </w:rPr>
        <w:t>suppression des microcapitalisations ;</w:t>
      </w:r>
    </w:p>
    <w:p>
      <w:pPr>
        <w:pStyle w:val="ListBullet"/>
        <w:spacing w:after="50" w:line="259" w:lineRule="auto"/>
        <w:widowControl/>
      </w:pPr>
      <w:r>
        <w:rPr>
          <w:rFonts w:ascii="Arial" w:hAnsi="Arial"/>
          <w:color w:val="1E2226"/>
          <w:sz w:val="20"/>
        </w:rPr>
        <w:t>résultats avant et après 2020 ;</w:t>
      </w:r>
    </w:p>
    <w:p>
      <w:pPr>
        <w:pStyle w:val="ListBullet"/>
        <w:spacing w:after="50" w:line="259" w:lineRule="auto"/>
        <w:widowControl/>
      </w:pPr>
      <w:r>
        <w:rPr>
          <w:rFonts w:ascii="Arial" w:hAnsi="Arial"/>
          <w:color w:val="1E2226"/>
          <w:sz w:val="20"/>
        </w:rPr>
        <w:t>résultats par secteur et par formulaire ;</w:t>
      </w:r>
    </w:p>
    <w:p>
      <w:pPr>
        <w:pStyle w:val="ListBullet"/>
        <w:spacing w:after="50" w:line="259" w:lineRule="auto"/>
        <w:widowControl/>
      </w:pPr>
      <w:r>
        <w:rPr>
          <w:rFonts w:ascii="Arial" w:hAnsi="Arial"/>
          <w:color w:val="1E2226"/>
          <w:sz w:val="20"/>
        </w:rPr>
        <w:t>sensibilité aux coûts ;</w:t>
      </w:r>
    </w:p>
    <w:p>
      <w:pPr>
        <w:pStyle w:val="ListBullet"/>
        <w:spacing w:after="50" w:line="259" w:lineRule="auto"/>
        <w:widowControl/>
      </w:pPr>
      <w:r>
        <w:rPr>
          <w:rFonts w:ascii="Arial" w:hAnsi="Arial"/>
          <w:color w:val="1E2226"/>
          <w:sz w:val="20"/>
        </w:rPr>
        <w:t>correction du multiple testing ;</w:t>
      </w:r>
    </w:p>
    <w:p>
      <w:pPr>
        <w:pStyle w:val="ListBullet"/>
        <w:spacing w:after="50" w:line="259" w:lineRule="auto"/>
        <w:widowControl/>
      </w:pPr>
      <w:r>
        <w:rPr>
          <w:rFonts w:ascii="Arial" w:hAnsi="Arial"/>
          <w:color w:val="1E2226"/>
          <w:sz w:val="20"/>
        </w:rPr>
        <w:t>stabilité lorsque les noms d’entreprise et les dates sont masqués.</w:t>
      </w:r>
    </w:p>
    <w:p>
      <w:pPr>
        <w:pStyle w:val="Heading2"/>
        <w:widowControl/>
      </w:pPr>
      <w:r>
        <w:t>9.2 Risque de contamination par le modèle</w:t>
      </w:r>
    </w:p>
    <w:p>
      <w:pPr>
        <w:keepNext w:val="0"/>
        <w:spacing w:after="100" w:line="269" w:lineRule="auto"/>
        <w:widowControl/>
      </w:pPr>
      <w:r>
        <w:rPr>
          <w:rFonts w:ascii="Arial" w:hAnsi="Arial"/>
          <w:i w:val="0"/>
          <w:color w:val="1E2226"/>
          <w:sz w:val="20"/>
        </w:rPr>
        <w:t>Un modèle de langage récent peut avoir été préentraîné sur des documents publiés après la date historique du backtest. Même si le modèle ne reçoit que le texte courant, ses représentations peuvent intégrer indirectement des connaissances postérieures.</w:t>
      </w:r>
    </w:p>
    <w:p>
      <w:pPr>
        <w:keepNext w:val="0"/>
        <w:spacing w:after="100" w:line="269" w:lineRule="auto"/>
        <w:widowControl/>
      </w:pPr>
      <w:r>
        <w:rPr>
          <w:rFonts w:ascii="Arial" w:hAnsi="Arial"/>
          <w:i w:val="0"/>
          <w:color w:val="1E2226"/>
          <w:sz w:val="20"/>
        </w:rPr>
        <w:t>Mesures de réduction du risque :</w:t>
      </w:r>
    </w:p>
    <w:p>
      <w:pPr>
        <w:pStyle w:val="ListBullet"/>
        <w:spacing w:after="50" w:line="259" w:lineRule="auto"/>
        <w:widowControl/>
      </w:pPr>
      <w:r>
        <w:rPr>
          <w:rFonts w:ascii="Arial" w:hAnsi="Arial"/>
          <w:color w:val="1E2226"/>
          <w:sz w:val="20"/>
        </w:rPr>
        <w:t>utiliser le modèle comme encodeur ou extracteur du passage fourni, non comme source de connaissances externes ;</w:t>
      </w:r>
    </w:p>
    <w:p>
      <w:pPr>
        <w:pStyle w:val="ListBullet"/>
        <w:spacing w:after="50" w:line="259" w:lineRule="auto"/>
        <w:widowControl/>
      </w:pPr>
      <w:r>
        <w:rPr>
          <w:rFonts w:ascii="Arial" w:hAnsi="Arial"/>
          <w:color w:val="1E2226"/>
          <w:sz w:val="20"/>
        </w:rPr>
        <w:t>masquer le nom de l’entreprise, le ticker et les dates dans une robustness check ;</w:t>
      </w:r>
    </w:p>
    <w:p>
      <w:pPr>
        <w:pStyle w:val="ListBullet"/>
        <w:spacing w:after="50" w:line="259" w:lineRule="auto"/>
        <w:widowControl/>
      </w:pPr>
      <w:r>
        <w:rPr>
          <w:rFonts w:ascii="Arial" w:hAnsi="Arial"/>
          <w:color w:val="1E2226"/>
          <w:sz w:val="20"/>
        </w:rPr>
        <w:t>conserver une baseline TF-IDF et Loughran-McDonald entièrement reproductible ;</w:t>
      </w:r>
    </w:p>
    <w:p>
      <w:pPr>
        <w:pStyle w:val="ListBullet"/>
        <w:spacing w:after="50" w:line="259" w:lineRule="auto"/>
        <w:widowControl/>
      </w:pPr>
      <w:r>
        <w:rPr>
          <w:rFonts w:ascii="Arial" w:hAnsi="Arial"/>
          <w:color w:val="1E2226"/>
          <w:sz w:val="20"/>
        </w:rPr>
        <w:t>documenter la version et la date de publication de chaque modèle ;</w:t>
      </w:r>
    </w:p>
    <w:p>
      <w:pPr>
        <w:pStyle w:val="ListBullet"/>
        <w:spacing w:after="50" w:line="259" w:lineRule="auto"/>
        <w:widowControl/>
      </w:pPr>
      <w:r>
        <w:rPr>
          <w:rFonts w:ascii="Arial" w:hAnsi="Arial"/>
          <w:color w:val="1E2226"/>
          <w:sz w:val="20"/>
        </w:rPr>
        <w:t>éviter toute requête permettant au LLM de mobiliser ses connaissances générales sur l’entreprise.</w:t>
      </w:r>
    </w:p>
    <w:p>
      <w:pPr>
        <w:pStyle w:val="Heading2"/>
        <w:widowControl/>
      </w:pPr>
      <w:r>
        <w:t>9.3 Autres risques méthodologiques</w:t>
      </w:r>
    </w:p>
    <w:p>
      <w:pPr>
        <w:pStyle w:val="ListBullet"/>
        <w:spacing w:after="50" w:line="259" w:lineRule="auto"/>
        <w:widowControl/>
      </w:pPr>
      <w:r>
        <w:rPr>
          <w:rFonts w:ascii="Arial" w:hAnsi="Arial"/>
          <w:color w:val="1E2226"/>
          <w:sz w:val="20"/>
        </w:rPr>
        <w:t>survivorship bias dans l’univers ;</w:t>
      </w:r>
    </w:p>
    <w:p>
      <w:pPr>
        <w:pStyle w:val="ListBullet"/>
        <w:spacing w:after="50" w:line="259" w:lineRule="auto"/>
        <w:widowControl/>
      </w:pPr>
      <w:r>
        <w:rPr>
          <w:rFonts w:ascii="Arial" w:hAnsi="Arial"/>
          <w:color w:val="1E2226"/>
          <w:sz w:val="20"/>
        </w:rPr>
        <w:t>look-ahead dans les classifications sectorielles ou les données fondamentales ;</w:t>
      </w:r>
    </w:p>
    <w:p>
      <w:pPr>
        <w:pStyle w:val="ListBullet"/>
        <w:spacing w:after="50" w:line="259" w:lineRule="auto"/>
        <w:widowControl/>
      </w:pPr>
      <w:r>
        <w:rPr>
          <w:rFonts w:ascii="Arial" w:hAnsi="Arial"/>
          <w:color w:val="1E2226"/>
          <w:sz w:val="20"/>
        </w:rPr>
        <w:t>mauvais appariement entre filings successifs ;</w:t>
      </w:r>
    </w:p>
    <w:p>
      <w:pPr>
        <w:pStyle w:val="ListBullet"/>
        <w:spacing w:after="50" w:line="259" w:lineRule="auto"/>
        <w:widowControl/>
      </w:pPr>
      <w:r>
        <w:rPr>
          <w:rFonts w:ascii="Arial" w:hAnsi="Arial"/>
          <w:color w:val="1E2226"/>
          <w:sz w:val="20"/>
        </w:rPr>
        <w:t>documents amendés ou réémis ;</w:t>
      </w:r>
    </w:p>
    <w:p>
      <w:pPr>
        <w:pStyle w:val="ListBullet"/>
        <w:spacing w:after="50" w:line="259" w:lineRule="auto"/>
        <w:widowControl/>
      </w:pPr>
      <w:r>
        <w:rPr>
          <w:rFonts w:ascii="Arial" w:hAnsi="Arial"/>
          <w:color w:val="1E2226"/>
          <w:sz w:val="20"/>
        </w:rPr>
        <w:t>filings exceptionnellement longs ou mal parsés ;</w:t>
      </w:r>
    </w:p>
    <w:p>
      <w:pPr>
        <w:pStyle w:val="ListBullet"/>
        <w:spacing w:after="50" w:line="259" w:lineRule="auto"/>
        <w:widowControl/>
      </w:pPr>
      <w:r>
        <w:rPr>
          <w:rFonts w:ascii="Arial" w:hAnsi="Arial"/>
          <w:color w:val="1E2226"/>
          <w:sz w:val="20"/>
        </w:rPr>
        <w:t>confusion entre effet du filing et annonce de résultats ;</w:t>
      </w:r>
    </w:p>
    <w:p>
      <w:pPr>
        <w:pStyle w:val="ListBullet"/>
        <w:spacing w:after="50" w:line="259" w:lineRule="auto"/>
        <w:widowControl/>
      </w:pPr>
      <w:r>
        <w:rPr>
          <w:rFonts w:ascii="Arial" w:hAnsi="Arial"/>
          <w:color w:val="1E2226"/>
          <w:sz w:val="20"/>
        </w:rPr>
        <w:t>capacity et concentration sur les petites capitalisations.</w:t>
      </w:r>
    </w:p>
    <w:p>
      <w:pPr>
        <w:pStyle w:val="Heading1"/>
        <w:widowControl/>
      </w:pPr>
      <w:r>
        <w:t>10. Plan d’exécution en six semaines</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3175"/>
            <w:shd w:fill="16304C"/>
          </w:tcPr>
          <w:p>
            <w:r>
              <w:rPr>
                <w:rFonts w:ascii="Arial" w:hAnsi="Arial"/>
                <w:b/>
                <w:color w:val="FFFFFF"/>
                <w:sz w:val="18"/>
              </w:rPr>
              <w:t>Période</w:t>
            </w:r>
          </w:p>
        </w:tc>
        <w:tc>
          <w:tcPr>
            <w:tcW w:type="dxa" w:w="3175"/>
            <w:shd w:fill="16304C"/>
          </w:tcPr>
          <w:p>
            <w:r>
              <w:rPr>
                <w:rFonts w:ascii="Arial" w:hAnsi="Arial"/>
                <w:b/>
                <w:color w:val="FFFFFF"/>
                <w:sz w:val="18"/>
              </w:rPr>
              <w:t>Bloc</w:t>
            </w:r>
          </w:p>
        </w:tc>
        <w:tc>
          <w:tcPr>
            <w:tcW w:type="dxa" w:w="3175"/>
            <w:shd w:fill="16304C"/>
          </w:tcPr>
          <w:p>
            <w:r>
              <w:rPr>
                <w:rFonts w:ascii="Arial" w:hAnsi="Arial"/>
                <w:b/>
                <w:color w:val="FFFFFF"/>
                <w:sz w:val="18"/>
              </w:rPr>
              <w:t>Livrables principaux</w:t>
            </w:r>
          </w:p>
        </w:tc>
      </w:tr>
      <w:tr>
        <w:tc>
          <w:tcPr>
            <w:tcW w:type="dxa" w:w="3175"/>
            <w:vAlign w:val="top"/>
          </w:tcPr>
          <w:p>
            <w:r>
              <w:rPr>
                <w:rFonts w:ascii="Arial" w:hAnsi="Arial"/>
                <w:b/>
                <w:color w:val="1E2226"/>
                <w:sz w:val="18"/>
              </w:rPr>
              <w:t>Semaine 1</w:t>
            </w:r>
          </w:p>
        </w:tc>
        <w:tc>
          <w:tcPr>
            <w:tcW w:type="dxa" w:w="3175"/>
            <w:vAlign w:val="top"/>
          </w:tcPr>
          <w:p>
            <w:r>
              <w:rPr>
                <w:rFonts w:ascii="Arial" w:hAnsi="Arial"/>
                <w:b w:val="0"/>
                <w:color w:val="1E2226"/>
                <w:sz w:val="18"/>
              </w:rPr>
              <w:t>Pipeline EDGAR</w:t>
            </w:r>
          </w:p>
        </w:tc>
        <w:tc>
          <w:tcPr>
            <w:tcW w:type="dxa" w:w="3175"/>
            <w:vAlign w:val="top"/>
          </w:tcPr>
          <w:p>
            <w:r>
              <w:rPr>
                <w:rFonts w:ascii="Arial" w:hAnsi="Arial"/>
                <w:b w:val="0"/>
                <w:color w:val="1E2226"/>
                <w:sz w:val="18"/>
              </w:rPr>
              <w:t>Téléchargement, mapping CIK-ticker, parsing HTML, extraction des sections, timestamping et stockage Parquet.</w:t>
            </w:r>
          </w:p>
        </w:tc>
      </w:tr>
      <w:tr>
        <w:tc>
          <w:tcPr>
            <w:tcW w:type="dxa" w:w="3175"/>
            <w:vAlign w:val="top"/>
            <w:shd w:fill="F3F5F7"/>
          </w:tcPr>
          <w:p>
            <w:r>
              <w:rPr>
                <w:rFonts w:ascii="Arial" w:hAnsi="Arial"/>
                <w:b/>
                <w:color w:val="1E2226"/>
                <w:sz w:val="18"/>
              </w:rPr>
              <w:t>Semaine 2</w:t>
            </w:r>
          </w:p>
        </w:tc>
        <w:tc>
          <w:tcPr>
            <w:tcW w:type="dxa" w:w="3175"/>
            <w:vAlign w:val="top"/>
            <w:shd w:fill="F3F5F7"/>
          </w:tcPr>
          <w:p>
            <w:r>
              <w:rPr>
                <w:rFonts w:ascii="Arial" w:hAnsi="Arial"/>
                <w:b w:val="0"/>
                <w:color w:val="1E2226"/>
                <w:sz w:val="18"/>
              </w:rPr>
              <w:t>Baselines</w:t>
            </w:r>
          </w:p>
        </w:tc>
        <w:tc>
          <w:tcPr>
            <w:tcW w:type="dxa" w:w="3175"/>
            <w:vAlign w:val="top"/>
            <w:shd w:fill="F3F5F7"/>
          </w:tcPr>
          <w:p>
            <w:r>
              <w:rPr>
                <w:rFonts w:ascii="Arial" w:hAnsi="Arial"/>
                <w:b w:val="0"/>
                <w:color w:val="1E2226"/>
                <w:sz w:val="18"/>
              </w:rPr>
              <w:t>Features Loughran-McDonald, TF-IDF, sentiment FinBERT et première event study.</w:t>
            </w:r>
          </w:p>
        </w:tc>
      </w:tr>
      <w:tr>
        <w:tc>
          <w:tcPr>
            <w:tcW w:type="dxa" w:w="3175"/>
            <w:vAlign w:val="top"/>
          </w:tcPr>
          <w:p>
            <w:r>
              <w:rPr>
                <w:rFonts w:ascii="Arial" w:hAnsi="Arial"/>
                <w:b/>
                <w:color w:val="1E2226"/>
                <w:sz w:val="18"/>
              </w:rPr>
              <w:t>Semaine 3</w:t>
            </w:r>
          </w:p>
        </w:tc>
        <w:tc>
          <w:tcPr>
            <w:tcW w:type="dxa" w:w="3175"/>
            <w:vAlign w:val="top"/>
          </w:tcPr>
          <w:p>
            <w:r>
              <w:rPr>
                <w:rFonts w:ascii="Arial" w:hAnsi="Arial"/>
                <w:b w:val="0"/>
                <w:color w:val="1E2226"/>
                <w:sz w:val="18"/>
              </w:rPr>
              <w:t>Semantic delta</w:t>
            </w:r>
          </w:p>
        </w:tc>
        <w:tc>
          <w:tcPr>
            <w:tcW w:type="dxa" w:w="3175"/>
            <w:vAlign w:val="top"/>
          </w:tcPr>
          <w:p>
            <w:r>
              <w:rPr>
                <w:rFonts w:ascii="Arial" w:hAnsi="Arial"/>
                <w:b w:val="0"/>
                <w:color w:val="1E2226"/>
                <w:sz w:val="18"/>
              </w:rPr>
              <w:t>Embeddings, appariement de paragraphes, ajout/suppression/modification et novelty sectorielle.</w:t>
            </w:r>
          </w:p>
        </w:tc>
      </w:tr>
      <w:tr>
        <w:tc>
          <w:tcPr>
            <w:tcW w:type="dxa" w:w="3175"/>
            <w:vAlign w:val="top"/>
            <w:shd w:fill="F3F5F7"/>
          </w:tcPr>
          <w:p>
            <w:r>
              <w:rPr>
                <w:rFonts w:ascii="Arial" w:hAnsi="Arial"/>
                <w:b/>
                <w:color w:val="1E2226"/>
                <w:sz w:val="18"/>
              </w:rPr>
              <w:t>Semaine 4</w:t>
            </w:r>
          </w:p>
        </w:tc>
        <w:tc>
          <w:tcPr>
            <w:tcW w:type="dxa" w:w="3175"/>
            <w:vAlign w:val="top"/>
            <w:shd w:fill="F3F5F7"/>
          </w:tcPr>
          <w:p>
            <w:r>
              <w:rPr>
                <w:rFonts w:ascii="Arial" w:hAnsi="Arial"/>
                <w:b w:val="0"/>
                <w:color w:val="1E2226"/>
                <w:sz w:val="18"/>
              </w:rPr>
              <w:t>Modélisation</w:t>
            </w:r>
          </w:p>
        </w:tc>
        <w:tc>
          <w:tcPr>
            <w:tcW w:type="dxa" w:w="3175"/>
            <w:vAlign w:val="top"/>
            <w:shd w:fill="F3F5F7"/>
          </w:tcPr>
          <w:p>
            <w:r>
              <w:rPr>
                <w:rFonts w:ascii="Arial" w:hAnsi="Arial"/>
                <w:b w:val="0"/>
                <w:color w:val="1E2226"/>
                <w:sz w:val="18"/>
              </w:rPr>
              <w:t>Elastic Net, LightGBM, ranking, walk-forward et étude d’ablation.</w:t>
            </w:r>
          </w:p>
        </w:tc>
      </w:tr>
      <w:tr>
        <w:tc>
          <w:tcPr>
            <w:tcW w:type="dxa" w:w="3175"/>
            <w:vAlign w:val="top"/>
          </w:tcPr>
          <w:p>
            <w:r>
              <w:rPr>
                <w:rFonts w:ascii="Arial" w:hAnsi="Arial"/>
                <w:b/>
                <w:color w:val="1E2226"/>
                <w:sz w:val="18"/>
              </w:rPr>
              <w:t>Semaine 5</w:t>
            </w:r>
          </w:p>
        </w:tc>
        <w:tc>
          <w:tcPr>
            <w:tcW w:type="dxa" w:w="3175"/>
            <w:vAlign w:val="top"/>
          </w:tcPr>
          <w:p>
            <w:r>
              <w:rPr>
                <w:rFonts w:ascii="Arial" w:hAnsi="Arial"/>
                <w:b w:val="0"/>
                <w:color w:val="1E2226"/>
                <w:sz w:val="18"/>
              </w:rPr>
              <w:t>Portefeuille</w:t>
            </w:r>
          </w:p>
        </w:tc>
        <w:tc>
          <w:tcPr>
            <w:tcW w:type="dxa" w:w="3175"/>
            <w:vAlign w:val="top"/>
          </w:tcPr>
          <w:p>
            <w:r>
              <w:rPr>
                <w:rFonts w:ascii="Arial" w:hAnsi="Arial"/>
                <w:b w:val="0"/>
                <w:color w:val="1E2226"/>
                <w:sz w:val="18"/>
              </w:rPr>
              <w:t>Long-short, neutralisation, coûts, turnover et attribution des performances.</w:t>
            </w:r>
          </w:p>
        </w:tc>
      </w:tr>
      <w:tr>
        <w:tc>
          <w:tcPr>
            <w:tcW w:type="dxa" w:w="3175"/>
            <w:vAlign w:val="top"/>
            <w:shd w:fill="F3F5F7"/>
          </w:tcPr>
          <w:p>
            <w:r>
              <w:rPr>
                <w:rFonts w:ascii="Arial" w:hAnsi="Arial"/>
                <w:b/>
                <w:color w:val="1E2226"/>
                <w:sz w:val="18"/>
              </w:rPr>
              <w:t>Semaine 6</w:t>
            </w:r>
          </w:p>
        </w:tc>
        <w:tc>
          <w:tcPr>
            <w:tcW w:type="dxa" w:w="3175"/>
            <w:vAlign w:val="top"/>
            <w:shd w:fill="F3F5F7"/>
          </w:tcPr>
          <w:p>
            <w:r>
              <w:rPr>
                <w:rFonts w:ascii="Arial" w:hAnsi="Arial"/>
                <w:b w:val="0"/>
                <w:color w:val="1E2226"/>
                <w:sz w:val="18"/>
              </w:rPr>
              <w:t>Robustesse et présentation</w:t>
            </w:r>
          </w:p>
        </w:tc>
        <w:tc>
          <w:tcPr>
            <w:tcW w:type="dxa" w:w="3175"/>
            <w:vAlign w:val="top"/>
            <w:shd w:fill="F3F5F7"/>
          </w:tcPr>
          <w:p>
            <w:r>
              <w:rPr>
                <w:rFonts w:ascii="Arial" w:hAnsi="Arial"/>
                <w:b w:val="0"/>
                <w:color w:val="1E2226"/>
                <w:sz w:val="18"/>
              </w:rPr>
              <w:t>Placebos, analyse par régime, rapport de recherche, README, tests unitaires et figures finales.</w:t>
            </w:r>
          </w:p>
        </w:tc>
      </w:tr>
    </w:tbl>
    <w:p>
      <w:pPr>
        <w:spacing w:after="0"/>
        <w:widowControl/>
      </w:pPr>
    </w:p>
    <w:tbl>
      <w:tblPr>
        <w:tblW w:type="auto" w:w="0"/>
        <w:jc w:val="center"/>
        <w:tblLayout w:type="fixed"/>
        <w:tblLook w:firstColumn="1" w:firstRow="1" w:lastColumn="0" w:lastRow="0" w:noHBand="0" w:noVBand="1" w:val="04A0"/>
      </w:tblPr>
      <w:tblGrid>
        <w:gridCol w:w="198"/>
        <w:gridCol w:w="8674"/>
      </w:tblGrid>
      <w:tr>
        <w:tc>
          <w:tcPr>
            <w:tcW w:type="dxa" w:w="4762"/>
            <w:shd w:fill="276398"/>
            <w:tcBorders>
              <w:top w:val="nil"/>
              <w:left w:val="nil"/>
              <w:bottom w:val="nil"/>
              <w:right w:val="nil"/>
            </w:tcBorders>
            <w:vAlign w:val="center"/>
          </w:tcPr>
          <w:p>
            <w:r/>
          </w:p>
        </w:tc>
        <w:tc>
          <w:tcPr>
            <w:tcW w:type="dxa" w:w="4762"/>
            <w:shd w:fill="EAF2F8"/>
            <w:tcBorders>
              <w:top w:val="nil"/>
              <w:left w:val="nil"/>
              <w:bottom w:val="nil"/>
              <w:right w:val="nil"/>
            </w:tcBorders>
            <w:vAlign w:val="center"/>
          </w:tcPr>
          <w:p>
            <w:pPr>
              <w:spacing w:before="120" w:after="40"/>
            </w:pPr>
            <w:r>
              <w:rPr>
                <w:rFonts w:ascii="Arial" w:hAnsi="Arial"/>
                <w:b/>
                <w:color w:val="16304C"/>
                <w:sz w:val="20"/>
              </w:rPr>
              <w:t>Périmètre minimal crédible</w:t>
            </w:r>
          </w:p>
          <w:p>
            <w:pPr>
              <w:spacing w:after="120" w:line="259" w:lineRule="auto"/>
            </w:pPr>
            <w:r>
              <w:rPr>
                <w:rFonts w:ascii="Arial" w:hAnsi="Arial"/>
                <w:color w:val="1E2226"/>
                <w:sz w:val="19"/>
              </w:rPr>
              <w:t>Un MVP convaincant contient : 10-K/10-Q, trois sections, baseline lexicale, semantic delta, validation walk-forward, un portefeuille long-short net de coûts et au moins trois tests placebo.</w:t>
            </w:r>
          </w:p>
        </w:tc>
      </w:tr>
    </w:tbl>
    <w:p>
      <w:pPr>
        <w:spacing w:after="0"/>
        <w:widowControl/>
      </w:pPr>
    </w:p>
    <w:p>
      <w:pPr>
        <w:pStyle w:val="Heading1"/>
        <w:widowControl/>
      </w:pPr>
      <w:r>
        <w:t>11. Architecture GitHub et livrables</w:t>
      </w:r>
    </w:p>
    <w:p>
      <w:pPr>
        <w:pStyle w:val="Heading2"/>
        <w:widowControl/>
      </w:pPr>
      <w:r>
        <w:t>11.1 Structure du dépôt</w:t>
      </w:r>
    </w:p>
    <w:p>
      <w:pPr>
        <w:pStyle w:val="CodeBlock"/>
        <w:keepLines/>
        <w:widowControl/>
      </w:pPr>
      <w:r>
        <w:rPr>
          <w:rFonts w:ascii="Consolas" w:hAnsi="Consolas"/>
          <w:color w:val="1E2226"/>
          <w:sz w:val="16"/>
        </w:rPr>
        <w:t>disclosure-delta/</w:t>
        <w:br/>
        <w:t>├── configs/</w:t>
        <w:br/>
        <w:t>│   ├── data.yaml</w:t>
        <w:br/>
        <w:t>│   ├── model.yaml</w:t>
        <w:br/>
        <w:t>│   └── backtest.yaml</w:t>
        <w:br/>
        <w:t>├── src/</w:t>
        <w:br/>
        <w:t>│   ├── edgar/</w:t>
        <w:br/>
        <w:t>│   │   ├── download.py</w:t>
        <w:br/>
        <w:t>│   │   ├── parse.py</w:t>
        <w:br/>
        <w:t>│   │   └── sections.py</w:t>
        <w:br/>
        <w:t>│   ├── features/</w:t>
        <w:br/>
        <w:t>│   │   ├── lexicon.py</w:t>
        <w:br/>
        <w:t>│   │   ├── finbert.py</w:t>
        <w:br/>
        <w:t>│   │   ├── embeddings.py</w:t>
        <w:br/>
        <w:t>│   │   └── semantic_delta.py</w:t>
        <w:br/>
        <w:t>│   ├── models/</w:t>
        <w:br/>
        <w:t>│   │   ├── linear.py</w:t>
        <w:br/>
        <w:t>│   │   ├── boosting.py</w:t>
        <w:br/>
        <w:t>│   │   └── ranking.py</w:t>
        <w:br/>
        <w:t>│   ├── portfolio/</w:t>
        <w:br/>
        <w:t>│   │   ├── optimizer.py</w:t>
        <w:br/>
        <w:t>│   │   ├── costs.py</w:t>
        <w:br/>
        <w:t>│   │   └── backtest.py</w:t>
        <w:br/>
        <w:t>│   └── evaluation/</w:t>
        <w:br/>
        <w:t>│       ├── metrics.py</w:t>
        <w:br/>
        <w:t>│       ├── factor_attribution.py</w:t>
        <w:br/>
        <w:t>│       └── robustness.py</w:t>
        <w:br/>
        <w:t>├── tests/</w:t>
        <w:br/>
        <w:t>├── notebooks/</w:t>
        <w:br/>
        <w:t>├── reports/</w:t>
        <w:br/>
        <w:t>└── README.md</w:t>
      </w:r>
    </w:p>
    <w:p>
      <w:pPr>
        <w:pStyle w:val="Heading2"/>
        <w:widowControl/>
      </w:pPr>
      <w:r>
        <w:t>11.2 Livrables visibles par un recruteur</w:t>
      </w:r>
    </w:p>
    <w:p>
      <w:pPr>
        <w:pStyle w:val="ListBullet"/>
        <w:spacing w:after="50" w:line="259" w:lineRule="auto"/>
        <w:widowControl/>
      </w:pPr>
      <w:r>
        <w:rPr>
          <w:rFonts w:ascii="Arial" w:hAnsi="Arial"/>
          <w:color w:val="1E2226"/>
          <w:sz w:val="20"/>
        </w:rPr>
        <w:t>README exécutif expliquant l’hypothèse, les données, les principaux résultats et les limites ;</w:t>
      </w:r>
    </w:p>
    <w:p>
      <w:pPr>
        <w:pStyle w:val="ListBullet"/>
        <w:spacing w:after="50" w:line="259" w:lineRule="auto"/>
        <w:widowControl/>
      </w:pPr>
      <w:r>
        <w:rPr>
          <w:rFonts w:ascii="Arial" w:hAnsi="Arial"/>
          <w:color w:val="1E2226"/>
          <w:sz w:val="20"/>
        </w:rPr>
        <w:t>rapport de recherche de 8 à 12 pages ;</w:t>
      </w:r>
    </w:p>
    <w:p>
      <w:pPr>
        <w:pStyle w:val="ListBullet"/>
        <w:spacing w:after="50" w:line="259" w:lineRule="auto"/>
        <w:widowControl/>
      </w:pPr>
      <w:r>
        <w:rPr>
          <w:rFonts w:ascii="Arial" w:hAnsi="Arial"/>
          <w:color w:val="1E2226"/>
          <w:sz w:val="20"/>
        </w:rPr>
        <w:t>notebook de démonstration court, mais pipeline principal en modules Python ;</w:t>
      </w:r>
    </w:p>
    <w:p>
      <w:pPr>
        <w:pStyle w:val="ListBullet"/>
        <w:spacing w:after="50" w:line="259" w:lineRule="auto"/>
        <w:widowControl/>
      </w:pPr>
      <w:r>
        <w:rPr>
          <w:rFonts w:ascii="Arial" w:hAnsi="Arial"/>
          <w:color w:val="1E2226"/>
          <w:sz w:val="20"/>
        </w:rPr>
        <w:t>configuration reproductible et fichier d’environnement ;</w:t>
      </w:r>
    </w:p>
    <w:p>
      <w:pPr>
        <w:pStyle w:val="ListBullet"/>
        <w:spacing w:after="50" w:line="259" w:lineRule="auto"/>
        <w:widowControl/>
      </w:pPr>
      <w:r>
        <w:rPr>
          <w:rFonts w:ascii="Arial" w:hAnsi="Arial"/>
          <w:color w:val="1E2226"/>
          <w:sz w:val="20"/>
        </w:rPr>
        <w:t>tests unitaires sur le parsing, les timestamps et le backtest ;</w:t>
      </w:r>
    </w:p>
    <w:p>
      <w:pPr>
        <w:pStyle w:val="ListBullet"/>
        <w:spacing w:after="50" w:line="259" w:lineRule="auto"/>
        <w:widowControl/>
      </w:pPr>
      <w:r>
        <w:rPr>
          <w:rFonts w:ascii="Arial" w:hAnsi="Arial"/>
          <w:color w:val="1E2226"/>
          <w:sz w:val="20"/>
        </w:rPr>
        <w:t>data dictionary des features ;</w:t>
      </w:r>
    </w:p>
    <w:p>
      <w:pPr>
        <w:pStyle w:val="ListBullet"/>
        <w:spacing w:after="50" w:line="259" w:lineRule="auto"/>
        <w:widowControl/>
      </w:pPr>
      <w:r>
        <w:rPr>
          <w:rFonts w:ascii="Arial" w:hAnsi="Arial"/>
          <w:color w:val="1E2226"/>
          <w:sz w:val="20"/>
        </w:rPr>
        <w:t>figures de performance, IC, attribution et robustesse ;</w:t>
      </w:r>
    </w:p>
    <w:p>
      <w:pPr>
        <w:pStyle w:val="ListBullet"/>
        <w:spacing w:after="50" w:line="259" w:lineRule="auto"/>
        <w:widowControl/>
      </w:pPr>
      <w:r>
        <w:rPr>
          <w:rFonts w:ascii="Arial" w:hAnsi="Arial"/>
          <w:color w:val="1E2226"/>
          <w:sz w:val="20"/>
        </w:rPr>
        <w:t>model card documentant les modèles NLP et le risque de contamination.</w:t>
      </w:r>
    </w:p>
    <w:p>
      <w:pPr>
        <w:pStyle w:val="Heading2"/>
        <w:widowControl/>
      </w:pPr>
      <w:r>
        <w:t>11.3 Figures à produire</w:t>
      </w:r>
    </w:p>
    <w:p>
      <w:pPr>
        <w:pStyle w:val="ListBullet"/>
        <w:spacing w:after="50" w:line="259" w:lineRule="auto"/>
        <w:widowControl/>
      </w:pPr>
      <w:r>
        <w:rPr>
          <w:rFonts w:ascii="Arial" w:hAnsi="Arial"/>
          <w:color w:val="1E2226"/>
          <w:sz w:val="20"/>
        </w:rPr>
        <w:t>distribution des semantic deltas ;</w:t>
      </w:r>
    </w:p>
    <w:p>
      <w:pPr>
        <w:pStyle w:val="ListBullet"/>
        <w:spacing w:after="50" w:line="259" w:lineRule="auto"/>
        <w:widowControl/>
      </w:pPr>
      <w:r>
        <w:rPr>
          <w:rFonts w:ascii="Arial" w:hAnsi="Arial"/>
          <w:color w:val="1E2226"/>
          <w:sz w:val="20"/>
        </w:rPr>
        <w:t>IC moyen par section et horizon ;</w:t>
      </w:r>
    </w:p>
    <w:p>
      <w:pPr>
        <w:pStyle w:val="ListBullet"/>
        <w:spacing w:after="50" w:line="259" w:lineRule="auto"/>
        <w:widowControl/>
      </w:pPr>
      <w:r>
        <w:rPr>
          <w:rFonts w:ascii="Arial" w:hAnsi="Arial"/>
          <w:color w:val="1E2226"/>
          <w:sz w:val="20"/>
        </w:rPr>
        <w:t>courbe cumulative long-short brute et nette ;</w:t>
      </w:r>
    </w:p>
    <w:p>
      <w:pPr>
        <w:pStyle w:val="ListBullet"/>
        <w:spacing w:after="50" w:line="259" w:lineRule="auto"/>
        <w:widowControl/>
      </w:pPr>
      <w:r>
        <w:rPr>
          <w:rFonts w:ascii="Arial" w:hAnsi="Arial"/>
          <w:color w:val="1E2226"/>
          <w:sz w:val="20"/>
        </w:rPr>
        <w:t>performance par année ;</w:t>
      </w:r>
    </w:p>
    <w:p>
      <w:pPr>
        <w:pStyle w:val="ListBullet"/>
        <w:spacing w:after="50" w:line="259" w:lineRule="auto"/>
        <w:widowControl/>
      </w:pPr>
      <w:r>
        <w:rPr>
          <w:rFonts w:ascii="Arial" w:hAnsi="Arial"/>
          <w:color w:val="1E2226"/>
          <w:sz w:val="20"/>
        </w:rPr>
        <w:t>performance par secteur ;</w:t>
      </w:r>
    </w:p>
    <w:p>
      <w:pPr>
        <w:pStyle w:val="ListBullet"/>
        <w:spacing w:after="50" w:line="259" w:lineRule="auto"/>
        <w:widowControl/>
      </w:pPr>
      <w:r>
        <w:rPr>
          <w:rFonts w:ascii="Arial" w:hAnsi="Arial"/>
          <w:color w:val="1E2226"/>
          <w:sz w:val="20"/>
        </w:rPr>
        <w:t>turnover et coût implicite ;</w:t>
      </w:r>
    </w:p>
    <w:p>
      <w:pPr>
        <w:pStyle w:val="ListBullet"/>
        <w:spacing w:after="50" w:line="259" w:lineRule="auto"/>
        <w:widowControl/>
      </w:pPr>
      <w:r>
        <w:rPr>
          <w:rFonts w:ascii="Arial" w:hAnsi="Arial"/>
          <w:color w:val="1E2226"/>
          <w:sz w:val="20"/>
        </w:rPr>
        <w:t>importance des features ou SHAP ;</w:t>
      </w:r>
    </w:p>
    <w:p>
      <w:pPr>
        <w:pStyle w:val="ListBullet"/>
        <w:spacing w:after="50" w:line="259" w:lineRule="auto"/>
        <w:widowControl/>
      </w:pPr>
      <w:r>
        <w:rPr>
          <w:rFonts w:ascii="Arial" w:hAnsi="Arial"/>
          <w:color w:val="1E2226"/>
          <w:sz w:val="20"/>
        </w:rPr>
        <w:t>heatmap des études d’ablation ;</w:t>
      </w:r>
    </w:p>
    <w:p>
      <w:pPr>
        <w:pStyle w:val="ListBullet"/>
        <w:spacing w:after="50" w:line="259" w:lineRule="auto"/>
        <w:widowControl/>
      </w:pPr>
      <w:r>
        <w:rPr>
          <w:rFonts w:ascii="Arial" w:hAnsi="Arial"/>
          <w:color w:val="1E2226"/>
          <w:sz w:val="20"/>
        </w:rPr>
        <w:t>exemples interprétables de paragraphes ajoutés ou modifiés.</w:t>
      </w:r>
    </w:p>
    <w:p>
      <w:pPr>
        <w:pStyle w:val="Heading1"/>
        <w:widowControl/>
      </w:pPr>
      <w:r>
        <w:t>12. Formulation pour le CV</w:t>
      </w:r>
    </w:p>
    <w:p>
      <w:pPr>
        <w:keepNext w:val="0"/>
        <w:spacing w:after="100" w:line="269" w:lineRule="auto"/>
        <w:widowControl/>
      </w:pPr>
      <w:r>
        <w:rPr>
          <w:rFonts w:ascii="Arial" w:hAnsi="Arial"/>
          <w:i w:val="0"/>
          <w:color w:val="1E2226"/>
          <w:sz w:val="20"/>
        </w:rPr>
        <w:t>Les résultats chiffrés doivent être ajoutés uniquement après finalisation du backtest. Une formulation possible est la suivante.</w:t>
      </w:r>
    </w:p>
    <w:tbl>
      <w:tblPr>
        <w:tblW w:type="auto" w:w="0"/>
        <w:jc w:val="center"/>
        <w:tblLayout w:type="fixed"/>
        <w:tblLook w:firstColumn="1" w:firstRow="1" w:lastColumn="0" w:lastRow="0" w:noHBand="0" w:noVBand="1" w:val="04A0"/>
      </w:tblPr>
      <w:tblGrid>
        <w:gridCol w:w="9524"/>
      </w:tblGrid>
      <w:tr>
        <w:tc>
          <w:tcPr>
            <w:tcW w:type="dxa" w:w="9524"/>
            <w:shd w:fill="F7F9FB"/>
            <w:tcBorders>
              <w:top w:val="single" w:sz="6" w:color="D7DEE5"/>
              <w:left w:val="single" w:sz="6" w:color="D7DEE5"/>
              <w:bottom w:val="single" w:sz="6" w:color="D7DEE5"/>
              <w:right w:val="single" w:sz="6" w:color="D7DEE5"/>
            </w:tcBorders>
          </w:tcPr>
          <w:p>
            <w:pPr>
              <w:spacing w:before="100" w:after="100"/>
            </w:pPr>
            <w:r>
              <w:rPr>
                <w:rFonts w:ascii="Arial" w:hAnsi="Arial"/>
                <w:b/>
                <w:color w:val="16304C"/>
                <w:sz w:val="21"/>
              </w:rPr>
              <w:t>NLP Alpha Research — SEC Filings</w:t>
            </w:r>
          </w:p>
          <w:p>
            <w:pPr>
              <w:pStyle w:val="ListBullet"/>
              <w:spacing w:after="60"/>
            </w:pPr>
            <w:r>
              <w:rPr>
                <w:rFonts w:ascii="Arial" w:hAnsi="Arial"/>
                <w:color w:val="1E2226"/>
                <w:sz w:val="19"/>
              </w:rPr>
              <w:t>Built a point-in-time NLP research pipeline processing [N] 10-K and 10-Q filings, combining financial sentiment, paragraph-level semantic changes and structured LLM extraction to forecast cross-sectional abnormal returns and downside risk.</w:t>
            </w:r>
          </w:p>
          <w:p>
            <w:pPr>
              <w:pStyle w:val="ListBullet"/>
              <w:spacing w:after="60"/>
            </w:pPr>
            <w:r>
              <w:rPr>
                <w:rFonts w:ascii="Arial" w:hAnsi="Arial"/>
                <w:color w:val="1E2226"/>
                <w:sz w:val="19"/>
              </w:rPr>
              <w:t>Designed a sector- and beta-neutral long-short event strategy with purged walk-forward validation, transaction costs and factor attribution; achieved an out-of-sample rank IC of [X] and net Sharpe ratio of [Y], with robustness tests across market regimes and capitalization buckets.</w:t>
            </w:r>
          </w:p>
        </w:tc>
      </w:tr>
    </w:tbl>
    <w:p>
      <w:pPr>
        <w:spacing w:after="0"/>
        <w:widowControl/>
      </w:pPr>
    </w:p>
    <w:p>
      <w:pPr>
        <w:keepNext w:val="0"/>
        <w:spacing w:after="100" w:line="269" w:lineRule="auto"/>
        <w:widowControl/>
      </w:pPr>
      <w:r>
        <w:rPr>
          <w:rFonts w:ascii="Arial" w:hAnsi="Arial"/>
          <w:i w:val="0"/>
          <w:color w:val="1E2226"/>
          <w:sz w:val="20"/>
        </w:rPr>
        <w:t>Lors d’un entretien, il faut pouvoir expliquer clairement : pourquoi l’information textuelle pourrait être sous-réagie, comment les timestamps sont gérés, quel benchmark simple a été battu, quelles fuites ont été évitées et pourquoi le résultat reste ou non robuste après coûts.</w:t>
      </w:r>
    </w:p>
    <w:p>
      <w:pPr>
        <w:pStyle w:val="Heading1"/>
        <w:widowControl/>
      </w:pPr>
      <w:r>
        <w:t>13. Ce qu’il faut éviter</w:t>
      </w:r>
    </w:p>
    <w:p>
      <w:pPr>
        <w:keepNext w:val="0"/>
        <w:spacing w:after="100" w:line="269" w:lineRule="auto"/>
        <w:widowControl/>
      </w:pPr>
      <w:r>
        <w:rPr>
          <w:rFonts w:ascii="Arial" w:hAnsi="Arial"/>
          <w:i w:val="0"/>
          <w:color w:val="1E2226"/>
          <w:sz w:val="20"/>
        </w:rPr>
        <w:t>Un projet peu crédible se reconnaît souvent aux éléments suivants :</w:t>
      </w:r>
    </w:p>
    <w:p>
      <w:pPr>
        <w:pStyle w:val="ListBullet"/>
        <w:spacing w:after="50" w:line="259" w:lineRule="auto"/>
        <w:widowControl/>
      </w:pPr>
      <w:r>
        <w:rPr>
          <w:rFonts w:ascii="Arial" w:hAnsi="Arial"/>
          <w:color w:val="1E2226"/>
          <w:sz w:val="20"/>
        </w:rPr>
        <w:t>quelques news récupérées avec yfinance ;</w:t>
      </w:r>
    </w:p>
    <w:p>
      <w:pPr>
        <w:pStyle w:val="ListBullet"/>
        <w:spacing w:after="50" w:line="259" w:lineRule="auto"/>
        <w:widowControl/>
      </w:pPr>
      <w:r>
        <w:rPr>
          <w:rFonts w:ascii="Arial" w:hAnsi="Arial"/>
          <w:color w:val="1E2226"/>
          <w:sz w:val="20"/>
        </w:rPr>
        <w:t>un score FinBERT appliqué sans contrôle de la date ;</w:t>
      </w:r>
    </w:p>
    <w:p>
      <w:pPr>
        <w:pStyle w:val="ListBullet"/>
        <w:spacing w:after="50" w:line="259" w:lineRule="auto"/>
        <w:widowControl/>
      </w:pPr>
      <w:r>
        <w:rPr>
          <w:rFonts w:ascii="Arial" w:hAnsi="Arial"/>
          <w:color w:val="1E2226"/>
          <w:sz w:val="20"/>
        </w:rPr>
        <w:t>un split aléatoire train/test ;</w:t>
      </w:r>
    </w:p>
    <w:p>
      <w:pPr>
        <w:pStyle w:val="ListBullet"/>
        <w:spacing w:after="50" w:line="259" w:lineRule="auto"/>
        <w:widowControl/>
      </w:pPr>
      <w:r>
        <w:rPr>
          <w:rFonts w:ascii="Arial" w:hAnsi="Arial"/>
          <w:color w:val="1E2226"/>
          <w:sz w:val="20"/>
        </w:rPr>
        <w:t>une prédiction up/down avec accuracy comme unique métrique ;</w:t>
      </w:r>
    </w:p>
    <w:p>
      <w:pPr>
        <w:pStyle w:val="ListBullet"/>
        <w:spacing w:after="50" w:line="259" w:lineRule="auto"/>
        <w:widowControl/>
      </w:pPr>
      <w:r>
        <w:rPr>
          <w:rFonts w:ascii="Arial" w:hAnsi="Arial"/>
          <w:color w:val="1E2226"/>
          <w:sz w:val="20"/>
        </w:rPr>
        <w:t>un backtest sans spread ni coût de transaction ;</w:t>
      </w:r>
    </w:p>
    <w:p>
      <w:pPr>
        <w:pStyle w:val="ListBullet"/>
        <w:spacing w:after="50" w:line="259" w:lineRule="auto"/>
        <w:widowControl/>
      </w:pPr>
      <w:r>
        <w:rPr>
          <w:rFonts w:ascii="Arial" w:hAnsi="Arial"/>
          <w:color w:val="1E2226"/>
          <w:sz w:val="20"/>
        </w:rPr>
        <w:t>un univers construit avec les constituants actuels ;</w:t>
      </w:r>
    </w:p>
    <w:p>
      <w:pPr>
        <w:pStyle w:val="ListBullet"/>
        <w:spacing w:after="50" w:line="259" w:lineRule="auto"/>
        <w:widowControl/>
      </w:pPr>
      <w:r>
        <w:rPr>
          <w:rFonts w:ascii="Arial" w:hAnsi="Arial"/>
          <w:color w:val="1E2226"/>
          <w:sz w:val="20"/>
        </w:rPr>
        <w:t>un Sharpe très élevé sans attribution factorielle ;</w:t>
      </w:r>
    </w:p>
    <w:p>
      <w:pPr>
        <w:pStyle w:val="ListBullet"/>
        <w:spacing w:after="50" w:line="259" w:lineRule="auto"/>
        <w:widowControl/>
      </w:pPr>
      <w:r>
        <w:rPr>
          <w:rFonts w:ascii="Arial" w:hAnsi="Arial"/>
          <w:color w:val="1E2226"/>
          <w:sz w:val="20"/>
        </w:rPr>
        <w:t>aucune comparaison avec TF-IDF ou une régression linéaire ;</w:t>
      </w:r>
    </w:p>
    <w:p>
      <w:pPr>
        <w:pStyle w:val="ListBullet"/>
        <w:spacing w:after="50" w:line="259" w:lineRule="auto"/>
        <w:widowControl/>
      </w:pPr>
      <w:r>
        <w:rPr>
          <w:rFonts w:ascii="Arial" w:hAnsi="Arial"/>
          <w:color w:val="1E2226"/>
          <w:sz w:val="20"/>
        </w:rPr>
        <w:t>un LLM qui génère directement buy/sell sans protocole falsifiable.</w:t>
      </w:r>
    </w:p>
    <w:tbl>
      <w:tblPr>
        <w:tblW w:type="auto" w:w="0"/>
        <w:jc w:val="center"/>
        <w:tblLayout w:type="fixed"/>
        <w:tblLook w:firstColumn="1" w:firstRow="1" w:lastColumn="0" w:lastRow="0" w:noHBand="0" w:noVBand="1" w:val="04A0"/>
      </w:tblPr>
      <w:tblGrid>
        <w:gridCol w:w="198"/>
        <w:gridCol w:w="8674"/>
      </w:tblGrid>
      <w:tr>
        <w:tc>
          <w:tcPr>
            <w:tcW w:type="dxa" w:w="4762"/>
            <w:shd w:fill="276398"/>
            <w:tcBorders>
              <w:top w:val="nil"/>
              <w:left w:val="nil"/>
              <w:bottom w:val="nil"/>
              <w:right w:val="nil"/>
            </w:tcBorders>
            <w:vAlign w:val="center"/>
          </w:tcPr>
          <w:p>
            <w:r/>
          </w:p>
        </w:tc>
        <w:tc>
          <w:tcPr>
            <w:tcW w:type="dxa" w:w="4762"/>
            <w:shd w:fill="EAF2F8"/>
            <w:tcBorders>
              <w:top w:val="nil"/>
              <w:left w:val="nil"/>
              <w:bottom w:val="nil"/>
              <w:right w:val="nil"/>
            </w:tcBorders>
            <w:vAlign w:val="center"/>
          </w:tcPr>
          <w:p>
            <w:pPr>
              <w:spacing w:before="120" w:after="40"/>
            </w:pPr>
            <w:r>
              <w:rPr>
                <w:rFonts w:ascii="Arial" w:hAnsi="Arial"/>
                <w:b/>
                <w:color w:val="16304C"/>
                <w:sz w:val="20"/>
              </w:rPr>
              <w:t>Critère de qualité</w:t>
            </w:r>
          </w:p>
          <w:p>
            <w:pPr>
              <w:spacing w:after="120" w:line="259" w:lineRule="auto"/>
            </w:pPr>
            <w:r>
              <w:rPr>
                <w:rFonts w:ascii="Arial" w:hAnsi="Arial"/>
                <w:color w:val="1E2226"/>
                <w:sz w:val="19"/>
              </w:rPr>
              <w:t>Le projet doit montrer une capacité de recherche, pas seulement une capacité à appeler un modèle préentraîné.</w:t>
            </w:r>
          </w:p>
        </w:tc>
      </w:tr>
    </w:tbl>
    <w:p>
      <w:pPr>
        <w:spacing w:after="0"/>
        <w:widowControl/>
      </w:pPr>
    </w:p>
    <w:p>
      <w:pPr>
        <w:pStyle w:val="Heading1"/>
        <w:widowControl/>
      </w:pPr>
      <w:r>
        <w:t>14. Extensions possibles</w:t>
      </w:r>
    </w:p>
    <w:p>
      <w:pPr>
        <w:keepNext w:val="0"/>
        <w:spacing w:after="100" w:line="269" w:lineRule="auto"/>
        <w:widowControl/>
      </w:pPr>
      <w:r>
        <w:rPr>
          <w:rFonts w:ascii="Arial" w:hAnsi="Arial"/>
          <w:i w:val="0"/>
          <w:color w:val="1E2226"/>
          <w:sz w:val="20"/>
        </w:rPr>
        <w:t>Une fois le MVP terminé, plusieurs extensions peuvent améliorer le projet sans en modifier le cœur :</w:t>
      </w:r>
    </w:p>
    <w:p>
      <w:pPr>
        <w:pStyle w:val="ListBullet"/>
        <w:spacing w:after="50" w:line="259" w:lineRule="auto"/>
        <w:widowControl/>
      </w:pPr>
      <w:r>
        <w:rPr>
          <w:rFonts w:ascii="Arial" w:hAnsi="Arial"/>
          <w:color w:val="1E2226"/>
          <w:sz w:val="20"/>
        </w:rPr>
        <w:t>ajouter les 8-K et identifier les catégories d’événements ;</w:t>
      </w:r>
    </w:p>
    <w:p>
      <w:pPr>
        <w:pStyle w:val="ListBullet"/>
        <w:spacing w:after="50" w:line="259" w:lineRule="auto"/>
        <w:widowControl/>
      </w:pPr>
      <w:r>
        <w:rPr>
          <w:rFonts w:ascii="Arial" w:hAnsi="Arial"/>
          <w:color w:val="1E2226"/>
          <w:sz w:val="20"/>
        </w:rPr>
        <w:t>fusionner filings et earnings-call transcripts ;</w:t>
      </w:r>
    </w:p>
    <w:p>
      <w:pPr>
        <w:pStyle w:val="ListBullet"/>
        <w:spacing w:after="50" w:line="259" w:lineRule="auto"/>
        <w:widowControl/>
      </w:pPr>
      <w:r>
        <w:rPr>
          <w:rFonts w:ascii="Arial" w:hAnsi="Arial"/>
          <w:color w:val="1E2226"/>
          <w:sz w:val="20"/>
        </w:rPr>
        <w:t>mesurer les divergences entre discours oral et discours réglementaire ;</w:t>
      </w:r>
    </w:p>
    <w:p>
      <w:pPr>
        <w:pStyle w:val="ListBullet"/>
        <w:spacing w:after="50" w:line="259" w:lineRule="auto"/>
        <w:widowControl/>
      </w:pPr>
      <w:r>
        <w:rPr>
          <w:rFonts w:ascii="Arial" w:hAnsi="Arial"/>
          <w:color w:val="1E2226"/>
          <w:sz w:val="20"/>
        </w:rPr>
        <w:t>construire un graphe de risques reliant entreprises, fournisseurs, clients et thèmes ;</w:t>
      </w:r>
    </w:p>
    <w:p>
      <w:pPr>
        <w:pStyle w:val="ListBullet"/>
        <w:spacing w:after="50" w:line="259" w:lineRule="auto"/>
        <w:widowControl/>
      </w:pPr>
      <w:r>
        <w:rPr>
          <w:rFonts w:ascii="Arial" w:hAnsi="Arial"/>
          <w:color w:val="1E2226"/>
          <w:sz w:val="20"/>
        </w:rPr>
        <w:t>prévoir les révisions d’analystes ou les surprises de bénéfices ;</w:t>
      </w:r>
    </w:p>
    <w:p>
      <w:pPr>
        <w:pStyle w:val="ListBullet"/>
        <w:spacing w:after="50" w:line="259" w:lineRule="auto"/>
        <w:widowControl/>
      </w:pPr>
      <w:r>
        <w:rPr>
          <w:rFonts w:ascii="Arial" w:hAnsi="Arial"/>
          <w:color w:val="1E2226"/>
          <w:sz w:val="20"/>
        </w:rPr>
        <w:t>utiliser un modèle de survie pour les épisodes de distress ;</w:t>
      </w:r>
    </w:p>
    <w:p>
      <w:pPr>
        <w:pStyle w:val="ListBullet"/>
        <w:spacing w:after="50" w:line="259" w:lineRule="auto"/>
        <w:widowControl/>
      </w:pPr>
      <w:r>
        <w:rPr>
          <w:rFonts w:ascii="Arial" w:hAnsi="Arial"/>
          <w:color w:val="1E2226"/>
          <w:sz w:val="20"/>
        </w:rPr>
        <w:t>tester une stratégie options lorsque les données d’options sont disponibles ;</w:t>
      </w:r>
    </w:p>
    <w:p>
      <w:pPr>
        <w:pStyle w:val="ListBullet"/>
        <w:spacing w:after="50" w:line="259" w:lineRule="auto"/>
        <w:widowControl/>
      </w:pPr>
      <w:r>
        <w:rPr>
          <w:rFonts w:ascii="Arial" w:hAnsi="Arial"/>
          <w:color w:val="1E2226"/>
          <w:sz w:val="20"/>
        </w:rPr>
        <w:t>étudier les changements de langage liés au climat, à l’IA, à la cybersécurité ou à la chaîne d’approvisionnement.</w:t>
      </w:r>
    </w:p>
    <w:p>
      <w:pPr>
        <w:pStyle w:val="Heading2"/>
        <w:widowControl/>
      </w:pPr>
      <w:r>
        <w:t>14.1 Extension particulièrement différenciante</w:t>
      </w:r>
    </w:p>
    <w:p>
      <w:pPr>
        <w:keepNext w:val="0"/>
        <w:spacing w:after="100" w:line="269" w:lineRule="auto"/>
        <w:widowControl/>
      </w:pPr>
      <w:r>
        <w:rPr>
          <w:rFonts w:ascii="Arial" w:hAnsi="Arial"/>
          <w:i w:val="0"/>
          <w:color w:val="1E2226"/>
          <w:sz w:val="20"/>
        </w:rPr>
        <w:t>Comparer trois canaux d’information autour d’un même trimestre : filing, earnings call et révisions d’analystes. Le signal peut mesurer une divergence entre le langage réglementaire et le discours de management. Par exemple, un call optimiste associé à une forte augmentation des risques écrits dans le 10-Q pourrait signaler une communication asymétrique.</w:t>
      </w:r>
    </w:p>
    <w:p>
      <w:pPr>
        <w:pStyle w:val="Heading1"/>
        <w:widowControl/>
      </w:pPr>
      <w:r>
        <w:t>15. Ressources de départ</w:t>
      </w:r>
    </w:p>
    <w:p>
      <w:pPr>
        <w:keepNext w:val="0"/>
        <w:spacing w:after="100" w:line="269" w:lineRule="auto"/>
        <w:widowControl/>
      </w:pPr>
      <w:r>
        <w:rPr>
          <w:rFonts w:ascii="Arial" w:hAnsi="Arial"/>
          <w:i w:val="0"/>
          <w:color w:val="1E2226"/>
          <w:sz w:val="20"/>
        </w:rPr>
        <w:t>Les ressources suivantes permettent de démarrer le pipeline et de documenter les choix méthodologiques.</w:t>
      </w:r>
    </w:p>
    <w:p>
      <w:pPr>
        <w:pStyle w:val="ListBullet"/>
        <w:spacing w:after="60"/>
        <w:widowControl/>
      </w:pPr>
      <w:hyperlink r:id="rId10">
        <w:r>
          <w:rPr>
            <w:color w:val="276398"/>
            <w:u w:val="single"/>
            <w:rFonts w:ascii="Arial" w:hAnsi="Arial"/>
          </w:rPr>
          <w:t>SEC Developer Resources</w:t>
        </w:r>
      </w:hyperlink>
      <w:r>
        <w:rPr>
          <w:rFonts w:ascii="Arial" w:hAnsi="Arial"/>
          <w:color w:val="1E2226"/>
          <w:sz w:val="19"/>
        </w:rPr>
        <w:t xml:space="preserve"> — API, archives, index et documentation EDGAR.</w:t>
      </w:r>
    </w:p>
    <w:p>
      <w:pPr>
        <w:pStyle w:val="ListBullet"/>
        <w:spacing w:after="60"/>
        <w:widowControl/>
      </w:pPr>
      <w:hyperlink r:id="rId11">
        <w:r>
          <w:rPr>
            <w:color w:val="276398"/>
            <w:u w:val="single"/>
            <w:rFonts w:ascii="Arial" w:hAnsi="Arial"/>
          </w:rPr>
          <w:t>SEC Webmaster FAQ</w:t>
        </w:r>
      </w:hyperlink>
      <w:r>
        <w:rPr>
          <w:rFonts w:ascii="Arial" w:hAnsi="Arial"/>
          <w:color w:val="1E2226"/>
          <w:sz w:val="19"/>
        </w:rPr>
        <w:t xml:space="preserve"> — Informations pratiques sur les fichiers, timestamps et accès EDGAR.</w:t>
      </w:r>
    </w:p>
    <w:p>
      <w:pPr>
        <w:pStyle w:val="ListBullet"/>
        <w:spacing w:after="60"/>
        <w:widowControl/>
      </w:pPr>
      <w:hyperlink r:id="rId12">
        <w:r>
          <w:rPr>
            <w:color w:val="276398"/>
            <w:u w:val="single"/>
            <w:rFonts w:ascii="Arial" w:hAnsi="Arial"/>
          </w:rPr>
          <w:t>Loughran–McDonald Master Dictionary</w:t>
        </w:r>
      </w:hyperlink>
      <w:r>
        <w:rPr>
          <w:rFonts w:ascii="Arial" w:hAnsi="Arial"/>
          <w:color w:val="1E2226"/>
          <w:sz w:val="19"/>
        </w:rPr>
        <w:t xml:space="preserve"> — Dictionnaire lexical adapté aux textes financiers.</w:t>
      </w:r>
    </w:p>
    <w:p>
      <w:pPr>
        <w:pStyle w:val="ListBullet"/>
        <w:spacing w:after="60"/>
        <w:widowControl/>
      </w:pPr>
      <w:hyperlink r:id="rId13">
        <w:r>
          <w:rPr>
            <w:color w:val="276398"/>
            <w:u w:val="single"/>
            <w:rFonts w:ascii="Arial" w:hAnsi="Arial"/>
          </w:rPr>
          <w:t>FinBERT paper</w:t>
        </w:r>
      </w:hyperlink>
      <w:r>
        <w:rPr>
          <w:rFonts w:ascii="Arial" w:hAnsi="Arial"/>
          <w:color w:val="1E2226"/>
          <w:sz w:val="19"/>
        </w:rPr>
        <w:t xml:space="preserve"> — Référence du modèle de sentiment financier.</w:t>
      </w:r>
    </w:p>
    <w:p>
      <w:pPr>
        <w:pStyle w:val="ListBullet"/>
        <w:spacing w:after="60"/>
        <w:widowControl/>
      </w:pPr>
      <w:hyperlink r:id="rId14">
        <w:r>
          <w:rPr>
            <w:color w:val="276398"/>
            <w:u w:val="single"/>
            <w:rFonts w:ascii="Arial" w:hAnsi="Arial"/>
          </w:rPr>
          <w:t>Kenneth French Data Library</w:t>
        </w:r>
      </w:hyperlink>
      <w:r>
        <w:rPr>
          <w:rFonts w:ascii="Arial" w:hAnsi="Arial"/>
          <w:color w:val="1E2226"/>
          <w:sz w:val="19"/>
        </w:rPr>
        <w:t xml:space="preserve"> — Facteurs de risque et portefeuilles de référence.</w:t>
      </w:r>
    </w:p>
    <w:p>
      <w:pPr>
        <w:pStyle w:val="ListBullet"/>
        <w:spacing w:after="60"/>
        <w:widowControl/>
      </w:pPr>
      <w:hyperlink r:id="rId15">
        <w:r>
          <w:rPr>
            <w:color w:val="276398"/>
            <w:u w:val="single"/>
            <w:rFonts w:ascii="Arial" w:hAnsi="Arial"/>
          </w:rPr>
          <w:t>AFA paper portal — textual changes and risk</w:t>
        </w:r>
      </w:hyperlink>
      <w:r>
        <w:rPr>
          <w:rFonts w:ascii="Arial" w:hAnsi="Arial"/>
          <w:color w:val="1E2226"/>
          <w:sz w:val="19"/>
        </w:rPr>
        <w:t xml:space="preserve"> — Point de départ pour la littérature sur les changements de texte dans les 10-K.</w:t>
      </w:r>
    </w:p>
    <w:p>
      <w:pPr>
        <w:pStyle w:val="ListBullet"/>
        <w:spacing w:after="60"/>
        <w:widowControl/>
      </w:pPr>
      <w:hyperlink r:id="rId16">
        <w:r>
          <w:rPr>
            <w:color w:val="276398"/>
            <w:u w:val="single"/>
            <w:rFonts w:ascii="Arial" w:hAnsi="Arial"/>
          </w:rPr>
          <w:t>Point72 careers</w:t>
        </w:r>
      </w:hyperlink>
      <w:r>
        <w:rPr>
          <w:rFonts w:ascii="Arial" w:hAnsi="Arial"/>
          <w:color w:val="1E2226"/>
          <w:sz w:val="19"/>
        </w:rPr>
        <w:t xml:space="preserve"> — Exemples de compétences demandées en quantitative research et NLP.</w:t>
      </w:r>
    </w:p>
    <w:p>
      <w:pPr>
        <w:pStyle w:val="ListBullet"/>
        <w:spacing w:after="60"/>
        <w:widowControl/>
      </w:pPr>
      <w:hyperlink r:id="rId17">
        <w:r>
          <w:rPr>
            <w:color w:val="276398"/>
            <w:u w:val="single"/>
            <w:rFonts w:ascii="Arial" w:hAnsi="Arial"/>
          </w:rPr>
          <w:t>Jane Street — Machine Learning</w:t>
        </w:r>
      </w:hyperlink>
      <w:r>
        <w:rPr>
          <w:rFonts w:ascii="Arial" w:hAnsi="Arial"/>
          <w:color w:val="1E2226"/>
          <w:sz w:val="19"/>
        </w:rPr>
        <w:t xml:space="preserve"> — Présentation des enjeux de ML sur données financières bruitées.</w:t>
      </w:r>
    </w:p>
    <w:p>
      <w:pPr>
        <w:pStyle w:val="Heading1"/>
        <w:widowControl/>
      </w:pPr>
      <w:r>
        <w:t>Conclusion</w:t>
      </w:r>
    </w:p>
    <w:p>
      <w:pPr>
        <w:keepNext w:val="0"/>
        <w:spacing w:after="100" w:line="269" w:lineRule="auto"/>
        <w:widowControl/>
      </w:pPr>
      <w:r>
        <w:rPr>
          <w:rFonts w:ascii="Arial" w:hAnsi="Arial"/>
          <w:i w:val="0"/>
          <w:color w:val="1E2226"/>
          <w:sz w:val="20"/>
        </w:rPr>
        <w:t>DisclosureDelta est un projet cohérent avec une candidature early-career en hedge fund parce qu’il combine NLP, économétrie, machine learning et portfolio construction. Sa valeur ne dépend pas d’un modèle particulièrement complexe : elle repose sur une question de recherche claire, une gestion point-in-time rigoureuse et une évaluation honnête du signal après neutralisation et coûts.</w:t>
      </w:r>
    </w:p>
    <w:p>
      <w:pPr>
        <w:keepNext w:val="0"/>
        <w:spacing w:after="100" w:line="269" w:lineRule="auto"/>
        <w:widowControl/>
      </w:pPr>
      <w:r>
        <w:rPr>
          <w:rFonts w:ascii="Arial" w:hAnsi="Arial"/>
          <w:i w:val="0"/>
          <w:color w:val="1E2226"/>
          <w:sz w:val="20"/>
        </w:rPr>
        <w:t>La priorité est de terminer une version simple et propre avant d’ajouter des LLM ou des architectures sophistiquées. Une baseline convaincante, un semantic delta robuste et un backtest correctement validé auront davantage de valeur sur un CV qu’une accumulation de modèles sans contrôle méthodologique.</w:t>
      </w:r>
    </w:p>
    <w:sectPr w:rsidR="00FC693F" w:rsidRPr="0006063C" w:rsidSect="00034616">
      <w:footerReference w:type="default" r:id="rId9"/>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D65"/>
        <w:sz w:val="18"/>
      </w:rPr>
      <w:t xml:space="preserve">DisclosureDelta - Projet NLP quantitatif  |  </w:t>
    </w:r>
    <w:r>
      <w:rPr>
        <w:rFonts w:ascii="Arial" w:hAnsi="Arial"/>
        <w:color w:val="555D6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6304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7639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6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630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555D6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c.gov/about/developer-resources" TargetMode="External"/><Relationship Id="rId11" Type="http://schemas.openxmlformats.org/officeDocument/2006/relationships/hyperlink" Target="https://www.sec.gov/about/webmaster-frequently-asked-questions" TargetMode="External"/><Relationship Id="rId12" Type="http://schemas.openxmlformats.org/officeDocument/2006/relationships/hyperlink" Target="https://sraf.nd.edu/loughranmcdonald-master-dictionary/" TargetMode="External"/><Relationship Id="rId13" Type="http://schemas.openxmlformats.org/officeDocument/2006/relationships/hyperlink" Target="https://arxiv.org/abs/1908.10063" TargetMode="External"/><Relationship Id="rId14" Type="http://schemas.openxmlformats.org/officeDocument/2006/relationships/hyperlink" Target="https://mba.tuck.dartmouth.edu/pages/faculty/ken.french/data_library.html" TargetMode="External"/><Relationship Id="rId15" Type="http://schemas.openxmlformats.org/officeDocument/2006/relationships/hyperlink" Target="https://afajof.org/management/viewp.php?n=56560" TargetMode="External"/><Relationship Id="rId16" Type="http://schemas.openxmlformats.org/officeDocument/2006/relationships/hyperlink" Target="https://careers.point72.com/" TargetMode="External"/><Relationship Id="rId17" Type="http://schemas.openxmlformats.org/officeDocument/2006/relationships/hyperlink" Target="https://www.janestreet.com/join-jane-street/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DisclosureDelta — Projet NLP pour la recherche quantitative</dc:title>
  <dc:subject>Projet NLP et trading systématique pour candidature early-career en hedge fund</dc:subject>
  <dc:creator>python-docx</dc:creator>
  <cp:keywords>NLP, quantitative research, hedge fund, SEC filings, semantic change, alpha, trading</cp:keywords>
  <dc:description>Document de cadrage professionnel.</dc:description>
  <cp:lastModifiedBy/>
  <cp:revision>1</cp:revision>
  <dcterms:created xsi:type="dcterms:W3CDTF">2013-12-23T23:15:00Z</dcterms:created>
  <dcterms:modified xsi:type="dcterms:W3CDTF">2013-12-23T23:15:00Z</dcterms:modified>
  <cp:category/>
</cp:coreProperties>
</file>