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0" w:after="120"/>
        <w:jc w:val="center"/>
      </w:pPr>
      <w:r>
        <w:rPr>
          <w:rFonts w:ascii="Arial" w:cs="Arial" w:eastAsia="Arial" w:hAnsi="Arial"/>
          <w:b/>
          <w:bCs/>
          <w:color w:val="1B4F72"/>
          <w:sz w:val="56"/>
          <w:szCs w:val="56"/>
        </w:rPr>
        <w:t xml:space="preserve">Cadence</w:t>
      </w:r>
      <w:r>
        <w:rPr>
          <w:sz w:val="56"/>
          <w:szCs w:val="56"/>
        </w:rPr>
        <w:t xml:space="preserve">
</w:t>
      </w:r>
    </w:p>
    <w:p>
      <w:pPr>
        <w:spacing w:before="0" w:after="80"/>
        <w:jc w:val="center"/>
      </w:pPr>
      <w:r>
        <w:rPr>
          <w:rFonts w:ascii="Arial" w:cs="Arial" w:eastAsia="Arial" w:hAnsi="Arial"/>
          <w:b w:val="false"/>
          <w:bCs w:val="false"/>
          <w:color w:val="2E86C1"/>
          <w:sz w:val="32"/>
          <w:szCs w:val="32"/>
        </w:rPr>
        <w:t xml:space="preserve">HR Process Automation Hub</w:t>
      </w:r>
    </w:p>
    <w:p>
      <w:pPr>
        <w:spacing w:before="0" w:after="40"/>
        <w:jc w:val="center"/>
      </w:pPr>
      <w:r>
        <w:rPr>
          <w:rFonts w:ascii="Arial" w:cs="Arial" w:eastAsia="Arial" w:hAnsi="Arial"/>
          <w:b/>
          <w:bCs/>
          <w:color w:val="595959"/>
          <w:sz w:val="26"/>
          <w:szCs w:val="26"/>
        </w:rPr>
        <w:t xml:space="preserve">Functional Requirements Document</w:t>
      </w:r>
    </w:p>
    <w:p>
      <w:pPr>
        <w:spacing w:before="0" w:after="0"/>
        <w:jc w:val="center"/>
      </w:pPr>
      <w:r>
        <w:rPr>
          <w:rFonts w:ascii="Arial" w:cs="Arial" w:eastAsia="Arial" w:hAnsi="Arial"/>
          <w:color w:val="595959"/>
          <w:sz w:val="22"/>
          <w:szCs w:val="22"/>
        </w:rPr>
        <w:t xml:space="preserve">Cadence_FRD_001</w:t>
      </w:r>
    </w:p>
    <w:p>
      <w:pPr>
        <w:pBdr>
          <w:bottom w:val="single" w:color="1B4F72" w:sz="12" w:space="0"/>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Project</w:t>
            </w:r>
          </w:p>
        </w:tc>
        <w:tc>
          <w:tcPr>
            <w:tcW w:type="dxa" w:w="260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Cadence — HR Process Automation Hub</w:t>
            </w:r>
          </w:p>
        </w:tc>
        <w:tc>
          <w:tcPr>
            <w:tcW w:type="dxa" w:w="20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Document ID</w:t>
            </w:r>
          </w:p>
        </w:tc>
        <w:tc>
          <w:tcPr>
            <w:tcW w:type="dxa" w:w="216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Cadence_FRD_001</w:t>
            </w:r>
          </w:p>
        </w:tc>
      </w:tr>
      <w:tr>
        <w:tc>
          <w:tcPr>
            <w:tcW w:type="dxa" w:w="26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Author</w:t>
            </w:r>
          </w:p>
        </w:tc>
        <w:tc>
          <w:tcPr>
            <w:tcW w:type="dxa" w:w="260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Hadi Mercer</w:t>
            </w:r>
          </w:p>
        </w:tc>
        <w:tc>
          <w:tcPr>
            <w:tcW w:type="dxa" w:w="20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Version</w:t>
            </w:r>
          </w:p>
        </w:tc>
        <w:tc>
          <w:tcPr>
            <w:tcW w:type="dxa" w:w="216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0.1 — DRAFT</w:t>
            </w:r>
          </w:p>
        </w:tc>
      </w:tr>
      <w:tr>
        <w:tc>
          <w:tcPr>
            <w:tcW w:type="dxa" w:w="26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Date</w:t>
            </w:r>
          </w:p>
        </w:tc>
        <w:tc>
          <w:tcPr>
            <w:tcW w:type="dxa" w:w="260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01 March 2026</w:t>
            </w:r>
          </w:p>
        </w:tc>
        <w:tc>
          <w:tcPr>
            <w:tcW w:type="dxa" w:w="20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Status</w:t>
            </w:r>
          </w:p>
        </w:tc>
        <w:tc>
          <w:tcPr>
            <w:tcW w:type="dxa" w:w="216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DRAFT — Pending Review</w:t>
            </w:r>
          </w:p>
        </w:tc>
      </w:tr>
      <w:tr>
        <w:tc>
          <w:tcPr>
            <w:tcW w:type="dxa" w:w="26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Portfolio</w:t>
            </w:r>
          </w:p>
        </w:tc>
        <w:tc>
          <w:tcPr>
            <w:tcW w:type="dxa" w:w="260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BA Portfolio 2026 — Project S1</w:t>
            </w:r>
          </w:p>
        </w:tc>
        <w:tc>
          <w:tcPr>
            <w:tcW w:type="dxa" w:w="20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Classification</w:t>
            </w:r>
          </w:p>
        </w:tc>
        <w:tc>
          <w:tcPr>
            <w:tcW w:type="dxa" w:w="216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Internal — Portfolio</w:t>
            </w:r>
          </w:p>
        </w:tc>
      </w:tr>
      <w:tr>
        <w:tc>
          <w:tcPr>
            <w:tcW w:type="dxa" w:w="26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Methodology</w:t>
            </w:r>
          </w:p>
        </w:tc>
        <w:tc>
          <w:tcPr>
            <w:tcW w:type="dxa" w:w="260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BABOK v3</w:t>
            </w:r>
          </w:p>
        </w:tc>
        <w:tc>
          <w:tcPr>
            <w:tcW w:type="dxa" w:w="2000"/>
            <w:tcBorders>
              <w:top w:val="single" w:color="D5D8DC" w:sz="3"/>
              <w:left w:val="single" w:color="D5D8DC" w:sz="3"/>
              <w:bottom w:val="single" w:color="D5D8DC" w:sz="3"/>
              <w:right w:val="single" w:color="D5D8DC" w:sz="3"/>
            </w:tcBorders>
            <w:shd w:fill="D5E8F0" w:val="clear"/>
            <w:tcMar>
              <w:top w:type="dxa" w:w="60"/>
              <w:left w:type="dxa" w:w="120"/>
              <w:bottom w:type="dxa" w:w="60"/>
              <w:right w:type="dxa" w:w="120"/>
            </w:tcMar>
          </w:tcPr>
          <w:p>
            <w:r>
              <w:rPr>
                <w:rFonts w:ascii="Arial" w:cs="Arial" w:eastAsia="Arial" w:hAnsi="Arial"/>
                <w:b/>
                <w:bCs/>
                <w:color w:val="1B4F72"/>
                <w:sz w:val="19"/>
                <w:szCs w:val="19"/>
              </w:rPr>
              <w:t xml:space="preserve">Next Review</w:t>
            </w:r>
          </w:p>
        </w:tc>
        <w:tc>
          <w:tcPr>
            <w:tcW w:type="dxa" w:w="2160"/>
            <w:tcBorders>
              <w:top w:val="single" w:color="D5D8DC" w:sz="3"/>
              <w:left w:val="single" w:color="D5D8DC" w:sz="3"/>
              <w:bottom w:val="single" w:color="D5D8DC" w:sz="3"/>
              <w:right w:val="single" w:color="D5D8DC" w:sz="3"/>
            </w:tcBorders>
            <w:tcMar>
              <w:top w:type="dxa" w:w="60"/>
              <w:left w:type="dxa" w:w="120"/>
              <w:bottom w:type="dxa" w:w="60"/>
              <w:right w:type="dxa" w:w="120"/>
            </w:tcMar>
          </w:tcPr>
          <w:p>
            <w:r>
              <w:rPr>
                <w:rFonts w:ascii="Arial" w:cs="Arial" w:eastAsia="Arial" w:hAnsi="Arial"/>
                <w:color w:val="1A1A1A"/>
                <w:sz w:val="19"/>
                <w:szCs w:val="19"/>
              </w:rPr>
              <w:t xml:space="preserve">Pending Objectives Approval</w:t>
            </w:r>
          </w:p>
        </w:tc>
      </w:tr>
    </w:tbl>
    <w:p>
      <w:pPr>
        <w:spacing w:before="240" w:after="120"/>
      </w:pPr>
      <w:r>
        <w:t xml:space="preserve"/>
      </w:r>
    </w:p>
    <w:p>
      <w:pPr>
        <w:spacing w:before="0" w:after="80"/>
      </w:pPr>
      <w:r>
        <w:rPr>
          <w:rFonts w:ascii="Arial" w:cs="Arial" w:eastAsia="Arial" w:hAnsi="Arial"/>
          <w:b/>
          <w:bCs/>
          <w:color w:val="1B4F72"/>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Change Description</w:t>
            </w:r>
          </w:p>
        </w:tc>
      </w:tr>
      <w:tr>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20"/>
                <w:szCs w:val="20"/>
              </w:rPr>
              <w:t xml:space="preserve">0.1</w:t>
            </w:r>
          </w:p>
        </w:tc>
        <w:tc>
          <w:tcPr>
            <w:tcW w:type="dxa" w:w="1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20"/>
                <w:szCs w:val="20"/>
              </w:rPr>
              <w:t xml:space="preserve">01 Mar 2026</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20"/>
                <w:szCs w:val="20"/>
              </w:rPr>
              <w:t xml:space="preserve">Hadi Mercer</w:t>
            </w:r>
          </w:p>
        </w:tc>
        <w:tc>
          <w:tcPr>
            <w:tcW w:type="dxa" w:w="41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20"/>
                <w:szCs w:val="20"/>
              </w:rPr>
              <w:t xml:space="preserve">Initial draft — Sections 1–5. Objectives, Stakeholders, and Scope.</w:t>
            </w:r>
          </w:p>
        </w:tc>
      </w:tr>
    </w:tbl>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1.  Executive Summary</w:t>
      </w:r>
    </w:p>
    <w:p>
      <w:pPr>
        <w:spacing w:before="80" w:after="120"/>
        <w:jc w:val="left"/>
      </w:pPr>
      <w:r>
        <w:rPr>
          <w:rFonts w:ascii="Arial" w:cs="Arial" w:eastAsia="Arial" w:hAnsi="Arial"/>
          <w:b w:val="false"/>
          <w:bCs w:val="false"/>
          <w:color w:val="1A1A1A"/>
          <w:sz w:val="22"/>
          <w:szCs w:val="22"/>
        </w:rPr>
        <w:t xml:space="preserve">HR teams in mid-size organisations spend disproportionate effort assembling information rather than acting on it. Monthly headcount reports are produced by downloading HRIS exports and manually cross-referencing against budget spreadsheets. Performance ratings that drive merit eligibility are written from memory rather than aggregated from structured data. Compensation review cycles are managed in shared spreadsheets with no audit trail. Attrition risk is identified only when an employee hands in their notice — after the intervention window has closed.</w:t>
      </w:r>
    </w:p>
    <w:p>
      <w:pPr>
        <w:spacing w:before="0" w:after="120"/>
        <w:jc w:val="left"/>
      </w:pPr>
      <w:r>
        <w:rPr>
          <w:rFonts w:ascii="Arial" w:cs="Arial" w:eastAsia="Arial" w:hAnsi="Arial"/>
          <w:b w:val="false"/>
          <w:bCs w:val="false"/>
          <w:color w:val="1A1A1A"/>
          <w:sz w:val="22"/>
          <w:szCs w:val="22"/>
        </w:rPr>
        <w:t xml:space="preserve">Cadence is a full-stack internal HR intelligence and automation platform that automates four analytically connected workflows — Headcount &amp; Workforce Reporting (WF1), Performance Management Cycle (WF4), Compensation Review Cycle (WF2), and Attrition Risk Scoring (WF3) — replacing manual processes with a structured data pipeline that moves the HR function from reactive administration to proactive intelligence.</w:t>
      </w:r>
    </w:p>
    <w:p>
      <w:pPr>
        <w:spacing w:before="0" w:after="120"/>
        <w:jc w:val="left"/>
      </w:pPr>
      <w:r>
        <w:rPr>
          <w:rFonts w:ascii="Arial" w:cs="Arial" w:eastAsia="Arial" w:hAnsi="Arial"/>
          <w:b w:val="false"/>
          <w:bCs w:val="false"/>
          <w:color w:val="1A1A1A"/>
          <w:sz w:val="22"/>
          <w:szCs w:val="22"/>
        </w:rPr>
        <w:t xml:space="preserve">The four workflows are not independent tools sharing a label. WF1 and WF4 both supply structured data to WF2, which consumes headcount eligibility fields and performance ratings to determine merit inclusion. WF1, WF2, and WF4 all feed WF3, which assembles pay position, tenure, promotion recency, engagement cadence, and performance trajectory into a configurable composite attrition risk score per employee. The hub architecture is the central design principle — and the primary business value claim.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EBF5FB" w:val="clear"/>
            <w:tcMar>
              <w:top w:type="dxa" w:w="120"/>
              <w:left w:type="dxa" w:w="180"/>
              <w:bottom w:type="dxa" w:w="120"/>
              <w:right w:type="dxa" w:w="180"/>
            </w:tcMar>
          </w:tcPr>
          <w:p>
            <w:pPr>
              <w:spacing w:before="0" w:after="40"/>
            </w:pPr>
            <w:r>
              <w:rPr>
                <w:rFonts w:ascii="Arial" w:cs="Arial" w:eastAsia="Arial" w:hAnsi="Arial"/>
                <w:b/>
                <w:bCs/>
                <w:color w:val="1B4F72"/>
                <w:sz w:val="22"/>
                <w:szCs w:val="22"/>
              </w:rPr>
              <w:t xml:space="preserve">Portfolio Narrative Thread</w:t>
            </w:r>
          </w:p>
          <w:p>
            <w:pPr>
              <w:spacing w:before="40" w:after="40"/>
            </w:pPr>
            <w:r>
              <w:rPr>
                <w:rFonts w:ascii="Arial" w:cs="Arial" w:eastAsia="Arial" w:hAnsi="Arial"/>
                <w:b w:val="false"/>
                <w:bCs w:val="false"/>
                <w:color w:val="1A1A1A"/>
                <w:sz w:val="21"/>
                <w:szCs w:val="21"/>
              </w:rPr>
              <w:t xml:space="preserve"> </w:t>
            </w:r>
          </w:p>
          <w:p>
            <w:pPr>
              <w:spacing w:before="40" w:after="0"/>
            </w:pPr>
            <w:r>
              <w:rPr>
                <w:rFonts w:ascii="Arial" w:cs="Arial" w:eastAsia="Arial" w:hAnsi="Arial"/>
                <w:b w:val="false"/>
                <w:bCs w:val="false"/>
                <w:color w:val="1A1A1A"/>
                <w:sz w:val="20"/>
                <w:szCs w:val="20"/>
              </w:rPr>
              <w:t xml:space="preserve">S2 — Compensation &amp; Market Benchmarking Dashboard (live) identified which roles across the organisation are paid below the BLS market median. Cadence's WF3 Attrition Risk Scoring Engine identifies which individual employees in those below-market roles are at highest risk of leaving because of it. S2 operates at role level; Cadence operates at employee level. Together, they tell a complete compensation risk story that neither project tells alone. This cross-portfolio analytical connection is surfaced explicitly in WF3's Pay Risk factor tooltip, which cross-references S2 market benchmark data for qualifying roles.</w:t>
            </w:r>
          </w:p>
        </w:tc>
      </w:tr>
    </w:tbl>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2.  Objectives</w:t>
      </w:r>
    </w:p>
    <w:p>
      <w:pPr>
        <w:spacing w:before="80" w:after="160"/>
        <w:jc w:val="left"/>
      </w:pPr>
      <w:r>
        <w:rPr>
          <w:rFonts w:ascii="Arial" w:cs="Arial" w:eastAsia="Arial" w:hAnsi="Arial"/>
          <w:b w:val="false"/>
          <w:bCs w:val="false"/>
          <w:color w:val="1A1A1A"/>
          <w:sz w:val="22"/>
          <w:szCs w:val="22"/>
        </w:rPr>
        <w:t xml:space="preserve">Cadence has four primary objectives — one per workflow. Each objective follows the BABOK v3 structure: a measurable outcome statement, a named primary beneficiary whose problem the objective addresses, a success indicator that defines what 'done' looks like, and a measurement method that makes the success indicator verifiable. Functional requirements in subsequent sections trace back to these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20"/>
        <w:gridCol w:w="3320"/>
        <w:gridCol w:w="1560"/>
        <w:gridCol w:w="1560"/>
      </w:tblGrid>
      <w:tr>
        <w:trPr>
          <w:tblHeader/>
        </w:trPr>
        <w:tc>
          <w:tcPr>
            <w:tcW w:type="dxa" w:w="6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232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Workflow &amp; Objective Statement</w:t>
            </w:r>
          </w:p>
        </w:tc>
        <w:tc>
          <w:tcPr>
            <w:tcW w:type="dxa" w:w="332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Success Indicator</w:t>
            </w:r>
          </w:p>
        </w:tc>
        <w:tc>
          <w:tcPr>
            <w:tcW w:type="dxa" w:w="15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Measurement Method</w:t>
            </w:r>
          </w:p>
        </w:tc>
        <w:tc>
          <w:tcPr>
            <w:tcW w:type="dxa" w:w="15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Primary Beneficiary</w:t>
            </w:r>
          </w:p>
        </w:tc>
      </w:tr>
      <w:tr>
        <w:tc>
          <w:tcPr>
            <w:tcW w:type="dxa" w:w="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OBJ-01</w:t>
            </w:r>
          </w:p>
        </w:tc>
        <w:tc>
          <w:tcPr>
            <w:tcW w:type="dxa" w:w="232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40"/>
            </w:pPr>
            <w:r>
              <w:rPr>
                <w:rFonts w:ascii="Arial" w:cs="Arial" w:eastAsia="Arial" w:hAnsi="Arial"/>
                <w:b/>
                <w:bCs/>
                <w:color w:val="2E86C1"/>
                <w:sz w:val="18"/>
                <w:szCs w:val="18"/>
              </w:rPr>
              <w:t xml:space="preserve">WF1 — Headcount &amp; Workforce Reporting</w:t>
            </w:r>
          </w:p>
          <w:p>
            <w:pPr>
              <w:spacing w:before="40" w:after="40"/>
            </w:pPr>
            <w:r>
              <w:rPr>
                <w:rFonts w:ascii="Arial" w:cs="Arial" w:eastAsia="Arial" w:hAnsi="Arial"/>
                <w:b w:val="false"/>
                <w:bCs w:val="false"/>
                <w:color w:val="1A1A1A"/>
                <w:sz w:val="20"/>
                <w:szCs w:val="20"/>
              </w:rPr>
              <w:t xml:space="preserve"> </w:t>
            </w:r>
          </w:p>
          <w:p>
            <w:pPr>
              <w:spacing w:before="40" w:after="0"/>
            </w:pPr>
            <w:r>
              <w:rPr>
                <w:rFonts w:ascii="Arial" w:cs="Arial" w:eastAsia="Arial" w:hAnsi="Arial"/>
                <w:b w:val="false"/>
                <w:bCs w:val="false"/>
                <w:color w:val="1A1A1A"/>
                <w:sz w:val="19"/>
                <w:szCs w:val="19"/>
              </w:rPr>
              <w:t xml:space="preserve">Eliminate manual headcount report production by automating CSV ingestion, KPI calculation, threshold flagging, and report publication — reducing time-to-report from hours to minutes and introducing a consistent, auditable data pipeline that replaces individual analyst effort.</w:t>
            </w:r>
          </w:p>
        </w:tc>
        <w:tc>
          <w:tcPr>
            <w:tcW w:type="dxa" w:w="332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Monthly headcount report is published within 15 minutes of CSV upload with zero manual calculation steps. All KPIs, threshold flags, and comparison periods are produced automatically by the pipeline.</w:t>
            </w:r>
          </w:p>
        </w:tc>
        <w:tc>
          <w:tcPr>
            <w:tcW w:type="dxa" w:w="1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Time elapsed between CSV upload timestamp and HR Analyst report-publish action, measured across three consecutive monthly cycles post-deployment. Target: ≤15 minutes in all three cycles.</w:t>
            </w:r>
          </w:p>
        </w:tc>
        <w:tc>
          <w:tcPr>
            <w:tcW w:type="dxa" w:w="1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HR Analyst</w:t>
            </w:r>
          </w:p>
        </w:tc>
      </w:tr>
      <w:tr>
        <w:tc>
          <w:tcPr>
            <w:tcW w:type="dxa" w:w="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OBJ-02</w:t>
            </w:r>
          </w:p>
        </w:tc>
        <w:tc>
          <w:tcPr>
            <w:tcW w:type="dxa" w:w="232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40"/>
            </w:pPr>
            <w:r>
              <w:rPr>
                <w:rFonts w:ascii="Arial" w:cs="Arial" w:eastAsia="Arial" w:hAnsi="Arial"/>
                <w:b/>
                <w:bCs/>
                <w:color w:val="2E86C1"/>
                <w:sz w:val="18"/>
                <w:szCs w:val="18"/>
              </w:rPr>
              <w:t xml:space="preserve">WF4 — Performance Management Cycle</w:t>
            </w:r>
          </w:p>
          <w:p>
            <w:pPr>
              <w:spacing w:before="40" w:after="40"/>
            </w:pPr>
            <w:r>
              <w:rPr>
                <w:rFonts w:ascii="Arial" w:cs="Arial" w:eastAsia="Arial" w:hAnsi="Arial"/>
                <w:b w:val="false"/>
                <w:bCs w:val="false"/>
                <w:color w:val="1A1A1A"/>
                <w:sz w:val="20"/>
                <w:szCs w:val="20"/>
              </w:rPr>
              <w:t xml:space="preserve"> </w:t>
            </w:r>
          </w:p>
          <w:p>
            <w:pPr>
              <w:spacing w:before="40" w:after="0"/>
            </w:pPr>
            <w:r>
              <w:rPr>
                <w:rFonts w:ascii="Arial" w:cs="Arial" w:eastAsia="Arial" w:hAnsi="Arial"/>
                <w:b w:val="false"/>
                <w:bCs w:val="false"/>
                <w:color w:val="1A1A1A"/>
                <w:sz w:val="19"/>
                <w:szCs w:val="19"/>
              </w:rPr>
              <w:t xml:space="preserve">Provide a structured, auditable performance record for every employee across weekly, monthly, and quarterly cadences — replacing undocumented 1:1s and manually assembled quarterly reviews with a system that auto-aggregates structured data and produces a formal, traceable rating that feeds merit eligibility in WF2.</w:t>
            </w:r>
          </w:p>
        </w:tc>
        <w:tc>
          <w:tcPr>
            <w:tcW w:type="dxa" w:w="332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100% of submitted quarterly reviews include a complete data trail: ≥90-day weekly sentiment history, ≥2 monthly check-in records, and ≥1 goal progress update on file. The quarterly rating is derived from aggregated data, not recalled from memory.</w:t>
            </w:r>
          </w:p>
        </w:tc>
        <w:tc>
          <w:tcPr>
            <w:tcW w:type="dxa" w:w="15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 of submitted quarterly reviews meeting the complete data trail definition at the close of each quarterly review cycle. Target: ≥95% by the third cycle post-deployment.</w:t>
            </w:r>
          </w:p>
        </w:tc>
        <w:tc>
          <w:tcPr>
            <w:tcW w:type="dxa" w:w="15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People Manager</w:t>
            </w:r>
          </w:p>
        </w:tc>
      </w:tr>
      <w:tr>
        <w:tc>
          <w:tcPr>
            <w:tcW w:type="dxa" w:w="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OBJ-03</w:t>
            </w:r>
          </w:p>
        </w:tc>
        <w:tc>
          <w:tcPr>
            <w:tcW w:type="dxa" w:w="232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40"/>
            </w:pPr>
            <w:r>
              <w:rPr>
                <w:rFonts w:ascii="Arial" w:cs="Arial" w:eastAsia="Arial" w:hAnsi="Arial"/>
                <w:b/>
                <w:bCs/>
                <w:color w:val="2E86C1"/>
                <w:sz w:val="18"/>
                <w:szCs w:val="18"/>
              </w:rPr>
              <w:t xml:space="preserve">WF2 — Compensation Review Cycle</w:t>
            </w:r>
          </w:p>
          <w:p>
            <w:pPr>
              <w:spacing w:before="40" w:after="40"/>
            </w:pPr>
            <w:r>
              <w:rPr>
                <w:rFonts w:ascii="Arial" w:cs="Arial" w:eastAsia="Arial" w:hAnsi="Arial"/>
                <w:b w:val="false"/>
                <w:bCs w:val="false"/>
                <w:color w:val="1A1A1A"/>
                <w:sz w:val="20"/>
                <w:szCs w:val="20"/>
              </w:rPr>
              <w:t xml:space="preserve"> </w:t>
            </w:r>
          </w:p>
          <w:p>
            <w:pPr>
              <w:spacing w:before="40" w:after="0"/>
            </w:pPr>
            <w:r>
              <w:rPr>
                <w:rFonts w:ascii="Arial" w:cs="Arial" w:eastAsia="Arial" w:hAnsi="Arial"/>
                <w:b w:val="false"/>
                <w:bCs w:val="false"/>
                <w:color w:val="1A1A1A"/>
                <w:sz w:val="19"/>
                <w:szCs w:val="19"/>
              </w:rPr>
              <w:t xml:space="preserve">Automate merit eligibility determination and budget pool allocation across bi-annual review cycles — eliminating manual spreadsheet management, reducing eligibility errors, and providing managers with a pre-populated recommendation form for each eligible employee, with complete audit trail from eligibility rule to approved outcome.</w:t>
            </w:r>
          </w:p>
        </w:tc>
        <w:tc>
          <w:tcPr>
            <w:tcW w:type="dxa" w:w="332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Eligibility determinations are produced without manual intervention for ≥95% of employees in each review cycle. All determination logic is traceable to a documented eligibility rule. Every override is logged with the overriding admin's name and justification.</w:t>
            </w:r>
          </w:p>
        </w:tc>
        <w:tc>
          <w:tcPr>
            <w:tcW w:type="dxa" w:w="1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 of eligibility determinations requiring manual correction or HR override per cycle (excluding legitimate policy exceptions). Target: &lt;5% of determinations requiring any non-policy override.</w:t>
            </w:r>
          </w:p>
        </w:tc>
        <w:tc>
          <w:tcPr>
            <w:tcW w:type="dxa" w:w="1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HR Admin / Finance</w:t>
            </w:r>
          </w:p>
        </w:tc>
      </w:tr>
      <w:tr>
        <w:tc>
          <w:tcPr>
            <w:tcW w:type="dxa" w:w="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OBJ-04</w:t>
            </w:r>
          </w:p>
        </w:tc>
        <w:tc>
          <w:tcPr>
            <w:tcW w:type="dxa" w:w="232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40"/>
            </w:pPr>
            <w:r>
              <w:rPr>
                <w:rFonts w:ascii="Arial" w:cs="Arial" w:eastAsia="Arial" w:hAnsi="Arial"/>
                <w:b/>
                <w:bCs/>
                <w:color w:val="2E86C1"/>
                <w:sz w:val="18"/>
                <w:szCs w:val="18"/>
              </w:rPr>
              <w:t xml:space="preserve">WF3 — Attrition Risk Scoring Engine</w:t>
            </w:r>
          </w:p>
          <w:p>
            <w:pPr>
              <w:spacing w:before="40" w:after="40"/>
            </w:pPr>
            <w:r>
              <w:rPr>
                <w:rFonts w:ascii="Arial" w:cs="Arial" w:eastAsia="Arial" w:hAnsi="Arial"/>
                <w:b w:val="false"/>
                <w:bCs w:val="false"/>
                <w:color w:val="1A1A1A"/>
                <w:sz w:val="20"/>
                <w:szCs w:val="20"/>
              </w:rPr>
              <w:t xml:space="preserve"> </w:t>
            </w:r>
          </w:p>
          <w:p>
            <w:pPr>
              <w:spacing w:before="40" w:after="0"/>
            </w:pPr>
            <w:r>
              <w:rPr>
                <w:rFonts w:ascii="Arial" w:cs="Arial" w:eastAsia="Arial" w:hAnsi="Arial"/>
                <w:b w:val="false"/>
                <w:bCs w:val="false"/>
                <w:color w:val="1A1A1A"/>
                <w:sz w:val="19"/>
                <w:szCs w:val="19"/>
              </w:rPr>
              <w:t xml:space="preserve">Surface employee attrition risk before resignation occurs by assembling leading indicators from WF1, WF2, and WF4 into a configurable, rules-based composite risk score — enabling HR to initiate retention interventions while they are still actionable, and creating a first-of-kind cross-workflow intelligence view.</w:t>
            </w:r>
          </w:p>
        </w:tc>
        <w:tc>
          <w:tcPr>
            <w:tcW w:type="dxa" w:w="332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At-risk employees appear in the Amber or Red tier of the risk register at least 30 days prior to their voluntary resignation date, demonstrating that the scoring engine identifies risk with sufficient lead time for a meaningful retention intervention.</w:t>
            </w:r>
          </w:p>
        </w:tc>
        <w:tc>
          <w:tcPr>
            <w:tcW w:type="dxa" w:w="15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Retrospective analysis after each voluntary resignation event: % of voluntary leavers who appeared in Amber or Red tier within the 90-day window preceding their last working day. Target: ≥70% of voluntary leavers captured in Amber/Red before departure within 12 months of deployment.</w:t>
            </w:r>
          </w:p>
        </w:tc>
        <w:tc>
          <w:tcPr>
            <w:tcW w:type="dxa" w:w="15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HR Admin</w:t>
            </w:r>
          </w:p>
        </w:tc>
      </w:tr>
    </w:tbl>
    <w:p>
      <w:pPr>
        <w:spacing w:before="160" w:after="80"/>
      </w:pPr>
      <w:r>
        <w:t xml:space="preserve"/>
      </w:r>
    </w:p>
    <w:p>
      <w:pPr>
        <w:spacing w:before="0" w:after="80"/>
        <w:jc w:val="left"/>
      </w:pPr>
      <w:r>
        <w:rPr>
          <w:rFonts w:ascii="Arial" w:cs="Arial" w:eastAsia="Arial" w:hAnsi="Arial"/>
          <w:b w:val="false"/>
          <w:bCs w:val="false"/>
          <w:color w:val="595959"/>
          <w:sz w:val="22"/>
          <w:szCs w:val="22"/>
        </w:rPr>
        <w:t xml:space="preserve">Note: The four objectives are sequentially dependent. OBJ-01 and OBJ-02 produce the structured data that OBJ-03 consumes for merit eligibility. OBJ-01, OBJ-02, and OBJ-03 all supply data that OBJ-04 assembles into the risk score. This dependency chain is the defining architectural characteristic of Cadence and distinguishes it from a collection of standalone tools.</w:t>
      </w:r>
    </w:p>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3.  Stakeholder Register</w:t>
      </w:r>
    </w:p>
    <w:p>
      <w:pPr>
        <w:spacing w:before="80" w:after="160"/>
        <w:jc w:val="left"/>
      </w:pPr>
      <w:r>
        <w:rPr>
          <w:rFonts w:ascii="Arial" w:cs="Arial" w:eastAsia="Arial" w:hAnsi="Arial"/>
          <w:b w:val="false"/>
          <w:bCs w:val="false"/>
          <w:color w:val="1A1A1A"/>
          <w:sz w:val="22"/>
          <w:szCs w:val="22"/>
        </w:rPr>
        <w:t xml:space="preserve">Cadence serves five distinct stakeholder groups across its four workflows. Each group has a different relationship to the platform — some are primary data contributors, some are decision-makers at governance checkpoints, and one has read-only visibility of their own records only. Role-based access control is an architectural requirement reflecting these distinct interests and data sensitivity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80"/>
        <w:gridCol w:w="2080"/>
        <w:gridCol w:w="2000"/>
      </w:tblGrid>
      <w:tr>
        <w:trPr>
          <w:tblHeader/>
        </w:trPr>
        <w:tc>
          <w:tcPr>
            <w:tcW w:type="dxa" w:w="14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6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Stakeholder</w:t>
            </w:r>
          </w:p>
        </w:tc>
        <w:tc>
          <w:tcPr>
            <w:tcW w:type="dxa" w:w="228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Primary Interest</w:t>
            </w:r>
          </w:p>
        </w:tc>
        <w:tc>
          <w:tcPr>
            <w:tcW w:type="dxa" w:w="208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Influence Level</w:t>
            </w:r>
          </w:p>
        </w:tc>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Workflow Interaction</w:t>
            </w:r>
          </w:p>
        </w:tc>
      </w:tr>
      <w:tr>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HR Admin</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HR Operations Lead / People Analytics Manager</w:t>
            </w:r>
          </w:p>
        </w:tc>
        <w:tc>
          <w:tcPr>
            <w:tcW w:type="dxa" w:w="228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Full platform control — configures eligibility rules, factor weights, opens and manages review cycles, approves quarterly reviews, and views the complete attrition risk register for all employees. Primary decision-maker for all governance checkpoints.</w:t>
            </w:r>
          </w:p>
        </w:tc>
        <w:tc>
          <w:tcPr>
            <w:tcW w:type="dxa" w:w="208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40"/>
            </w:pPr>
            <w:r>
              <w:rPr>
                <w:rFonts w:ascii="Arial" w:cs="Arial" w:eastAsia="Arial" w:hAnsi="Arial"/>
                <w:b/>
                <w:bCs/>
                <w:color w:val="922B21"/>
                <w:sz w:val="18"/>
                <w:szCs w:val="18"/>
              </w:rPr>
              <w:t xml:space="preserve">HIGH</w:t>
            </w:r>
          </w:p>
          <w:p>
            <w:pPr>
              <w:spacing w:before="40" w:after="0"/>
            </w:pPr>
            <w:r>
              <w:rPr>
                <w:rFonts w:ascii="Arial" w:cs="Arial" w:eastAsia="Arial" w:hAnsi="Arial"/>
                <w:b w:val="false"/>
                <w:bCs w:val="false"/>
                <w:color w:val="595959"/>
                <w:sz w:val="18"/>
                <w:szCs w:val="18"/>
              </w:rPr>
              <w:t xml:space="preserve">Controls system configuration, approval gates, and override authority across all four workflows.</w:t>
            </w:r>
          </w:p>
        </w:tc>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40"/>
            </w:pPr>
            <w:r>
              <w:rPr>
                <w:rFonts w:ascii="Arial" w:cs="Arial" w:eastAsia="Arial" w:hAnsi="Arial"/>
                <w:b w:val="false"/>
                <w:bCs w:val="false"/>
                <w:color w:val="1A1A1A"/>
                <w:sz w:val="18"/>
                <w:szCs w:val="18"/>
              </w:rPr>
              <w:t xml:space="preserve">WF1: publishes report</w:t>
            </w:r>
          </w:p>
          <w:p>
            <w:pPr>
              <w:spacing w:before="40" w:after="40"/>
            </w:pPr>
            <w:r>
              <w:rPr>
                <w:rFonts w:ascii="Arial" w:cs="Arial" w:eastAsia="Arial" w:hAnsi="Arial"/>
                <w:b w:val="false"/>
                <w:bCs w:val="false"/>
                <w:color w:val="1A1A1A"/>
                <w:sz w:val="18"/>
                <w:szCs w:val="18"/>
              </w:rPr>
              <w:t xml:space="preserve">WF4: approves reviews</w:t>
            </w:r>
          </w:p>
          <w:p>
            <w:pPr>
              <w:spacing w:before="40" w:after="40"/>
            </w:pPr>
            <w:r>
              <w:rPr>
                <w:rFonts w:ascii="Arial" w:cs="Arial" w:eastAsia="Arial" w:hAnsi="Arial"/>
                <w:b w:val="false"/>
                <w:bCs w:val="false"/>
                <w:color w:val="1A1A1A"/>
                <w:sz w:val="18"/>
                <w:szCs w:val="18"/>
              </w:rPr>
              <w:t xml:space="preserve">WF2: opens cycles, approves recommendations</w:t>
            </w:r>
          </w:p>
          <w:p>
            <w:pPr>
              <w:spacing w:before="40" w:after="0"/>
            </w:pPr>
            <w:r>
              <w:rPr>
                <w:rFonts w:ascii="Arial" w:cs="Arial" w:eastAsia="Arial" w:hAnsi="Arial"/>
                <w:b w:val="false"/>
                <w:bCs w:val="false"/>
                <w:color w:val="1A1A1A"/>
                <w:sz w:val="18"/>
                <w:szCs w:val="18"/>
              </w:rPr>
              <w:t xml:space="preserve">WF3: manages risk register, configures weights</w:t>
            </w:r>
          </w:p>
        </w:tc>
      </w:tr>
      <w:tr>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HR Analyst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HR Reporting Analyst / Workforce Planning Analyst</w:t>
            </w:r>
          </w:p>
        </w:tc>
        <w:tc>
          <w:tcPr>
            <w:tcW w:type="dxa" w:w="228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Accuracy and completeness of the monthly headcount pipeline output. Reviews the automated report before publication to managers, validates threshold flags, and confirms data freshness. Upstream data quality gatekeeper.</w:t>
            </w:r>
          </w:p>
        </w:tc>
        <w:tc>
          <w:tcPr>
            <w:tcW w:type="dxa" w:w="208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40"/>
            </w:pPr>
            <w:r>
              <w:rPr>
                <w:rFonts w:ascii="Arial" w:cs="Arial" w:eastAsia="Arial" w:hAnsi="Arial"/>
                <w:b/>
                <w:bCs/>
                <w:color w:val="B7770D"/>
                <w:sz w:val="18"/>
                <w:szCs w:val="18"/>
              </w:rPr>
              <w:t xml:space="preserve">MEDIUM</w:t>
            </w:r>
          </w:p>
          <w:p>
            <w:pPr>
              <w:spacing w:before="40" w:after="0"/>
            </w:pPr>
            <w:r>
              <w:rPr>
                <w:rFonts w:ascii="Arial" w:cs="Arial" w:eastAsia="Arial" w:hAnsi="Arial"/>
                <w:b w:val="false"/>
                <w:bCs w:val="false"/>
                <w:color w:val="595959"/>
                <w:sz w:val="18"/>
                <w:szCs w:val="18"/>
              </w:rPr>
              <w:t xml:space="preserve">Validates and publishes WF1 output; flags pipeline anomalies before manager distribution.</w:t>
            </w:r>
          </w:p>
        </w:tc>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40"/>
            </w:pPr>
            <w:r>
              <w:rPr>
                <w:rFonts w:ascii="Arial" w:cs="Arial" w:eastAsia="Arial" w:hAnsi="Arial"/>
                <w:b w:val="false"/>
                <w:bCs w:val="false"/>
                <w:color w:val="1A1A1A"/>
                <w:sz w:val="18"/>
                <w:szCs w:val="18"/>
              </w:rPr>
              <w:t xml:space="preserve">WF1: reviews and publishes monthly report</w:t>
            </w:r>
          </w:p>
          <w:p>
            <w:pPr>
              <w:spacing w:before="40" w:after="0"/>
            </w:pPr>
            <w:r>
              <w:rPr>
                <w:rFonts w:ascii="Arial" w:cs="Arial" w:eastAsia="Arial" w:hAnsi="Arial"/>
                <w:b w:val="false"/>
                <w:bCs w:val="false"/>
                <w:color w:val="1A1A1A"/>
                <w:sz w:val="18"/>
                <w:szCs w:val="18"/>
              </w:rPr>
              <w:t xml:space="preserve">WF3: reads-only (supporting context)</w:t>
            </w:r>
          </w:p>
        </w:tc>
      </w:tr>
      <w:tr>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People Manager</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All line managers with one or more direct reports</w:t>
            </w:r>
          </w:p>
        </w:tc>
        <w:tc>
          <w:tcPr>
            <w:tcW w:type="dxa" w:w="228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Accurate team performance records, timely check-in compliance prompts, a pre-populated merit recommendation form showing current compa-ratio, and fair eligibility determination for their team members. Primary data contributor across WF4 and WF2.</w:t>
            </w:r>
          </w:p>
        </w:tc>
        <w:tc>
          <w:tcPr>
            <w:tcW w:type="dxa" w:w="208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40"/>
            </w:pPr>
            <w:r>
              <w:rPr>
                <w:rFonts w:ascii="Arial" w:cs="Arial" w:eastAsia="Arial" w:hAnsi="Arial"/>
                <w:b/>
                <w:bCs/>
                <w:color w:val="B7770D"/>
                <w:sz w:val="18"/>
                <w:szCs w:val="18"/>
              </w:rPr>
              <w:t xml:space="preserve">MEDIUM</w:t>
            </w:r>
          </w:p>
          <w:p>
            <w:pPr>
              <w:spacing w:before="40" w:after="0"/>
            </w:pPr>
            <w:r>
              <w:rPr>
                <w:rFonts w:ascii="Arial" w:cs="Arial" w:eastAsia="Arial" w:hAnsi="Arial"/>
                <w:b w:val="false"/>
                <w:bCs w:val="false"/>
                <w:color w:val="595959"/>
                <w:sz w:val="18"/>
                <w:szCs w:val="18"/>
              </w:rPr>
              <w:t xml:space="preserve">Primary contributor to WF4 data quality (weekly/monthly/quarterly records) and WF2 recommendation submissions.</w:t>
            </w:r>
          </w:p>
        </w:tc>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40"/>
            </w:pPr>
            <w:r>
              <w:rPr>
                <w:rFonts w:ascii="Arial" w:cs="Arial" w:eastAsia="Arial" w:hAnsi="Arial"/>
                <w:b w:val="false"/>
                <w:bCs w:val="false"/>
                <w:color w:val="1A1A1A"/>
                <w:sz w:val="18"/>
                <w:szCs w:val="18"/>
              </w:rPr>
              <w:t xml:space="preserve">WF4: submits weekly 1:1s, monthly check-ins, quarterly reviews</w:t>
            </w:r>
          </w:p>
          <w:p>
            <w:pPr>
              <w:spacing w:before="40" w:after="40"/>
            </w:pPr>
            <w:r>
              <w:rPr>
                <w:rFonts w:ascii="Arial" w:cs="Arial" w:eastAsia="Arial" w:hAnsi="Arial"/>
                <w:b w:val="false"/>
                <w:bCs w:val="false"/>
                <w:color w:val="1A1A1A"/>
                <w:sz w:val="18"/>
                <w:szCs w:val="18"/>
              </w:rPr>
              <w:t xml:space="preserve">WF2: submits merit recommendations</w:t>
            </w:r>
          </w:p>
          <w:p>
            <w:pPr>
              <w:spacing w:before="40" w:after="0"/>
            </w:pPr>
            <w:r>
              <w:rPr>
                <w:rFonts w:ascii="Arial" w:cs="Arial" w:eastAsia="Arial" w:hAnsi="Arial"/>
                <w:b w:val="false"/>
                <w:bCs w:val="false"/>
                <w:color w:val="1A1A1A"/>
                <w:sz w:val="18"/>
                <w:szCs w:val="18"/>
              </w:rPr>
              <w:t xml:space="preserve">WF3: reads own team's risk register (limited view — RAG status + score only)</w:t>
            </w:r>
          </w:p>
        </w:tc>
      </w:tr>
      <w:tr>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Employee</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All active employees in the organisation</w:t>
            </w:r>
          </w:p>
        </w:tc>
        <w:tc>
          <w:tcPr>
            <w:tcW w:type="dxa" w:w="228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Transparency over their own performance history, visibility of current quarter goals, receipt of acknowledged monthly check-in summaries, and confirmation of approved merit outcomes. Read-only self-service view.</w:t>
            </w:r>
          </w:p>
        </w:tc>
        <w:tc>
          <w:tcPr>
            <w:tcW w:type="dxa" w:w="208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40"/>
            </w:pPr>
            <w:r>
              <w:rPr>
                <w:rFonts w:ascii="Arial" w:cs="Arial" w:eastAsia="Arial" w:hAnsi="Arial"/>
                <w:b/>
                <w:bCs/>
                <w:color w:val="1E8449"/>
                <w:sz w:val="18"/>
                <w:szCs w:val="18"/>
              </w:rPr>
              <w:t xml:space="preserve">LOW</w:t>
            </w:r>
          </w:p>
          <w:p>
            <w:pPr>
              <w:spacing w:before="40" w:after="0"/>
            </w:pPr>
            <w:r>
              <w:rPr>
                <w:rFonts w:ascii="Arial" w:cs="Arial" w:eastAsia="Arial" w:hAnsi="Arial"/>
                <w:b w:val="false"/>
                <w:bCs w:val="false"/>
                <w:color w:val="595959"/>
                <w:sz w:val="18"/>
                <w:szCs w:val="18"/>
              </w:rPr>
              <w:t xml:space="preserve">Read-only access. Data contributor to weekly 1:1 (discussion topics only). Cannot see manager sentiment flags.</w:t>
            </w:r>
          </w:p>
        </w:tc>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40"/>
            </w:pPr>
            <w:r>
              <w:rPr>
                <w:rFonts w:ascii="Arial" w:cs="Arial" w:eastAsia="Arial" w:hAnsi="Arial"/>
                <w:b w:val="false"/>
                <w:bCs w:val="false"/>
                <w:color w:val="1A1A1A"/>
                <w:sz w:val="18"/>
                <w:szCs w:val="18"/>
              </w:rPr>
              <w:t xml:space="preserve">WF4: adds weekly 1:1 topics; views own closed reviews, check-in summaries, goal history</w:t>
            </w:r>
          </w:p>
          <w:p>
            <w:pPr>
              <w:spacing w:before="40" w:after="0"/>
            </w:pPr>
            <w:r>
              <w:rPr>
                <w:rFonts w:ascii="Arial" w:cs="Arial" w:eastAsia="Arial" w:hAnsi="Arial"/>
                <w:b w:val="false"/>
                <w:bCs w:val="false"/>
                <w:color w:val="1A1A1A"/>
                <w:sz w:val="18"/>
                <w:szCs w:val="18"/>
              </w:rPr>
              <w:t xml:space="preserve">WF2: receives in-app notification of approved merit outcome</w:t>
            </w:r>
          </w:p>
        </w:tc>
      </w:tr>
      <w:tr>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Finance / CHRO</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Chief Human Resources Officer (CHRO) and Finance Business Partner</w:t>
            </w:r>
          </w:p>
        </w:tc>
        <w:tc>
          <w:tcPr>
            <w:tcW w:type="dxa" w:w="228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Budget pool accuracy, governance over large merit recommendations, and assurance that the eligibility engine enforces documented policy. Approves company-wide merit budget at cycle open and provides sign-off on recommendations above the configurable escalation threshold.</w:t>
            </w:r>
          </w:p>
        </w:tc>
        <w:tc>
          <w:tcPr>
            <w:tcW w:type="dxa" w:w="208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40"/>
            </w:pPr>
            <w:r>
              <w:rPr>
                <w:rFonts w:ascii="Arial" w:cs="Arial" w:eastAsia="Arial" w:hAnsi="Arial"/>
                <w:b/>
                <w:bCs/>
                <w:color w:val="922B21"/>
                <w:sz w:val="18"/>
                <w:szCs w:val="18"/>
              </w:rPr>
              <w:t xml:space="preserve">HIGH</w:t>
            </w:r>
          </w:p>
          <w:p>
            <w:pPr>
              <w:spacing w:before="40" w:after="0"/>
            </w:pPr>
            <w:r>
              <w:rPr>
                <w:rFonts w:ascii="Arial" w:cs="Arial" w:eastAsia="Arial" w:hAnsi="Arial"/>
                <w:b w:val="false"/>
                <w:bCs w:val="false"/>
                <w:color w:val="595959"/>
                <w:sz w:val="18"/>
                <w:szCs w:val="18"/>
              </w:rPr>
              <w:t xml:space="preserve">Approval authority for WF2 budget allocation and large merit recommendation escalations.</w:t>
            </w:r>
          </w:p>
        </w:tc>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1A1A1A"/>
                <w:sz w:val="18"/>
                <w:szCs w:val="18"/>
              </w:rPr>
              <w:t xml:space="preserve">WF2: approves budget pool at cycle open; receives escalation queue for large recommendations</w:t>
            </w:r>
          </w:p>
        </w:tc>
      </w:tr>
    </w:tbl>
    <w:p>
      <w:pPr>
        <w:spacing w:before="160" w:after="80"/>
      </w:pPr>
      <w:r>
        <w:t xml:space="preserve"/>
      </w:r>
    </w:p>
    <w:p>
      <w:pPr>
        <w:spacing w:before="0" w:after="80"/>
        <w:jc w:val="left"/>
      </w:pPr>
      <w:r>
        <w:rPr>
          <w:rFonts w:ascii="Arial" w:cs="Arial" w:eastAsia="Arial" w:hAnsi="Arial"/>
          <w:b w:val="false"/>
          <w:bCs w:val="false"/>
          <w:color w:val="595959"/>
          <w:sz w:val="22"/>
          <w:szCs w:val="22"/>
        </w:rPr>
        <w:t xml:space="preserve">Influence level reflects each stakeholder's ability to affect system configuration, approval outcomes, and data quality — not seniority. The HR Admin role carries the highest influence because it controls the eligibility rules, scoring factor weights, and approval gates that determine outcomes for all other stakeholder groups.</w:t>
      </w:r>
    </w:p>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4.  Scope</w:t>
      </w:r>
    </w:p>
    <w:p>
      <w:pPr>
        <w:pStyle w:val="Heading2"/>
        <w:spacing w:before="240" w:after="80"/>
      </w:pPr>
      <w:r>
        <w:rPr>
          <w:rFonts w:ascii="Arial" w:cs="Arial" w:eastAsia="Arial" w:hAnsi="Arial"/>
          <w:b/>
          <w:bCs/>
          <w:color w:val="2E86C1"/>
          <w:sz w:val="26"/>
          <w:szCs w:val="26"/>
        </w:rPr>
        <w:t xml:space="preserve">4.1  In Scope</w:t>
      </w:r>
    </w:p>
    <w:p>
      <w:pPr>
        <w:spacing w:before="80" w:after="120"/>
        <w:jc w:val="left"/>
      </w:pPr>
      <w:r>
        <w:rPr>
          <w:rFonts w:ascii="Arial" w:cs="Arial" w:eastAsia="Arial" w:hAnsi="Arial"/>
          <w:b w:val="false"/>
          <w:bCs w:val="false"/>
          <w:color w:val="1A1A1A"/>
          <w:sz w:val="22"/>
          <w:szCs w:val="22"/>
        </w:rPr>
        <w:t xml:space="preserve">Cadence v1 encompasses four workflows and the infrastructure required to connect them as a hub — authentication, role-based access, audit logging, and the cross-portfolio narrative link to S2. The four workflows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Workflow</w:t>
            </w:r>
          </w:p>
        </w:tc>
        <w:tc>
          <w:tcPr>
            <w:tcW w:type="dxa" w:w="2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Name</w:t>
            </w:r>
          </w:p>
        </w:tc>
        <w:tc>
          <w:tcPr>
            <w:tcW w:type="dxa" w:w="59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Scope Summary</w:t>
            </w:r>
          </w:p>
        </w:tc>
      </w:tr>
      <w:tr>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WF1</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Headcount &amp; Workforce Reporting Automation</w:t>
            </w:r>
          </w:p>
        </w:tc>
        <w:tc>
          <w:tcPr>
            <w:tcW w:type="dxa" w:w="5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Monthly HRIS CSV ingestion, schema validation, KPI calculation (headcount vs budget, attrition general + new hire + 1-year survival, span of control, layer analysis, gender split, internal mobility rate), threshold flagging, HR Analyst review workflow, and manager-facing dashboard publication. Includes Excel and PDF export. Data freshness indicator on all views.</w:t>
            </w:r>
          </w:p>
        </w:tc>
      </w:tr>
      <w:tr>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WF4</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Performance Management Cycle Automation</w:t>
            </w:r>
          </w:p>
        </w:tc>
        <w:tc>
          <w:tcPr>
            <w:tcW w:type="dxa" w:w="5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Three cadences: (1) Weekly 1:1 — employee adds discussion topics; manager closes with agreed actions and sentiment flag; missed 1:1 alert at 14 days. (2) Monthly check-in — manager submits structured check-in with goal progress %; employee acknowledges with timestamped confirmation; HR compliance dashboard. (3) Quarterly review — employee submits self-assessment; manager rates across four dimensions; system auto-populates prior 90-day data summary; HR approves before employee delivery. Dual-endpoint design: each quarterly review simultaneously closes the prior quarter and opens goals for the next.</w:t>
            </w:r>
          </w:p>
        </w:tc>
      </w:tr>
      <w:tr>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WF2</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Compensation Review Cycle Automation</w:t>
            </w:r>
          </w:p>
        </w:tc>
        <w:tc>
          <w:tcPr>
            <w:tcW w:type="dxa" w:w="5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Bi-annual merit review cycle. HR admin opens cycle and sets submission deadline. Eligibility engine applies six rules (active status, employment type = permanent, tenure in role ≥6 months, performance rating ≥ Meets Expectations, completed HR-approved quarterly review on file, not on PIP) against WF1 + WF4 data. Department budget pool allocation with real-time utilisation tracking. Manager recommendation form (% base increase + flat bonus). Mandatory written justification for $0 recommendations. HR/Finance approval workflow with CHRO escalation for large recommendations. In-app employee notification of approved outcome. HR override log (non-deletable).</w:t>
            </w:r>
          </w:p>
        </w:tc>
      </w:tr>
      <w:tr>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WF3</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Attrition Risk Scoring Engine</w:t>
            </w:r>
          </w:p>
        </w:tc>
        <w:tc>
          <w:tcPr>
            <w:tcW w:type="dxa" w:w="5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Seven-factor rules-based scoring engine producing a composite 0–100 risk score per employee. Factors: compa-ratio vs band midpoint (25%), performance rating trajectory (20%), time since last merit increase (15%), time in current role without promotion (15%), weekly 1:1 sentiment trend (10%), manager check-in frequency (10%), flight risk role classification (5%). All weights and RAG thresholds configurable by HR admin. Daily overnight recalculation with manual trigger option. Ranked risk register with per-factor score breakdown. Retention action logging. Cross-reference tooltip linking to S2 BLS market benchmark data for pay risk factor. Score history audit trail retained permanently.</w:t>
            </w:r>
          </w:p>
        </w:tc>
      </w:tr>
    </w:tbl>
    <w:p>
      <w:pPr>
        <w:spacing w:before="160" w:after="80"/>
      </w:pPr>
      <w:r>
        <w:t xml:space="preserve"/>
      </w:r>
    </w:p>
    <w:p>
      <w:pPr>
        <w:spacing w:before="0" w:after="100"/>
        <w:jc w:val="left"/>
      </w:pPr>
      <w:r>
        <w:rPr>
          <w:rFonts w:ascii="Arial" w:cs="Arial" w:eastAsia="Arial" w:hAnsi="Arial"/>
          <w:b/>
          <w:bCs/>
          <w:color w:val="1A1A1A"/>
          <w:sz w:val="22"/>
          <w:szCs w:val="22"/>
        </w:rPr>
        <w:t xml:space="preserve">The following additional items are in scope for v1:</w:t>
      </w:r>
    </w:p>
    <w:p>
      <w:pPr>
        <w:pStyle w:val="ListParagraph"/>
        <w:numPr>
          <w:ilvl w:val="0"/>
          <w:numId w:val="2"/>
        </w:numPr>
        <w:spacing w:before="40" w:after="60"/>
      </w:pPr>
      <w:r>
        <w:rPr>
          <w:rFonts w:ascii="Arial" w:cs="Arial" w:eastAsia="Arial" w:hAnsi="Arial"/>
          <w:b w:val="false"/>
          <w:bCs w:val="false"/>
          <w:color w:val="1A1A1A"/>
          <w:sz w:val="22"/>
          <w:szCs w:val="22"/>
        </w:rPr>
        <w:t xml:space="preserve">Role-based access control — three roles: HR Admin (full access), People Manager (scoped to direct reports), Employee (own records only, read-only).</w:t>
      </w:r>
    </w:p>
    <w:p>
      <w:pPr>
        <w:pStyle w:val="ListParagraph"/>
        <w:numPr>
          <w:ilvl w:val="0"/>
          <w:numId w:val="2"/>
        </w:numPr>
        <w:spacing w:before="40" w:after="60"/>
      </w:pPr>
      <w:r>
        <w:rPr>
          <w:rFonts w:ascii="Arial" w:cs="Arial" w:eastAsia="Arial" w:hAnsi="Arial"/>
          <w:b w:val="false"/>
          <w:bCs w:val="false"/>
          <w:color w:val="1A1A1A"/>
          <w:sz w:val="22"/>
          <w:szCs w:val="22"/>
        </w:rPr>
        <w:t xml:space="preserve">Supabase Auth — multi-user authentication with role assignment managed by HR Admin.</w:t>
      </w:r>
    </w:p>
    <w:p>
      <w:pPr>
        <w:pStyle w:val="ListParagraph"/>
        <w:numPr>
          <w:ilvl w:val="0"/>
          <w:numId w:val="2"/>
        </w:numPr>
        <w:spacing w:before="40" w:after="60"/>
      </w:pPr>
      <w:r>
        <w:rPr>
          <w:rFonts w:ascii="Arial" w:cs="Arial" w:eastAsia="Arial" w:hAnsi="Arial"/>
          <w:b w:val="false"/>
          <w:bCs w:val="false"/>
          <w:color w:val="1A1A1A"/>
          <w:sz w:val="22"/>
          <w:szCs w:val="22"/>
        </w:rPr>
        <w:t xml:space="preserve">In-app employee notifications — merit outcome (approved salary and bonus) and monthly check-in acknowledgement prompt. No email in v1.</w:t>
      </w:r>
    </w:p>
    <w:p>
      <w:pPr>
        <w:pStyle w:val="ListParagraph"/>
        <w:numPr>
          <w:ilvl w:val="0"/>
          <w:numId w:val="2"/>
        </w:numPr>
        <w:spacing w:before="40" w:after="60"/>
      </w:pPr>
      <w:r>
        <w:rPr>
          <w:rFonts w:ascii="Arial" w:cs="Arial" w:eastAsia="Arial" w:hAnsi="Arial"/>
          <w:b w:val="false"/>
          <w:bCs w:val="false"/>
          <w:color w:val="1A1A1A"/>
          <w:sz w:val="22"/>
          <w:szCs w:val="22"/>
        </w:rPr>
        <w:t xml:space="preserve">Cross-portfolio narrative link — WF3 Pay Risk factor tooltip references S2 Compensation Benchmarking Dashboard BLS benchmark data for qualifying roles.</w:t>
      </w:r>
    </w:p>
    <w:p>
      <w:pPr>
        <w:pStyle w:val="ListParagraph"/>
        <w:numPr>
          <w:ilvl w:val="0"/>
          <w:numId w:val="2"/>
        </w:numPr>
        <w:spacing w:before="40" w:after="60"/>
      </w:pPr>
      <w:r>
        <w:rPr>
          <w:rFonts w:ascii="Arial" w:cs="Arial" w:eastAsia="Arial" w:hAnsi="Arial"/>
          <w:b w:val="false"/>
          <w:bCs w:val="false"/>
          <w:color w:val="1A1A1A"/>
          <w:sz w:val="22"/>
          <w:szCs w:val="22"/>
        </w:rPr>
        <w:t xml:space="preserve">Demo dataset — synthetic but realistic headcount, performance, and review data for portfolio demonstration. All four workflows functional with demo data on deployment.</w:t>
      </w:r>
    </w:p>
    <w:p>
      <w:pPr>
        <w:pStyle w:val="ListParagraph"/>
        <w:numPr>
          <w:ilvl w:val="0"/>
          <w:numId w:val="2"/>
        </w:numPr>
        <w:spacing w:before="40" w:after="60"/>
      </w:pPr>
      <w:r>
        <w:rPr>
          <w:rFonts w:ascii="Arial" w:cs="Arial" w:eastAsia="Arial" w:hAnsi="Arial"/>
          <w:b w:val="false"/>
          <w:bCs w:val="false"/>
          <w:color w:val="1A1A1A"/>
          <w:sz w:val="22"/>
          <w:szCs w:val="22"/>
        </w:rPr>
        <w:t xml:space="preserve">Configurable scoring engine — HR admin UI for adjusting WF3 factor weights, thresholds, and active/inactive status. All configuration changes audit-logged.</w:t>
      </w:r>
    </w:p>
    <w:p>
      <w:pPr>
        <w:pStyle w:val="ListParagraph"/>
        <w:numPr>
          <w:ilvl w:val="0"/>
          <w:numId w:val="2"/>
        </w:numPr>
        <w:spacing w:before="40" w:after="60"/>
      </w:pPr>
      <w:r>
        <w:rPr>
          <w:rFonts w:ascii="Arial" w:cs="Arial" w:eastAsia="Arial" w:hAnsi="Arial"/>
          <w:b w:val="false"/>
          <w:bCs w:val="false"/>
          <w:color w:val="1A1A1A"/>
          <w:sz w:val="22"/>
          <w:szCs w:val="22"/>
        </w:rPr>
        <w:t xml:space="preserve">Pipeline run log — every WF1 upload logged with timestamp, user, records processed, validation warnings, and success/fail status.</w:t>
      </w:r>
    </w:p>
    <w:p>
      <w:pPr>
        <w:pStyle w:val="ListParagraph"/>
        <w:numPr>
          <w:ilvl w:val="0"/>
          <w:numId w:val="2"/>
        </w:numPr>
        <w:spacing w:before="40" w:after="60"/>
      </w:pPr>
      <w:r>
        <w:rPr>
          <w:rFonts w:ascii="Arial" w:cs="Arial" w:eastAsia="Arial" w:hAnsi="Arial"/>
          <w:b w:val="false"/>
          <w:bCs w:val="false"/>
          <w:color w:val="1A1A1A"/>
          <w:sz w:val="22"/>
          <w:szCs w:val="22"/>
        </w:rPr>
        <w:t xml:space="preserve">Override audit log — all WF2 eligibility overrides and WF3 employee exclusions logged with admin name, date, original determination, and justification. Non-deletable.</w:t>
      </w:r>
    </w:p>
    <w:p>
      <w:pPr>
        <w:spacing w:before="200" w:after="80"/>
      </w:pPr>
      <w:r>
        <w:t xml:space="preserve"/>
      </w:r>
    </w:p>
    <w:p>
      <w:pPr>
        <w:pStyle w:val="Heading2"/>
        <w:spacing w:before="240" w:after="80"/>
      </w:pPr>
      <w:r>
        <w:rPr>
          <w:rFonts w:ascii="Arial" w:cs="Arial" w:eastAsia="Arial" w:hAnsi="Arial"/>
          <w:b/>
          <w:bCs/>
          <w:color w:val="2E86C1"/>
          <w:sz w:val="26"/>
          <w:szCs w:val="26"/>
        </w:rPr>
        <w:t xml:space="preserve">4.2  Out of Scope</w:t>
      </w:r>
    </w:p>
    <w:p>
      <w:pPr>
        <w:spacing w:before="80" w:after="160"/>
        <w:jc w:val="left"/>
      </w:pPr>
      <w:r>
        <w:rPr>
          <w:rFonts w:ascii="Arial" w:cs="Arial" w:eastAsia="Arial" w:hAnsi="Arial"/>
          <w:b w:val="false"/>
          <w:bCs w:val="false"/>
          <w:color w:val="1A1A1A"/>
          <w:sz w:val="22"/>
          <w:szCs w:val="22"/>
        </w:rPr>
        <w:t xml:space="preserve">The following items are explicitly excluded from Cadence v1. Each exclusion has a documented rationale. Exclusions are not failures of ambition — they are deliberate scope decisions that protect build quality and maintain a demonstrable, deployable product within the portfolio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Exclusion</w:t>
            </w:r>
          </w:p>
        </w:tc>
        <w:tc>
          <w:tcPr>
            <w:tcW w:type="dxa" w:w="4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Rationale</w:t>
            </w:r>
          </w:p>
        </w:tc>
        <w:tc>
          <w:tcPr>
            <w:tcW w:type="dxa" w:w="24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Future Phase</w:t>
            </w:r>
          </w:p>
        </w:tc>
      </w:tr>
      <w:tr>
        <w:tc>
          <w:tcPr>
            <w:tcW w:type="dxa" w:w="2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Direct HRIS API integration (live data feed)</w:t>
            </w:r>
          </w:p>
        </w:tc>
        <w:tc>
          <w:tcPr>
            <w:tcW w:type="dxa" w:w="4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Requires production HRIS credentials, vendor API access, and potentially a data processing agreement — none available in a portfolio deployment context. CSV upload achieves the same analytical demonstration without infrastructure dependency on a third-party system.</w:t>
            </w:r>
          </w:p>
        </w:tc>
        <w:tc>
          <w:tcPr>
            <w:tcW w:type="dxa" w:w="2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Phase 2 — when a target production environment is defined.</w:t>
            </w:r>
          </w:p>
        </w:tc>
      </w:tr>
      <w:tr>
        <w:tc>
          <w:tcPr>
            <w:tcW w:type="dxa" w:w="2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Payroll file generation and payroll system integration</w:t>
            </w:r>
          </w:p>
        </w:tc>
        <w:tc>
          <w:tcPr>
            <w:tcW w:type="dxa" w:w="4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Payroll integration involves regulatory compliance requirements (payroll tax, employment law) that extend beyond portfolio scope and introduce genuine legal risk if data is mishandled. WF2 produces an approved merit recommendation; payroll execution is a downstream operational step outside the platform boundary.</w:t>
            </w:r>
          </w:p>
        </w:tc>
        <w:tc>
          <w:tcPr>
            <w:tcW w:type="dxa" w:w="2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Phase 2 — with appropriate compliance review.</w:t>
            </w:r>
          </w:p>
        </w:tc>
      </w:tr>
      <w:tr>
        <w:tc>
          <w:tcPr>
            <w:tcW w:type="dxa" w:w="2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Email or SMS notification to employees or managers</w:t>
            </w:r>
          </w:p>
        </w:tc>
        <w:tc>
          <w:tcPr>
            <w:tcW w:type="dxa" w:w="4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External notification infrastructure (SMTP relay, SMS gateway) adds deployment complexity and recurring cost incompatible with a Streamlit Community Cloud free-tier deployment. In-app notifications achieve the same process outcome for portfolio demonstration purposes.</w:t>
            </w:r>
          </w:p>
        </w:tc>
        <w:tc>
          <w:tcPr>
            <w:tcW w:type="dxa" w:w="2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Phase 2 — notification layer as a separate service.</w:t>
            </w:r>
          </w:p>
        </w:tc>
      </w:tr>
      <w:tr>
        <w:tc>
          <w:tcPr>
            <w:tcW w:type="dxa" w:w="2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Machine learning or predictive modelling for WF3</w:t>
            </w:r>
          </w:p>
        </w:tc>
        <w:tc>
          <w:tcPr>
            <w:tcW w:type="dxa" w:w="4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ML models require training data, validation pipelines, explainability frameworks, and ongoing model drift management — all disproportionate to the portfolio goal. The rules-based scoring engine is intentionally transparent and auditable: any HR admin can explain a score without statistical training. This transparency is a deliberate design strength.</w:t>
            </w:r>
          </w:p>
        </w:tc>
        <w:tc>
          <w:tcPr>
            <w:tcW w:type="dxa" w:w="2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Not planned. Rules-based transparency is the design intent and will remain so.</w:t>
            </w:r>
          </w:p>
        </w:tc>
      </w:tr>
      <w:tr>
        <w:tc>
          <w:tcPr>
            <w:tcW w:type="dxa" w:w="2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Performance Improvement Plan (PIP) management</w:t>
            </w:r>
          </w:p>
        </w:tc>
        <w:tc>
          <w:tcPr>
            <w:tcW w:type="dxa" w:w="4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PIP processes involve HR advisory steps, legal review, and documentation standards that extend well beyond the platform's automation boundary. PIP status is consumed as an input field by the WF2 eligibility engine only (employees on a PIP are excluded). The PIP process itself is managed outside the system.</w:t>
            </w:r>
          </w:p>
        </w:tc>
        <w:tc>
          <w:tcPr>
            <w:tcW w:type="dxa" w:w="2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Permanently out of scope for this platform.</w:t>
            </w:r>
          </w:p>
        </w:tc>
      </w:tr>
      <w:tr>
        <w:tc>
          <w:tcPr>
            <w:tcW w:type="dxa" w:w="2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Anniversary-date-based compensation reviews</w:t>
            </w:r>
          </w:p>
        </w:tc>
        <w:tc>
          <w:tcPr>
            <w:tcW w:type="dxa" w:w="4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Individual anniversary-date eligibility adds significant complexity to the WF2 eligibility engine for a minority employee population. Bi-annual fixed cycles (Cycle 1: Jan–Jun, Cycle 2: Jul–Dec) cover the standard employee population with manageable implementation scope.</w:t>
            </w:r>
          </w:p>
        </w:tc>
        <w:tc>
          <w:tcPr>
            <w:tcW w:type="dxa" w:w="2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Phase 2 — configurable cycle trigger type.</w:t>
            </w:r>
          </w:p>
        </w:tc>
      </w:tr>
      <w:tr>
        <w:tc>
          <w:tcPr>
            <w:tcW w:type="dxa" w:w="2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Sales and executive compensation structures</w:t>
            </w:r>
          </w:p>
        </w:tc>
        <w:tc>
          <w:tcPr>
            <w:tcW w:type="dxa" w:w="4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Sales populations (commission, accelerators, quota-based bonus) and executive compensation (equity, long-term incentive plans) involve incentive structures that are not representable in a standard base salary % + flat bonus model. WF2 is explicitly scoped to the general employee population.</w:t>
            </w:r>
          </w:p>
        </w:tc>
        <w:tc>
          <w:tcPr>
            <w:tcW w:type="dxa" w:w="2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Permanently out of scope for this platform.</w:t>
            </w:r>
          </w:p>
        </w:tc>
      </w:tr>
      <w:tr>
        <w:tc>
          <w:tcPr>
            <w:tcW w:type="dxa" w:w="2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External guest or public read-only portfolio link</w:t>
            </w:r>
          </w:p>
        </w:tc>
        <w:tc>
          <w:tcPr>
            <w:tcW w:type="dxa" w:w="4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Supabase Auth provides role-based access control for the three defined user roles. A public guest view requires a separate unauthenticated read-only session mode — additional authentication engineering outside current scope. Demo access is provided via pre-provisioned credentials.</w:t>
            </w:r>
          </w:p>
        </w:tc>
        <w:tc>
          <w:tcPr>
            <w:tcW w:type="dxa" w:w="2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Phase 3 — alongside SSO/OAuth integration.</w:t>
            </w:r>
          </w:p>
        </w:tc>
      </w:tr>
      <w:tr>
        <w:tc>
          <w:tcPr>
            <w:tcW w:type="dxa" w:w="2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Cross-organisation or multi-tenant architecture</w:t>
            </w:r>
          </w:p>
        </w:tc>
        <w:tc>
          <w:tcPr>
            <w:tcW w:type="dxa" w:w="4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Cadence is designed as a single-organisation internal platform. Multi-tenancy requires data isolation, per-tenant configuration management, and billing infrastructure incompatible with a portfolio deployment on Supabase free tier.</w:t>
            </w:r>
          </w:p>
        </w:tc>
        <w:tc>
          <w:tcPr>
            <w:tcW w:type="dxa" w:w="2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Not planned. Single-organisation deployment is the permanent architecture.</w:t>
            </w:r>
          </w:p>
        </w:tc>
      </w:tr>
      <w:tr>
        <w:tc>
          <w:tcPr>
            <w:tcW w:type="dxa" w:w="2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A1A1A"/>
                <w:sz w:val="19"/>
                <w:szCs w:val="19"/>
              </w:rPr>
              <w:t xml:space="preserve">Automated external data refresh (BLS API polling)</w:t>
            </w:r>
          </w:p>
        </w:tc>
        <w:tc>
          <w:tcPr>
            <w:tcW w:type="dxa" w:w="4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WF3 Pay Risk tooltip cross-references S2 Compensation Benchmarking Dashboard data, but Cadence does not independently poll the BLS API. The S2 project manages BLS data currency. Cadence reads from a cross-reference field updated when S2 data is refreshed.</w:t>
            </w:r>
          </w:p>
        </w:tc>
        <w:tc>
          <w:tcPr>
            <w:tcW w:type="dxa" w:w="2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Phase 2 — direct BLS API integration within Cadence if S2 is decoupled.</w:t>
            </w:r>
          </w:p>
        </w:tc>
      </w:tr>
    </w:tbl>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5.  Constraints &amp; Assumptions</w:t>
      </w:r>
    </w:p>
    <w:p>
      <w:pPr>
        <w:pStyle w:val="Heading2"/>
        <w:spacing w:before="240" w:after="80"/>
      </w:pPr>
      <w:r>
        <w:rPr>
          <w:rFonts w:ascii="Arial" w:cs="Arial" w:eastAsia="Arial" w:hAnsi="Arial"/>
          <w:b/>
          <w:bCs/>
          <w:color w:val="2E86C1"/>
          <w:sz w:val="26"/>
          <w:szCs w:val="26"/>
        </w:rPr>
        <w:t xml:space="preserve">5.1  Constraints</w:t>
      </w:r>
    </w:p>
    <w:p>
      <w:pPr>
        <w:spacing w:before="80" w:after="160"/>
        <w:jc w:val="left"/>
      </w:pPr>
      <w:r>
        <w:rPr>
          <w:rFonts w:ascii="Arial" w:cs="Arial" w:eastAsia="Arial" w:hAnsi="Arial"/>
          <w:b w:val="false"/>
          <w:bCs w:val="false"/>
          <w:color w:val="1A1A1A"/>
          <w:sz w:val="22"/>
          <w:szCs w:val="22"/>
        </w:rPr>
        <w:t xml:space="preserve">The following constraints are fixed conditions that shape design decisions throughout this document. They are not preferences or risks — they are boundaries within which the system must operate. Where a constraint affects a specific design decision, that decision is documented in the relevant functional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61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Impact on Design</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Supabase free tier — connection limits and compute</w:t>
            </w:r>
          </w:p>
        </w:tc>
        <w:tc>
          <w:tcPr>
            <w:tcW w:type="dxa" w:w="61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Maximum 500MB database storage, 50MB file uploads, and a shared compute environment. All queries must be efficient — no unbounded full-table scans in the hot path. The psycopg2-binary connection pooler (port 6543) is mandatory for Streamlit Cloud deployments. The WF3 overnight scoring recalculation must complete within Supabase's function timeout window or be structured as a Python script triggered externally rather than a database function.</w:t>
            </w:r>
          </w:p>
        </w:tc>
      </w:tr>
      <w:tr>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Streamlit Community Cloud free tier — no persistent background processes</w:t>
            </w:r>
          </w:p>
        </w:tc>
        <w:tc>
          <w:tcPr>
            <w:tcW w:type="dxa" w:w="61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Streamlit Community Cloud does not support cron jobs or persistent background workers. The WF3 daily scoring recalculation is documented as a scheduled overnight run, but in the portfolio deployment this will be triggered by the first HR Admin login of the day or via a manual recalculate button. This is explicitly noted as a deployment limitation, not a design flaw. Production deployment would use a scheduled Cloud Function or equivalent.</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Streamlit Community Cloud free tier — cold start latency</w:t>
            </w:r>
          </w:p>
        </w:tc>
        <w:tc>
          <w:tcPr>
            <w:tcW w:type="dxa" w:w="61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Apps inactive for more than a short period enter a sleep state. First load after sleep takes up to 30 seconds. This must be documented in the application README and on the demo landing page. Does not affect functionality — only first-load user experience.</w:t>
            </w:r>
          </w:p>
        </w:tc>
      </w:tr>
      <w:tr>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No HRIS API access — CSV upload only</w:t>
            </w:r>
          </w:p>
        </w:tc>
        <w:tc>
          <w:tcPr>
            <w:tcW w:type="dxa" w:w="61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WF1 ingests data via manual CSV upload because production HRIS credentials, vendor API agreements, and any required data processing agreements are not available in a portfolio deployment. The CSV schema is fully specified (18 required columns) and the pipeline validates it on upload. API integration is documented as a Phase 2 enhancement.</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Python 3.9+ / Windows PowerShell development environment</w:t>
            </w:r>
          </w:p>
        </w:tc>
        <w:tc>
          <w:tcPr>
            <w:tcW w:type="dxa" w:w="61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terminal commands in documentation and setup instructions must use PowerShell syntax. No bash-specific syntax. Virtual environment management uses PowerShell-compatible commands. psycopg2-binary is used instead of psycopg2 to avoid C compiler dependency issues on Windows.</w:t>
            </w:r>
          </w:p>
        </w:tc>
      </w:tr>
      <w:tr>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Supabase Auth — free tier user limits</w:t>
            </w:r>
          </w:p>
        </w:tc>
        <w:tc>
          <w:tcPr>
            <w:tcW w:type="dxa" w:w="61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Supabase Auth free tier supports up to 50,000 monthly active users — well above portfolio needs. Role assignment (HR Admin, Manager, Employee) is managed via a custom roles table in the database rather than Supabase's native role system, which is not available on the free tier. This is the same pattern established in S3 — Meridian.</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Single-organisation deployment — no multi-tenancy</w:t>
            </w:r>
          </w:p>
        </w:tc>
        <w:tc>
          <w:tcPr>
            <w:tcW w:type="dxa" w:w="61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data belongs to a single organisation. There is no tenant isolation layer. This is a permanent architectural constraint for this platform — multi-tenancy is not a future phase, it is out of scope.</w:t>
            </w:r>
          </w:p>
        </w:tc>
      </w:tr>
      <w:tr>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9"/>
                <w:szCs w:val="19"/>
              </w:rPr>
              <w:t xml:space="preserve">Portfolio timeline — 12-week delivery window</w:t>
            </w:r>
          </w:p>
        </w:tc>
        <w:tc>
          <w:tcPr>
            <w:tcW w:type="dxa" w:w="61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Build scope is constrained to what is demonstrable within the portfolio timeline. Where a feature has two valid implementation approaches, the simpler demonstrable approach is preferred over the architecturally complete one. This is documented explicitly rather than hidden — the FRD records what v1 delivers, not what a production system would eventually require.</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5.2  Assumptions</w:t>
      </w:r>
    </w:p>
    <w:p>
      <w:pPr>
        <w:spacing w:before="80" w:after="160"/>
        <w:jc w:val="left"/>
      </w:pPr>
      <w:r>
        <w:rPr>
          <w:rFonts w:ascii="Arial" w:cs="Arial" w:eastAsia="Arial" w:hAnsi="Arial"/>
          <w:b w:val="false"/>
          <w:bCs w:val="false"/>
          <w:color w:val="1A1A1A"/>
          <w:sz w:val="22"/>
          <w:szCs w:val="22"/>
        </w:rPr>
        <w:t xml:space="preserve">The following assumptions have been made in defining requirements. Each assumption is stated explicitly so that if any proves incorrect, the affected requirements can be identified and revised. Risk if invalid indicates the consequence and severity of the assumption not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Assumption</w:t>
            </w:r>
          </w:p>
        </w:tc>
        <w:tc>
          <w:tcPr>
            <w:tcW w:type="dxa" w:w="45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Basis</w:t>
            </w:r>
          </w:p>
        </w:tc>
        <w:tc>
          <w:tcPr>
            <w:tcW w:type="dxa" w:w="16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Risk if Invalid</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organisation uses a single HRIS that can export employee data in CSV format with the 18 required columns.</w:t>
            </w:r>
          </w:p>
        </w:tc>
        <w:tc>
          <w:tcPr>
            <w:tcW w:type="dxa" w:w="4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Standard capability of all enterprise HRIS platforms (Workday, SAP SuccessFactors, BambooHR). The demo dataset will be synthetic but structurally identical to the required schema.</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Medium — pipeline validation will surface any missing columns immediately on upload. Schema mismatch does not corrupt data.</w:t>
            </w:r>
          </w:p>
        </w:tc>
      </w:tr>
      <w:tr>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Salary bands and salary grade definitions exist and are maintained by HR/Finance. Each salary_grade in the CSV maps to a defined midpoint.</w:t>
            </w:r>
          </w:p>
        </w:tc>
        <w:tc>
          <w:tcPr>
            <w:tcW w:type="dxa" w:w="45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Required for WF2 compa-ratio calculation and WF3 pay position risk factor. Both consume the compa-ratio, which requires a band midpoint. Band midpoints will be stored in a salary_bands reference table managed by HR Admin.</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High — without salary band data, compa-ratio cannot be calculated. WF2 recommendation form and WF3 pay position factor both fail. Mitigation: HR Admin configures bands before first cycle.</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reporting_period selected by the HR Analyst on CSV upload correctly represents the calendar month the data covers.</w:t>
            </w:r>
          </w:p>
        </w:tc>
        <w:tc>
          <w:tcPr>
            <w:tcW w:type="dxa" w:w="4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This is an operational assumption — the analyst is selecting the period, not the system deriving it. The pipeline run log records both the upload timestamp and the analyst-selected period, enabling retrospective correction if needed.</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Low — audit trail exists. A mis-selected period can be identified and corrected by HR Admin by comparing upload timestamp to selected period in the run log.</w:t>
            </w:r>
          </w:p>
        </w:tc>
      </w:tr>
      <w:tr>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Managers in the organisation have a single direct reporting line — each employee has exactly one manager_id in the HRIS export.</w:t>
            </w:r>
          </w:p>
        </w:tc>
        <w:tc>
          <w:tcPr>
            <w:tcW w:type="dxa" w:w="45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Required for WF4 1:1 assignment and WF2 recommendation routing. Matrix reporting structures where an employee has multiple managers are not supported in v1.</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Medium — employees with null manager_id are flagged as data anomalies in the pipeline log. Matrix reporting scenarios produce incomplete 1:1 and check-in records.</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S2 — Compensation &amp; Market Benchmarking Dashboard BLS benchmark data is available and accessible for the WF3 Pay Risk cross-reference tooltip.</w:t>
            </w:r>
          </w:p>
        </w:tc>
        <w:tc>
          <w:tcPr>
            <w:tcW w:type="dxa" w:w="4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S2 is a live deployed portfolio project. The cross-reference is a read indicator, not a data feed — WF3 reads a flag (below_bls_p50: boolean) that HR Admin can manually update or that is populated when both projects share a Supabase instance.</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Low — the tooltip degrades gracefully if S2 data is unavailable. The Pay Risk score calculates using internal compa-ratio regardless. The cross-reference is additional context, not a dependency.</w:t>
            </w:r>
          </w:p>
        </w:tc>
      </w:tr>
      <w:tr>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HR Admin will populate initial reference data (salary bands, flight risk role list, budget pool amounts) before the first live cycle runs.</w:t>
            </w:r>
          </w:p>
        </w:tc>
        <w:tc>
          <w:tcPr>
            <w:tcW w:type="dxa" w:w="45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WF2 and WF3 both depend on HR Admin configuration before they produce meaningful outputs. The application will guide the HR Admin through required setup steps on first login.</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Medium — WF2 eligibility engine cannot run without salary bands. WF3 flight risk factor defaults to sub-score 0 for all roles if no flight risk list is configured. These states are visible, not silent failures.</w:t>
            </w:r>
          </w:p>
        </w:tc>
      </w:tr>
      <w:tr>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Quarterly review cycles align with calendar quarters (Q1: Jan–Mar, Q2: Apr–Jun, Q3: Jul–Sep, Q4: Oct–Dec). The WF2 bi-annual cycles are Cycle 1 (Jul review of Jan–Jun) and Cycle 2 (Jan review of Jul–Dec).</w:t>
            </w:r>
          </w:p>
        </w:tc>
        <w:tc>
          <w:tcPr>
            <w:tcW w:type="dxa" w:w="45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Defined in the workflow decisions document. Non-standard fiscal calendars are not supported in v1.</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Low for portfolio deployment. Medium for any production adoption — calendar configuration would be a Phase 2 requirement.</w:t>
            </w:r>
          </w:p>
        </w:tc>
      </w:tr>
    </w:tbl>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6.  Functional Requirements</w:t>
      </w:r>
    </w:p>
    <w:p>
      <w:pPr>
        <w:spacing w:before="80" w:after="100"/>
        <w:jc w:val="left"/>
      </w:pPr>
      <w:r>
        <w:rPr>
          <w:rFonts w:ascii="Arial" w:cs="Arial" w:eastAsia="Arial" w:hAnsi="Arial"/>
          <w:b w:val="false"/>
          <w:bCs w:val="false"/>
          <w:color w:val="1A1A1A"/>
          <w:sz w:val="22"/>
          <w:szCs w:val="22"/>
        </w:rPr>
        <w:t xml:space="preserve">This section defines all functional requirements for Cadence v1, organised by workflow. Each requirement has a unique identifier, a MoSCoW priority, and traces to one or more objectives from Section 2. Requirements are numbered within each workflow group (WF1, WF4, WF2, WF3) and prefixed CC for cross-cutting platform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6"/>
              <w:left w:val="single" w:color="D5D8DC" w:sz="6"/>
              <w:bottom w:val="single" w:color="D5D8DC" w:sz="6"/>
              <w:right w:val="single" w:color="D5D8DC" w:sz="6"/>
            </w:tcBorders>
            <w:shd w:fill="F2F3F4" w:val="clear"/>
            <w:tcMar>
              <w:top w:type="dxa" w:w="120"/>
              <w:left w:type="dxa" w:w="180"/>
              <w:bottom w:type="dxa" w:w="120"/>
              <w:right w:type="dxa" w:w="180"/>
            </w:tcMar>
          </w:tcPr>
          <w:p>
            <w:pPr>
              <w:spacing w:before="0" w:after="40"/>
            </w:pPr>
            <w:r>
              <w:rPr>
                <w:rFonts w:ascii="Arial" w:cs="Arial" w:eastAsia="Arial" w:hAnsi="Arial"/>
                <w:b/>
                <w:bCs/>
                <w:color w:val="1B4F72"/>
                <w:sz w:val="20"/>
                <w:szCs w:val="20"/>
              </w:rPr>
              <w:t xml:space="preserve">MoSCoW Key</w:t>
            </w:r>
          </w:p>
          <w:p>
            <w:pPr>
              <w:spacing w:before="40" w:after="0"/>
            </w:pPr>
            <w:r>
              <w:rPr>
                <w:rFonts w:ascii="Arial" w:cs="Arial" w:eastAsia="Arial" w:hAnsi="Arial"/>
                <w:b w:val="false"/>
                <w:bCs w:val="false"/>
                <w:color w:val="1A1A1A"/>
                <w:sz w:val="19"/>
                <w:szCs w:val="19"/>
              </w:rPr>
              <w:t xml:space="preserve">Must — required for v1 deployment. Absence constitutes a project failure.  |  Should — high value, included unless timeline forces a cut.  |  Could — included if capacity permits.  |  Won't — explicitly deferred to a future phase.</w:t>
            </w:r>
          </w:p>
        </w:tc>
      </w:tr>
    </w:tbl>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60"/>
        <w:gridCol w:w="900"/>
        <w:gridCol w:w="2200"/>
      </w:tblGrid>
      <w:tr>
        <w:trPr>
          <w:tblHeader/>
        </w:trPr>
        <w:tc>
          <w:tcPr>
            <w:tcW w:type="dxa" w:w="9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w:t>
            </w:r>
          </w:p>
        </w:tc>
        <w:tc>
          <w:tcPr>
            <w:tcW w:type="dxa" w:w="9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2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Traces To</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WF1.1 — Data Upload &amp; Ingestion</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provide a Data Management page accessible to the HR Analyst and HR Admin roles, containing a CSV upload control and a reporting period selector. The reporting period selector shall present a month-and-year picker (not a free-text field) defaulting to the current calendar month. The HR Analyst must explicitly confirm the selected period before the upload is submitted to the pipeline.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On CSV submission, the pipeline shall validate the file schema before processing any data rows. Validation shall check for the presence of all 18 required columns: employee_id, first_name, last_name, department, cost_centre, location, job_title, job_family, level, employment_type, manager_id, hire_date, role_start_date, termination_date, termination_type, salary, salary_grade, budgeted_headcount, status. If any required column is absent, the entire upload shall be rejected with a clear error message listing the missing columns by name. No partial loads are permitted.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pipeline shall validate that employment_type values are one of: Permanent, Fixed-term, Contractor. It shall validate that status values are one of: Active, On Leave, Terminated. It shall validate that termination_type values are one of: Voluntary, Involuntary, or null. Rows failing value validation shall be rejected individually and listed in the pipeline run log, while valid rows continue processing. The pipeline run log shall include a count of rejected rows and the specific validation error for each.</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prevent duplicate uploads for the same reporting period. If a file is submitted for a period that already has a processed snapshot in the database, the system shall display a warning indicating the period already has data and require the HR Analyst to confirm an intentional overwrite before proceeding. An overwrite replaces all employee records for that period.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Every pipeline run shall be logged with: timestamp of upload, user who triggered the upload, reporting period selected, total records in the file, records successfully processed, records rejected with reason, new hire count (hire_date within reporting period), leaver count (termination_date within reporting period), any threshold flags raised, and final pipeline status (Success / Partial / Failed). The run log shall be readable by HR Admin and HR Analyst from the Data Management page.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WF1.2 — KPI Calculation</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WF1-FR-006</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pipeline shall calculate the following derived fields for every employee record: tenure_months (months from hire_date to reporting period end date), tenure_in_role_months (months from role_start_date to reporting period end date), is_new_hire (boolean: hire_date falls within the reporting period month), headcount_delta (current period active count minus prior period active count per department), headcount_vs_budget_variance (active filled positions minus budgeted_headcount per department, expressed as both a count and a percentage).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WF1-FR-007</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pipeline shall calculate the following workforce KPIs for each reporting period: total headcount by department / cost centre / location / job family / employment type / organisational layer / gender; attrition rate general (leavers in period ÷ average headcount for period, expressed as percentage, calculated both as a monthly point-in-time figure and a rolling 12-month rate); new hire attrition rate 0–3 months (employees who left within 90 days of hire_date ÷ total new hires in period); 1-year survival rate (of employees hired 12 months prior to reporting period, percentage still active); span of control per manager (direct reports only, derived from manager_id); internal mobility rate (employees who changed role or department in the period, derived from role_start_date within the period); average tenure by department in months; gender split by level and by department.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WF1-FR-008</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pipeline shall separately calculate and display voluntary and involuntary attrition figures using the termination_type column, in addition to a combined total attrition figure. All three figures shall be available in every view that displays attrition data.</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WF1-FR-009</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For period comparison, the pipeline shall produce both month-on-month (MoM) and year-on-year (YoY) variance for every headcount KPI where prior data exists. MoM compares the current reporting period to the immediately preceding calendar month snapshot. YoY compares the current reporting period to the same calendar month in the prior year. Where a comparison period has no data, the variance field shall display 'No prior data' rather than a zero or null value.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WF1.3 — Threshold Flagging</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WF1-FR-010</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pipeline shall evaluate and flag the following threshold conditions after each upload: (1) headcount vs budget variance exceeds ±10% for any department; (2) span of control exceeds 12 direct reports for any manager; (3) approved headcount position (budgeted_headcount) unfilled for more than 60 days based on the most recent snapshot; (4) contractor proportion in any department exceeds 30% of total headcount; (5) new hire attrition rate in any quarter exceeds 15%; (6) any department records zero voluntary leavers for 12 consecutive months. Each flag shall display the affected department or manager, the current value, and the threshold breached.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If a department has no corresponding budget figure configured in the system, the headcount vs budget variance for that department shall display 'Budget Not Configured' rather than a numeric value. The pipeline run log shall include a warning identifying departments with missing budget data. HR Admin shall be able to enter and update department budget figures from the Data Management page.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WF1.4 — Report Publication &amp; Distribution</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After the pipeline runs successfully, the processed report shall be in an Unpublished state — visible to HR Analyst and HR Admin only, not accessible to the manager audience. The HR Analyst shall review the processed output on a Review page and confirm the report before it is published. The publish action shall change the report status to Published for the current period and make it visible to all managers simultaneously.</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manager-facing dashboard shall display: headcount KPIs for the manager's department, MoM and YoY variance figures, threshold flags applicable to their department, employment type mix, attrition rates, and span of control summary. Managers shall see department-level aggregate data only. Individual salary figures shall not be displayed in any manager-accessible view.</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Every page of the published dashboard shall display a data freshness indicator showing: the date and time the underlying CSV was last uploaded and processed, the reporting period the current data represents, and the name of the HR Analyst who published the report.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HR Analyst and HR Admin shall be able to filter all dashboard views by: department, cost centre, location, and job family. All four filter dimensions shall be available simultaneously as independent dropdowns. Selecting a filter shall update all charts and KPI tiles on the page without requiring a page reload.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WF1-FR-016</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generate a downloadable formatted Excel report containing all KPIs and breakdowns, with one tab per filter dimension (department, cost centre, location, job family) plus a summary tab. The Excel report shall reflect the same data as the published dashboard for the current period.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WF1-FR-017</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generate a downloadable PDF summary report containing executive-level KPIs, threshold flags, and MoM / YoY headline variances. The PDF shall be suitable for distribution to senior leadership without modification.</w:t>
            </w:r>
          </w:p>
        </w:tc>
        <w:tc>
          <w:tcPr>
            <w:tcW w:type="dxa" w:w="900"/>
            <w:tcBorders>
              <w:top w:val="single" w:color="D5D8DC" w:sz="3"/>
              <w:left w:val="single" w:color="D5D8DC" w:sz="3"/>
              <w:bottom w:val="single" w:color="D5D8DC" w:sz="3"/>
              <w:right w:val="single" w:color="D5D8DC" w:sz="3"/>
            </w:tcBorders>
            <w:shd w:fill="FEF9E7" w:val="clear"/>
            <w:tcMar>
              <w:top w:type="dxa" w:w="80"/>
              <w:left w:type="dxa" w:w="80"/>
              <w:bottom w:type="dxa" w:w="80"/>
              <w:right w:type="dxa" w:w="80"/>
            </w:tcMar>
            <w:vAlign w:val="center"/>
          </w:tcPr>
          <w:p>
            <w:pPr>
              <w:jc w:val="center"/>
            </w:pPr>
            <w:r>
              <w:rPr>
                <w:rFonts w:ascii="Arial" w:cs="Arial" w:eastAsia="Arial" w:hAnsi="Arial"/>
                <w:b/>
                <w:bCs/>
                <w:color w:val="B7770D"/>
                <w:sz w:val="17"/>
                <w:szCs w:val="17"/>
              </w:rPr>
              <w:t xml:space="preserve">Should</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WF4.1 — Weekly 1:1</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Each active employee shall have a current-week 1:1 record automatically created at the start of each calendar week. The employee shall be able to add discussion topics, questions, and agenda items to their current week record at any time during the week. All employee-submitted content shall be immediately visible to the employee's manager. There is no approval or moderation step on employee submissions.</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manager shall close the weekly 1:1 record by completing: agreed actions (free text, mandatory — acceptable value: 'None this week'), a sentiment flag (dropdown: Positive / Neutral / Concerning, mandatory), and any blockers raised (free text, optional). A 1:1 record shall only be marked as Complete when all mandatory fields are filled and the manager submits. Incomplete records shall remain in Open status.</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If no completed 1:1 record exists for a given employee for 14 or more consecutive calendar days, the system shall automatically raise an alert. The alert shall be delivered as an in-app notification to: the manager responsible for the employee, and the HR Admin. The missed 1:1 shall be recorded in the employee's performance history with a status of Missed and contribute to the WF3 check-in frequency risk factor. The alert shall remain active until a new 1:1 record is completed.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 OBJ-04</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employee's view of the weekly 1:1 record shall show: their own submitted discussion topics and agenda items, the agreed actions recorded by the manager, and any blockers raised. The employee shall not see the manager's sentiment flag in any view. This restriction is permanent and cannot be overridden by any user role.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WF4.2 — Monthly Check-In</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manager shall submit a monthly check-in record for each direct report within each calendar month. The check-in record shall contain: goal progress percentage per active quarterly objective (numeric 0–100, mandatory for each active goal), key achievements narrative (free text, mandatory), development focus for the coming month (free text, mandatory), and overall monthly sentiment rating (Positive / Neutral / Concerning, consistent with weekly sentiment scale, mandatory).</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WF4-FR-006</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Upon manager submission of a monthly check-in, the employee shall receive an in-app notification prompting acknowledgement. The employee shall view a read-only summary of the check-in (goal progress percentages, development focus, and overall sentiment rating). The employee must acknowledge the check-in by clicking a confirm button. The acknowledgement shall be timestamped and stored permanently. A check-in record shall not be marked as Complete until employee acknowledgement is recorded.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WF4-FR-007</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HR Admin view shall include a monthly check-in compliance dashboard showing all managers, their total direct reports, the number of check-ins submitted for the current period, the number of overdue check-ins (past the 20th of the current month without submission), and a flag for any manager with a check-in completion rate below 100% for two or more consecutive months.</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 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WF4.3 — Quarterly Review</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WF4-FR-008</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At the start of each quarterly review period, the system shall open a self-assessment record for each employee. The employee shall submit a self-assessment covering: progress against current quarter objectives (free text per goal) and proposed objectives for the upcoming quarter (minimum 1, maximum 5 objectives with description and success criteria). Self-assessment submission is mandatory before the manager can open the manager review form.</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WF4-FR-009</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Once the employee's self-assessment is submitted, the manager review form shall become available. The system shall pre-populate the manager review form with an aggregated data summary covering the quarter: average weekly sentiment (calculated from all completed 1:1 records in the quarter), total completed 1:1s vs expected 1:1s, missed 1:1 count, monthly check-in completion status (submitted / acknowledged per month), goal progress percentage per objective from monthly check-ins, and a list of agreed actions with completion status. This pre-population is read-only — it cannot be edited by the manager.</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WF4-FR-010</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manager shall rate the employee across four independent dimensions using the four-category rating scale (Exceeds Expectations / Meets Expectations / Below Expectations / New to Role). Dimensions: (1) Overall Performance, (2) Delivery — quality and timeliness of outputs, (3) Behaviour &amp; Values — alignment with company values and team contribution, (4) Development — progress against development objectives. The manager shall provide a narrative for each dimension. A composite overall rating shall be calculated from the four dimension ratings and displayed to HR at the review stage. The composite calculation method shall be documented in the system configuration.</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New to Role rating category shall only be selectable for employees whose tenure_in_role_months is 3 or fewer at the time of the quarterly review submission. Selecting New to Role prevents the review from contributing a Below Expectations signal to WF2 eligibility or WF3 risk scoring. The system shall display a tooltip explaining this behaviour when the manager hovers over the New to Role option.</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 OBJ-03, OBJ-04</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quarterly review record shall use a dual-endpoint design: the same record simultaneously closes the prior quarter (delivery of results, ratings, and narrative for the quarter just completed) and opens the next quarter (confirmation of goals for the upcoming 90 days). Both phases shall be part of a single review submission. Current-quarter goals and prior-quarter results shall be continuously visible to the employee in their performance history view at all times during the quarter — not only at review time.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Once the manager submits the completed quarterly review, the record shall enter an HR review queue with status Pending HR Approval. HR shall review the rating for consistency and fairness and either approve or return the review to the manager with a written note. Upon HR approval, the review status changes to Approved and the employee receives an in-app notification. The employee shall see the approved rating and narrative only after HR sign-off — not before. The HR approval timestamp shall be stored permanently.</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 OBJ-03</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If a manager submits a quarterly review for an employee with fewer than 2 completed monthly check-in records for that quarter, the system shall flag the review and route it to HR for a manual decision. HR shall have three options: approve and proceed as an exception (with logged justification), return to manager with a requirement to complete missing check-ins first, or escalate. The exception decision and reason shall be logged. This is a governance checkpoint, not a hard system block.</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 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WF4.4 — Data Handoffs to WF2 and WF3</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Upon HR approval of a quarterly review, the system shall write the following fields to the WF2 eligibility engine data model: overall composite rating label (Exceeds Expectations / Meets Expectations / Below Expectations / New to Role), review submission date, and reviewing manager name. The full review narrative is stored in the performance history but is not consumed by WF2. This handoff is the formal trigger that makes an employee eligible for the next merit cycle, subject to all other eligibility rules.</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 OBJ-03</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WF4-FR-016</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following WF4 data points shall be made continuously available to the WF3 scoring engine for daily recalculation: weekly 1:1 sentiment flag for each completed record in the trailing 90 days; count of missed 1:1 records (status = Missed) in the trailing 90 days; monthly check-in submission status for each month in the current quarter; performance rating for the two most recently completed and HR-approved quarterly reviews (to compute rating trajectory direction).</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OBJ-02, OBJ-04</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WF2.1 — Cycle Management</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HR Admin shall be able to open a compensation review cycle from the Compensation Review page by selecting the cycle period (Cycle 1: January–June review, or Cycle 2: July–December review), entering the manager recommendation submission deadline, and confirming. Opening a cycle shall activate the eligibility engine for that period, make recommendation forms visible to managers, and record the cycle open timestamp and the HR Admin who opened it.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support separate cycle configurations for different employee groups. In v1, two groups are supported: the general employee population and the sales population. Each group may have different eligibility rule parameters and cycle timing. Both groups shall run through the same underlying workflow engine with group-specific configuration parameters stored in a cycle_config table.</w:t>
            </w:r>
          </w:p>
        </w:tc>
        <w:tc>
          <w:tcPr>
            <w:tcW w:type="dxa" w:w="900"/>
            <w:tcBorders>
              <w:top w:val="single" w:color="D5D8DC" w:sz="3"/>
              <w:left w:val="single" w:color="D5D8DC" w:sz="3"/>
              <w:bottom w:val="single" w:color="D5D8DC" w:sz="3"/>
              <w:right w:val="single" w:color="D5D8DC" w:sz="3"/>
            </w:tcBorders>
            <w:shd w:fill="FEF9E7" w:val="clear"/>
            <w:tcMar>
              <w:top w:type="dxa" w:w="80"/>
              <w:left w:type="dxa" w:w="80"/>
              <w:bottom w:type="dxa" w:w="80"/>
              <w:right w:type="dxa" w:w="80"/>
            </w:tcMar>
            <w:vAlign w:val="center"/>
          </w:tcPr>
          <w:p>
            <w:pPr>
              <w:jc w:val="center"/>
            </w:pPr>
            <w:r>
              <w:rPr>
                <w:rFonts w:ascii="Arial" w:cs="Arial" w:eastAsia="Arial" w:hAnsi="Arial"/>
                <w:b/>
                <w:bCs/>
                <w:color w:val="B7770D"/>
                <w:sz w:val="17"/>
                <w:szCs w:val="17"/>
              </w:rPr>
              <w:t xml:space="preserve">Should</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WF2.2 — Eligibility Engine</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At cycle open, the eligibility engine shall evaluate every employee against all six eligibility criteria and produce a determination of Eligible, Ineligible, or Excluded. The six criteria applied in sequence are: (1) Active employment status at cycle open date (not Terminated, not On Leave); (2) employment_type = Permanent; (3) tenure_in_role_months ≥ 6 as of cycle open date (sourced from WF1 role_start_date); (4) most recent HR-approved quarterly review rating = Meets Expectations or Exceeds Expectations; (5) at least one HR-approved quarterly review on file for the current review period; (6) employee is not currently flagged as on a Performance Improvement Plan. All six criteria must be satisfied for Eligible status. Failing any single criterion produces Ineligible or Excluded as appropriate.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following employees shall be automatically excluded from any cycle regardless of all other eligibility criteria: employees hired within 90 days of the cycle open date (hire_date within 90 days); employees with status = On Leave; employees flagged as currently on a Performance Improvement Plan. Excluded status is distinct from Ineligible — Excluded employees were never eligible for the current cycle, while Ineligible employees failed a specific eligibility test.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HR Admin shall be able to override any system-generated eligibility determination in either direction — marking an Ineligible employee as Eligible, or marking an Eligible employee as Excluded. Every override shall require a mandatory free-text justification before saving. The override record shall store: the HR Admin's name, the original system determination, the override decision, the justification text, and the override timestamp. Override records are permanent and non-deletable.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WF2.3 — Budget Pool Management</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WF2-FR-006</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Before or at cycle open, HR Admin / Finance shall enter the company-wide total merit budget for the cycle. HR shall then allocate percentage splits to each department. The system shall calculate each department's dollar budget by applying the department's percentage split to the total budget multiplied by that department's total payroll (sourced from current WF1 salary data). Allocations shall be stored per cycle and per department.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WF2-FR-007</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As managers submit recommendations, the department budget dashboard shall update in real time showing: total pool allocated to the department, total amount committed in submitted recommendations (sum of base increase costs + bonus amounts), amount remaining, and a visual utilisation indicator. The indicator shall trigger visual state changes at 80% utilisation (amber), 95% utilisation (red warning), and 100% (pool exhausted).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WF2-FR-008</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If a manager submits recommendations that cause their department's total committed amount to exceed the department pool, the excess shall trigger an automatic escalation flag. The affected recommendations shall be placed in Pending Escalation status. HR shall receive an in-app notification. HR may approve the overage, request the manager to revise, or reallocate budget from another department. No Pending Escalation recommendation shall be approved until HR reviews it.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WF2.4 — Manager Recommendation</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WF2-FR-009</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For each eligible employee on their team, the manager shall see a pre-populated recommendation form showing: employee name, job title, and department (read-only); current base salary (read-only); current compa-ratio — calculated as actual salary ÷ salary band midpoint — displayed alongside the band midpoint and band range (read-only, sourced from the salary_bands reference table); the employee's most recent quarterly review rating and rating date (read-only). The manager shall enter: recommended base salary increase as a percentage (numeric, mandatory), recommended one-time bonus as a flat dollar amount (numeric, optional, default 0), effective date (defaults to cycle standard date, editable by manager), and a free-text justification note.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WF2-FR-010</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If a manager enters 0% base increase and $0 bonus for an eligible employee, the form shall require a mandatory written justification before the submission can be saved. The justification field shall display a clear prompt: 'You are recommending no increase for an eligible employee. A written justification is required.' The justification shall be visible to HR in the approval review queue.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If a manager's recommended base salary increase would move an employee's new salary above their salary band maximum, the recommendation form shall display an automatic flag indicating the band ceiling will be exceeded and by what amount. The manager may still submit the recommendation, but it shall be automatically routed to HR for review before approval. This is a flag, not a hard block.</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WF2.5 — Approval Workflow</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manager recommendations shall require HR/Finance approval before any increase is confirmed. Upon manager submission, recommendations enter a Pending Approval queue visible to HR Admin and Finance. HR/Finance shall be able to approve, reject, or return recommendations to the manager for revision. The approval decision, approver name, and approval timestamp shall be recorded for every recommendation.</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Recommendations where the base salary increase percentage exceeds a configurable threshold (default: 15%, adjustable by HR Admin) shall be additionally routed to the CHRO for sign-off before the HR/Finance approval can be recorded. The CHRO escalation queue shall show the employee, recommended increase, justification, and the manager's name. CHRO approval or rejection shall be logged with timestamp.</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Once HR/Finance approves a recommendation, the employee shall receive an in-app notification containing their new base salary, effective date, and any bonus amount. This notification shall be visible in the employee's profile as a permanent record. The notification is in-app only in v1 — no email is generated.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WF2.6 — HR Summary View</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HR Admin shall have access to an HR Summary view showing all employees in the active cycle with: eligibility status (Eligible / Ineligible / Excluded / Pending Override), manager recommendation (% increase and $ bonus amount), approval status (Pending / Approved / Escalated / Rejected / Pending CHRO), department budget impact ($ committed vs pool remaining), and any override or escalation flags. The summary shall be filterable by department, eligibility status, and approval status.</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OBJ-03</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WF3.1 — Scoring Engine</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maintain a risk_factor_config table containing, for each of the seven risk factors: factor name, factor description, active status (boolean), weight (numeric, percentage), and tier thresholds (values at which the sub-score transitions from 0 to 50 and from 50 to 100). The scoring engine shall read exclusively from this table on every calculation run — no scoring logic shall be hardcoded. All default values shall be pre-populated on first deployment.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For each active employee, the scoring engine shall calculate a sub-score of 0 (no signal), 50 (medium signal), or 100 (high signal) for each active risk factor using the thresholds defined in risk_factor_config. Sub-scores shall be multiplied by the factor weight and summed to produce a composite score on a 0–100 scale. The composite score shall be classified as: Green (Low Risk) if below 35; Amber (Medium Risk) if 35–64; Red (High Risk) if 65 or above. All three thresholds are configurable by HR Admin.</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seven risk factors, their data sources, and their default thresholds are: (1) Compa-ratio vs band midpoint [WF2] — 0: ≥0.95; 50: 0.85–0.94; 100: &lt;0.85; weight 25%. (2) Performance rating trajectory [WF4] — 0: stable or improving; 50: declined one quarter; 100: declined two consecutive quarters; weight 20%. (3) Time since last merit increase [WF2] — 0: &lt;12 months; 50: 12–18 months; 100: &gt;18 months; weight 15%. (4) Time in current role without promotion [WF1] — 0: &lt;24 months; 50: 24–36 months; 100: &gt;36 months; weight 15%. (5) Weekly 1:1 sentiment trend [WF4] — 0: &lt;2 consecutive Concerning flags; 50: exactly 2 consecutive; 100: ≥3 consecutive; weight 10%. (6) Manager check-in frequency [WF4] — 0: 0–1 missed 1:1s in 90 days; 50: 2 missed; 100: ≥3 missed; weight 10%. (7) Flight risk role classification [risk_factor_config] — 0: role not classified; 100: role classified as flight risk; weight 5%. All weights sum to 100%.</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scoring engine shall recalculate composite scores for all active employees on a daily basis. In the portfolio deployment, recalculation shall be triggered by the first HR Admin login each day. A manual recalculate trigger shall also be available to HR Admin at any time from the Risk Register page. Each recalculation run shall complete without user-visible delay (target: &lt;10 seconds for populations up to 500 employees on the demo dataset).</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Every daily score calculation shall be stored in a score_history table with: employee_id, calculation date, composite score, RAG status, and the individual sub-score for each of the seven factors at the time of calculation. This audit trail shall be retained permanently and shall allow HR to review a complete timeline of any employee's risk profile history.</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WF3.2 — Risk Register</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WF3-FR-006</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Risk Register page shall display all active, non-excluded employees ranked by composite risk score from highest to lowest. For each employee the register shall show: full name, role, department, manager name, overall RAG status badge, composite score, and an expandable per-factor score breakdown showing each factor's sub-score (0 / 50 / 100), the weight applied, and the points contributed. The register shall be filterable by department, manager, RAG status, and by which risk factor is triggered.</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WF3-FR-007</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Risk Register shall enforce role-based visibility: HR Admin sees all employees, full detail including per-factor breakdown. Senior managers (Director and above) see all employees in their department, full detail. Line managers see their direct reports only, with limited view showing RAG status and total score — the per-factor breakdown is intentionally withheld from line manager view to prevent gaming of individual factors.</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WF3-FR-008</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Pay Risk factor (Factor 1, compa-ratio) tooltip in the Risk Register shall display a cross-reference to S2 — Compensation &amp; Market Benchmarking Dashboard. If the employee's role is flagged as below BLS market P50 in the S2 dataset (stored as a boolean below_bls_p50 on the role record), the tooltip shall display an additional indicator: 'Role also flagged below BLS market median in S2.' If S2 data is unavailable or the role is not in S2's scope, the tooltip shall display the compa-ratio calculation only.</w:t>
            </w:r>
          </w:p>
        </w:tc>
        <w:tc>
          <w:tcPr>
            <w:tcW w:type="dxa" w:w="900"/>
            <w:tcBorders>
              <w:top w:val="single" w:color="D5D8DC" w:sz="3"/>
              <w:left w:val="single" w:color="D5D8DC" w:sz="3"/>
              <w:bottom w:val="single" w:color="D5D8DC" w:sz="3"/>
              <w:right w:val="single" w:color="D5D8DC" w:sz="3"/>
            </w:tcBorders>
            <w:shd w:fill="FEF9E7" w:val="clear"/>
            <w:tcMar>
              <w:top w:type="dxa" w:w="80"/>
              <w:left w:type="dxa" w:w="80"/>
              <w:bottom w:type="dxa" w:w="80"/>
              <w:right w:type="dxa" w:w="80"/>
            </w:tcMar>
            <w:vAlign w:val="center"/>
          </w:tcPr>
          <w:p>
            <w:pPr>
              <w:jc w:val="center"/>
            </w:pPr>
            <w:r>
              <w:rPr>
                <w:rFonts w:ascii="Arial" w:cs="Arial" w:eastAsia="Arial" w:hAnsi="Arial"/>
                <w:b/>
                <w:bCs/>
                <w:color w:val="B7770D"/>
                <w:sz w:val="17"/>
                <w:szCs w:val="17"/>
              </w:rPr>
              <w:t xml:space="preserve">Should</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WF3.3 — Retention Actions &amp; Configuration</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WF3-FR-009</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HR Admin shall be able to flag any employee in the Risk Register for a retention intervention. Flagging shall create a retention_action record with: the flagging date, the HR Admin who flagged, the composite risk score at the time of flagging, a field for recording the action taken (free text, e.g. 'Retention conversation held', 'Compensation review initiated'), and outcome and resolution date when the action is closed. Flagged employees shall be visually distinguished in the register with a badge.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WF3-FR-010</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HR Admin shall be able to exclude any employee from the Risk Register. Exclusion does not delete the employee's data or scores — it marks the employee with an Excluded status and removes them from the main register view. The reason for exclusion shall be mandatory and logged with the admin's name and date. Excluded employees shall be visible in a separate Excluded Employees view accessible to HR Admin. All exclusions shall be logged permanently.</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WF3-FR-011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HR Admin shall be able to adjust factor weights, activate or deactivate individual factors, and update factor thresholds from the application's configuration panel. The system shall validate that all active factor weights sum to 100% before saving any configuration change. If a factor is deactivated, its weight shall be redistributed proportionally across the remaining active factors unless the HR Admin sets new weights manually. Every configuration change shall be logged with: admin name, timestamp, the field changed, the previous value, and the new value. The configuration audit trail shall be retained permanently.</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OBJ-04</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CC.1 — Authentication &amp; Authorisation</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CC-FR-001</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use Supabase Auth for user authentication. Every page shall require an authenticated session. Unauthenticated requests shall be redirected to the login page. Session tokens shall expire after 8 hours of inactivity, requiring re-authentication.</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 OBJ-02, OBJ-03, OBJ-04</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CC-FR-002</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Three roles shall be defined and enforced: HR Admin (full access to all workflows, all employee data, all configuration panels, all audit logs), People Manager (access scoped to their direct reports across WF4 and WF2; limited WF3 view; no access to WF1 admin functions or WF3 configuration), Employee (read-only access to own performance history, quarterly review results after HR approval, monthly check-in summaries, current goals, and WF2 approved merit outcome). Role assignment shall be managed by HR Admin from a User Management page.</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 OBJ-02, OBJ-03, OBJ-04</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CC.2 — Audit Logging</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CC-FR-003</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system shall maintain a permanent, non-deletable audit log recording the following events: all WF1 pipeline runs (with full run details); all WF2 eligibility overrides; all WF2 approval decisions; all WF3 configuration changes; all WF3 employee exclusions; all WF3 retention action openings and closures; all WF4 HR approval decisions on quarterly reviews. Every audit entry shall include a timestamp, the acting user's name and role, the entity affected, and the action taken.</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 OBJ-02, OBJ-03, OBJ-04</w:t>
            </w:r>
          </w:p>
        </w:tc>
      </w:tr>
      <w:tr>
        <w:tc>
          <w:tcPr>
            <w:tcW w:type="dxa" w:w="9360"/>
            <w:gridSpan w:val="4"/>
            <w:tcBorders>
              <w:top w:val="single" w:color="2E86C1" w:sz="4"/>
              <w:left w:val="single" w:color="2E86C1" w:sz="4"/>
              <w:bottom w:val="single" w:color="2E86C1" w:sz="4"/>
              <w:right w:val="single" w:color="2E86C1" w:sz="4"/>
            </w:tcBorders>
            <w:shd w:fill="D5E8F0" w:val="clear"/>
            <w:tcMar>
              <w:top w:type="dxa" w:w="80"/>
              <w:left w:type="dxa" w:w="120"/>
              <w:bottom w:type="dxa" w:w="80"/>
              <w:right w:type="dxa" w:w="120"/>
            </w:tcMar>
          </w:tcPr>
          <w:p>
            <w:r>
              <w:rPr>
                <w:rFonts w:ascii="Arial" w:cs="Arial" w:eastAsia="Arial" w:hAnsi="Arial"/>
                <w:b/>
                <w:bCs/>
                <w:color w:val="1B4F72"/>
                <w:sz w:val="20"/>
                <w:szCs w:val="20"/>
              </w:rPr>
              <w:t xml:space="preserve">CC.3 — Navigation &amp; Shared UX</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CC-FR-004</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application shall use Streamlit's multi-page architecture with a persistent sidebar. The sidebar shall display the authenticated user's name and role, navigation links to all pages accessible to their role, a logout button, and the application name and version. Pages not accessible to the current user's role shall not appear in the sidebar.</w:t>
            </w:r>
          </w:p>
        </w:tc>
        <w:tc>
          <w:tcPr>
            <w:tcW w:type="dxa" w:w="900"/>
            <w:tcBorders>
              <w:top w:val="single" w:color="D5D8DC" w:sz="3"/>
              <w:left w:val="single" w:color="D5D8DC" w:sz="3"/>
              <w:bottom w:val="single" w:color="D5D8DC" w:sz="3"/>
              <w:right w:val="single" w:color="D5D8DC" w:sz="3"/>
            </w:tcBorders>
            <w:shd w:fill="FADBD8" w:val="clear"/>
            <w:tcMar>
              <w:top w:type="dxa" w:w="80"/>
              <w:left w:type="dxa" w:w="80"/>
              <w:bottom w:type="dxa" w:w="80"/>
              <w:right w:type="dxa" w:w="80"/>
            </w:tcMar>
            <w:vAlign w:val="center"/>
          </w:tcPr>
          <w:p>
            <w:pPr>
              <w:jc w:val="center"/>
            </w:pPr>
            <w:r>
              <w:rPr>
                <w:rFonts w:ascii="Arial" w:cs="Arial" w:eastAsia="Arial" w:hAnsi="Arial"/>
                <w:b/>
                <w:bCs/>
                <w:color w:val="922B21"/>
                <w:sz w:val="17"/>
                <w:szCs w:val="17"/>
              </w:rPr>
              <w:t xml:space="preserve">Must</w:t>
            </w:r>
          </w:p>
        </w:tc>
        <w:tc>
          <w:tcPr>
            <w:tcW w:type="dxa" w:w="2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 OBJ-02, OBJ-03, OBJ-04</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CC-FR-005</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 landing page shall be displayed to all authenticated users upon login. The landing page shall describe what each accessible workflow does, provide quick-link navigation to each workflow's primary page, and display the current application data freshness status (most recent WF1 report period, most recent WF3 recalculation timestamp).</w:t>
            </w:r>
          </w:p>
        </w:tc>
        <w:tc>
          <w:tcPr>
            <w:tcW w:type="dxa" w:w="900"/>
            <w:tcBorders>
              <w:top w:val="single" w:color="D5D8DC" w:sz="3"/>
              <w:left w:val="single" w:color="D5D8DC" w:sz="3"/>
              <w:bottom w:val="single" w:color="D5D8DC" w:sz="3"/>
              <w:right w:val="single" w:color="D5D8DC" w:sz="3"/>
            </w:tcBorders>
            <w:shd w:fill="FEF9E7" w:val="clear"/>
            <w:tcMar>
              <w:top w:type="dxa" w:w="80"/>
              <w:left w:type="dxa" w:w="80"/>
              <w:bottom w:type="dxa" w:w="80"/>
              <w:right w:type="dxa" w:w="80"/>
            </w:tcMar>
            <w:vAlign w:val="center"/>
          </w:tcPr>
          <w:p>
            <w:pPr>
              <w:jc w:val="center"/>
            </w:pPr>
            <w:r>
              <w:rPr>
                <w:rFonts w:ascii="Arial" w:cs="Arial" w:eastAsia="Arial" w:hAnsi="Arial"/>
                <w:b/>
                <w:bCs/>
                <w:color w:val="B7770D"/>
                <w:sz w:val="17"/>
                <w:szCs w:val="17"/>
              </w:rPr>
              <w:t xml:space="preserve">Should</w:t>
            </w:r>
          </w:p>
        </w:tc>
        <w:tc>
          <w:tcPr>
            <w:tcW w:type="dxa" w:w="2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OBJ-01, OBJ-02, OBJ-03, OBJ-04</w:t>
            </w:r>
          </w:p>
        </w:tc>
      </w:tr>
    </w:tbl>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7.  Non-Functional Requirements</w:t>
      </w:r>
    </w:p>
    <w:p>
      <w:pPr>
        <w:spacing w:before="80" w:after="160"/>
        <w:jc w:val="left"/>
      </w:pPr>
      <w:r>
        <w:rPr>
          <w:rFonts w:ascii="Arial" w:cs="Arial" w:eastAsia="Arial" w:hAnsi="Arial"/>
          <w:b w:val="false"/>
          <w:bCs w:val="false"/>
          <w:color w:val="1A1A1A"/>
          <w:sz w:val="22"/>
          <w:szCs w:val="22"/>
        </w:rPr>
        <w:t xml:space="preserve">Non-functional requirements define the quality characteristics the system must exhibit — how it performs, how it behaves under failure conditions, and how it is operated and maintained. Each NFR includes a rationale paragraph explaining why the requirement exists in this specific context, not merely what it says. NFRs are organised by category: Performance, Reliability, Security, Usability, Maintainability, and Deployability.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3860"/>
      </w:tblGrid>
      <w:tr>
        <w:trPr>
          <w:tblHeader/>
        </w:trPr>
        <w:tc>
          <w:tcPr>
            <w:tcW w:type="dxa" w:w="9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14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3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w:t>
            </w:r>
          </w:p>
        </w:tc>
        <w:tc>
          <w:tcPr>
            <w:tcW w:type="dxa" w:w="38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Rationale</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NFR-001</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Performance</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WF1 pipeline shall complete CSV ingestion, schema validation, KPI calculation, derived field computation, threshold evaluation, and database write for a file containing up to 2,000 employee records within 60 seconds of submission on the Supabase free tier.</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A 2,000-record population represents a mid-size organisation — the target context for this platform. The 60-second window was established by benchmarking psycopg2 batch inserts against Supabase's pooler connection on the free tier. Exceeding 60 seconds creates a user experience problem: the HR Analyst submitting the file cannot tell whether the pipeline is running or hung, leading to duplicate submissions. A progress indicator is shown during processing, but the time bound ensures the indicator resolves within a reasonable single interaction session.</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NFR-002</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Performance</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WF3 daily scoring recalculation shall complete for populations of up to 500 employees within 10 seconds when triggered manually from the Risk Register page.</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The scoring engine reads from seven data sources across four tables per employee. For 500 employees this represents approximately 3,500 data reads. The 10-second target was derived from the read latency profile of Supabase free tier under a single-connection pooler model. Exceeding 10 seconds would make the manual recalculate trigger — the primary recalculation mechanism in the portfolio deployment — feel broken rather than running. The overnight automatic trigger (first login of day) has no hard time constraint because it runs silently in the background.</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NFR-003</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Performance</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Streamlit dashboard pages shall render their initial content — including at least one visible KPI tile or chart — within 5 seconds of page navigation for a population of up to 500 employees, excluding Streamlit Community Cloud cold-start latency.</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Cold-start latency (up to 30 seconds after inactivity) is a platform constraint documented separately. This NFR governs page-to-page navigation within an active session, where users have a much lower latency tolerance. The 5-second target reflects the st.cache_data(ttl=300) caching pattern used across all projects in this portfolio — the first load of each session pays the database query cost; subsequent navigations within the cache TTL window are near-instant.</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NFR-004</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Reliability</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WF1 pipeline shall be atomic per upload: either all employee records from a given submission are written to the database, or none are. A partial write — where some records are committed and others fail mid-pipeline — is not an acceptable outcome.</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Partial writes corrupt the MoM and YoY comparison calculations by producing a snapshot with an artificially low headcount for the period. A department appearing to have lost 40 employees when in fact 40 records failed to insert would trigger false threshold flags and damage trust in the reporting output. This is implemented via a database transaction: the pipeline writes all records within a single BEGIN / COMMIT block, and any row-level error triggers a full ROLLBACK.</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NFR-005</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Reliability</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WF2 eligibility engine shall produce identical results for identical input data across multiple runs. Given the same WF1 headcount snapshot and WF4 performance ratings, the eligibility determination for every employee shall be the same on every recalculation.</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Eligibility determinations affect employees' access to merit increases. Non-deterministic results — where an employee is eligible on one run and ineligible on the next with no input change — would constitute a governance failure and expose the organisation to employment law challenges. This NFR is achieved by ensuring all eligibility rules are pure functions of their input data with no time-dependent side effects, and by recording the eligibility determination with the input values that produced it.</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NFR-006</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Reliability</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No action by one user shall corrupt or overwrite data belonging to another user's session. Concurrent manager recommendation submissions during an active WF2 cycle shall not interfere with each other or with HR's approval queue.</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WF2 cycles involve many managers submitting recommendations simultaneously within a compressed deadline window. Without row-level isolation, two managers submitting at the same moment could overwrite each other's recommendation records. This is addressed by using employee_id as the unique key on recommendation records and by using psycopg2's autocommit=False with explicit transaction control on all write operations.</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NFR-007</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Security</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database credentials, Supabase Auth keys, and API keys shall be stored as environment variables and never committed to version control. The .env file and CLAUDE.md file shall both be listed in .gitignore before the first git commit.</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Credentials committed to a public GitHub repository are discovered by automated scanners within minutes of publication. For a portfolio project with a public repository, this represents a genuine data exposure risk — the Supabase database contains synthetic but structurally realistic HR data including salary figures. Credential hygiene is also an explicit signal of professional practice that BA and data-adjacent roles will evaluate during technical interviews.</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NFR-008</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Security</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user-supplied text that is rendered in the application UI as HTML shall be escaped using Python's html.escape() function before rendering. This applies to all free-text fields including 1:1 discussion topics, agreed actions, review narratives, justification notes, and retention action descriptions.</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Streamlit renders st.markdown() and st.write() content with limited sanitisation. An employee submitting a discussion topic containing a script tag could inject executable content into the manager's session if the field is rendered without escaping. While the risk is lower in an internal application with authenticated users, the principle of escaping all user input before HTML rendering is a non-negotiable baseline security practice and is already documented in the portfolio's CLAUDE.md pattern library.</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NFR-009</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Security</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Individual salary figures shall never appear in any view accessible to the People Manager or Employee roles. This restriction shall be enforced at the database query layer — the relevant queries shall exclude the salary column from their SELECT statement — not only at the UI layer.</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Enforcing salary privacy only at the UI layer (hiding a column from display) is insufficient: a user with access to browser developer tools could inspect the underlying data response and retrieve salary values that were fetched but not displayed. The only reliable implementation is to never fetch salary data in queries that serve manager or employee views. This is a legal compliance requirement in many jurisdictions where salary confidentiality is protected by employment law.</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NFR-010</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Usability</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error states in the application — including pipeline validation failures, missing configuration, empty data states, and form submission errors — shall display a specific, actionable message. Generic error messages ('Something went wrong', 'Error 500') are not acceptable. Each error message shall describe what failed and what the user should do next.</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HR professionals using this platform are not developers. A CSV upload that fails schema validation will be encountered by an HR Analyst who may not know what 'missing column' means without context. Error messages are the user's only guide when something breaks — and in an HR process context, an unclear error often leads to abandoning the upload or calling IT support. Specific, actionable messages reduce support burden and build user trust in the platform.</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NFR-011</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Usability</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Every data table and dashboard in the application shall display a visible 'No data available' state when the relevant dataset is empty — for example, when a WF2 cycle has not yet been opened, or when no employees match the current filter selection. Empty tables shall not display as blank white space.</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Blank white space where data should appear is indistinguishable from a loading failure to a non-technical user. An explicit 'No data' state communicates that the system is functioning correctly and the absence of data is intentional. This is particularly important during initial deployment before any data has been uploaded, and in filter views where a restrictive combination of filters may legitimately return zero results.</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NFR-012</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Usability</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application shall use the locked dark theme and colour palette defined in the portfolio design standard: background #0E1117, primary colour #4DB6AC, all chart text #FAFAFA, status colours Green #27AE60 / Amber #F39C12 / Red #E74C3C, page header gradient #1B4F72 to #2E86C1. No default Streamlit light theme colours shall appear anywhere in the deployed application.</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Visual consistency across all six portfolio projects is a deliberate professional signal — it demonstrates the ability to maintain and apply a design standard rather than accepting defaults. The dark theme also improves data visibility for HR dashboards that contain dense tabular data, where light themes create glare fatigue in extended use. The palette is already implemented in S2 and S3 and is carried forward unchanged into Cadence.</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NFR-013</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Maintainability</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WF3 scoring engine shall have zero hardcoded scoring logic. All factor weights, sub-score thresholds, factor active/inactive status, and RAG band boundaries shall be read from the risk_factor_config database table on every calculation run. Modifying a factor weight shall require only an HR Admin UI action — no code change and no redeployment.</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Hardcoded scoring logic creates two problems: it makes the engine opaque (an HR Admin cannot understand why a score changed without reading source code) and it makes adjustment expensive (every calibration requires a developer deployment). The config-table architecture makes the rules engine self-documenting — the database record is the specification — and means HR can tune the model as they accumulate real data about which factors are most predictive without developer involvement.</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NFR-014</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Maintainability</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Python codebase shall be organised by workflow — one module per workflow (wf1_pipeline.py, wf4_performance.py, wf2_compensation.py, wf3_risk.py) plus shared utilities (db.py, auth.py, utils.py). No workflow logic shall be placed in app.py or page files. Page files shall contain only UI rendering code and shall call workflow module functions for all data operations.</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A codebase where pipeline logic, database queries, and UI rendering are interleaved in page files is difficult to debug and impossible to test in isolation. The module-per-workflow structure means that when a WF1 calculation produces an unexpected result, the investigation starts in wf1_pipeline.py — not in a 600-line page file. This separation also makes it possible to write unit tests for calculation logic without spinning up a Streamlit session.</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NFR-015</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Maintainability</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All database schema changes shall be implemented as versioned migration scripts stored in a /migrations directory, named with a sequential prefix and description (e.g. 001_create_headcount_snapshots.sql). No schema changes shall be applied directly to the Supabase console without a corresponding migration file in the repository.</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Direct console schema changes produce a divergence between the code repository and the actual database state. This divergence is invisible until a fresh deployment fails because the expected table or column does not exist. Migration files create a reproducible deployment path — the same sequence of SQL files applied to a fresh Supabase project produces an identical schema. This is portfolio-grade database practice and is visually impressive to technical reviewers reading the repository.</w:t>
            </w:r>
          </w:p>
        </w:tc>
      </w:tr>
      <w:tr>
        <w:tc>
          <w:tcPr>
            <w:tcW w:type="dxa" w:w="9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NFR-016</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Deployability</w:t>
            </w:r>
          </w:p>
        </w:tc>
        <w:tc>
          <w:tcPr>
            <w:tcW w:type="dxa" w:w="3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application shall be deployable to Streamlit Community Cloud from a public GitHub repository with no configuration other than setting the five required secrets: DB_HOST, DB_PORT, DB_NAME, DB_USER, DB_PASSWORD. A reviewer shall be able to fork the repository, configure the five secrets, and have a running deployed instance within 10 minutes.</w:t>
            </w:r>
          </w:p>
        </w:tc>
        <w:tc>
          <w:tcPr>
            <w:tcW w:type="dxa" w:w="38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Portfolio projects that require complex deployment steps to evaluate are evaluated less often. A five-secret deployment is the minimum viable configuration for a Supabase-backed Streamlit app and removes all friction from the reviewer experience. The SUPABASE_URL and SUPABASE_ANON_KEY secrets (for Auth) are added to this list if Supabase Auth is enabled — making the full set seven secrets maximum.</w:t>
            </w:r>
          </w:p>
        </w:tc>
      </w:tr>
      <w:tr>
        <w:tc>
          <w:tcPr>
            <w:tcW w:type="dxa" w:w="9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NFR-017</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2E86C1"/>
                <w:sz w:val="18"/>
                <w:szCs w:val="18"/>
              </w:rPr>
              <w:t xml:space="preserve">Deployability</w:t>
            </w:r>
          </w:p>
        </w:tc>
        <w:tc>
          <w:tcPr>
            <w:tcW w:type="dxa" w:w="3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9"/>
                <w:szCs w:val="19"/>
              </w:rPr>
              <w:t xml:space="preserve">The application README shall include a clearly marked 'Demo Credentials' section providing one set of pre-provisioned credentials for each of the three user roles (HR Admin, People Manager, Employee). Demo credentials shall remain valid for the lifetime of the portfolio deployment.</w:t>
            </w:r>
          </w:p>
        </w:tc>
        <w:tc>
          <w:tcPr>
            <w:tcW w:type="dxa" w:w="38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8"/>
                <w:szCs w:val="18"/>
              </w:rPr>
              <w:t xml:space="preserve">A portfolio reviewer who cannot log in within 30 seconds of arriving at the URL will leave. Pre-provisioned role credentials allow the reviewer to immediately experience each role's view of the application without having to request access, create an account, or email the author. Three sets of credentials demonstrate the role-based access model and allow the reviewer to observe data visibility differences between roles — which is a core design claim of Cadence.</w:t>
            </w:r>
          </w:p>
        </w:tc>
      </w:tr>
    </w:tbl>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8.  Data Dictionary</w:t>
      </w:r>
    </w:p>
    <w:p>
      <w:pPr>
        <w:spacing w:before="80" w:after="160"/>
        <w:jc w:val="left"/>
      </w:pPr>
      <w:r>
        <w:rPr>
          <w:rFonts w:ascii="Arial" w:cs="Arial" w:eastAsia="Arial" w:hAnsi="Arial"/>
          <w:b w:val="false"/>
          <w:bCs w:val="false"/>
          <w:color w:val="1A1A1A"/>
          <w:sz w:val="22"/>
          <w:szCs w:val="22"/>
        </w:rPr>
        <w:t xml:space="preserve">This section defines every table in the Cadence database schema. For each table, every column is documented with its data type, nullability, and a plain-language definition. Design rationale is included inline for non-obvious decisions. Primary key columns are shown in bold. All tables include COMMENT ON statements in the SQL migration scripts for database-level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6"/>
              <w:left w:val="single" w:color="2E86C1" w:sz="6"/>
              <w:bottom w:val="single" w:color="2E86C1" w:sz="6"/>
              <w:right w:val="single" w:color="2E86C1" w:sz="6"/>
            </w:tcBorders>
            <w:shd w:fill="EBF5FB" w:val="clear"/>
            <w:tcMar>
              <w:top w:type="dxa" w:w="120"/>
              <w:left w:type="dxa" w:w="180"/>
              <w:bottom w:type="dxa" w:w="120"/>
              <w:right w:type="dxa" w:w="180"/>
            </w:tcMar>
          </w:tcPr>
          <w:p>
            <w:pPr>
              <w:spacing w:before="0" w:after="40"/>
            </w:pPr>
            <w:r>
              <w:rPr>
                <w:rFonts w:ascii="Arial" w:cs="Arial" w:eastAsia="Arial" w:hAnsi="Arial"/>
                <w:b/>
                <w:bCs/>
                <w:color w:val="1B4F72"/>
                <w:sz w:val="20"/>
                <w:szCs w:val="20"/>
              </w:rPr>
              <w:t xml:space="preserve">Schema Design Principles</w:t>
            </w:r>
          </w:p>
          <w:p>
            <w:pPr>
              <w:spacing w:before="40" w:after="0"/>
            </w:pPr>
            <w:r>
              <w:rPr>
                <w:rFonts w:ascii="Arial" w:cs="Arial" w:eastAsia="Arial" w:hAnsi="Arial"/>
                <w:b w:val="false"/>
                <w:bCs w:val="false"/>
                <w:color w:val="1A1A1A"/>
                <w:sz w:val="19"/>
                <w:szCs w:val="19"/>
              </w:rPr>
              <w:t xml:space="preserve">All primary keys are UUIDs generated by gen_random_uuid(). All timestamps are TIMESTAMPTZ (timezone-aware). employee_id columns use the HRIS string identifier (e.g. EMP-0042) as a natural key across workflow tables — this allows cross-workflow joins without requiring all workflows to be aware of each other's UUID keys. The config_audit_log table covers all configuration and governance changes across WF2 and WF3.</w:t>
            </w:r>
          </w:p>
        </w:tc>
      </w:tr>
    </w:tbl>
    <w:p>
      <w:pPr>
        <w:spacing w:before="160" w:after="80"/>
      </w:pPr>
      <w:r>
        <w:t xml:space="preserve"/>
      </w:r>
    </w:p>
    <w:p>
      <w:pPr>
        <w:pStyle w:val="Heading2"/>
        <w:spacing w:before="240" w:after="80"/>
      </w:pPr>
      <w:r>
        <w:rPr>
          <w:rFonts w:ascii="Arial" w:cs="Arial" w:eastAsia="Arial" w:hAnsi="Arial"/>
          <w:b/>
          <w:bCs/>
          <w:color w:val="2E86C1"/>
          <w:sz w:val="26"/>
          <w:szCs w:val="26"/>
        </w:rPr>
        <w:t xml:space="preserve">8.1  users</w:t>
      </w:r>
    </w:p>
    <w:p>
      <w:pPr>
        <w:spacing w:before="40" w:after="100"/>
        <w:jc w:val="left"/>
      </w:pPr>
      <w:r>
        <w:rPr>
          <w:rFonts w:ascii="Arial" w:cs="Arial" w:eastAsia="Arial" w:hAnsi="Arial"/>
          <w:b w:val="false"/>
          <w:bCs w:val="false"/>
          <w:color w:val="1A1A1A"/>
          <w:sz w:val="22"/>
          <w:szCs w:val="22"/>
        </w:rPr>
        <w:t xml:space="preserve">Application user accounts. One record per person who can log in. Linked to Supabase Auth via the id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users</w:t>
            </w:r>
          </w:p>
          <w:p>
            <w:pPr>
              <w:spacing w:before="40"/>
            </w:pPr>
            <w:r>
              <w:rPr>
                <w:rFonts w:ascii="Arial" w:cs="Arial" w:eastAsia="Arial" w:hAnsi="Arial"/>
                <w:color w:val="B0C4DE"/>
                <w:sz w:val="18"/>
                <w:szCs w:val="18"/>
              </w:rPr>
              <w:t xml:space="preserve">Authentication and role management. Linked to Supabase Auth.</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 Managed by Supabase Auth — this is the auth.users.id foreign key. All application tables reference this ID for user attribution.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email</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User's login email address. Unique across the application. Sourced from Supabase Auth.</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full_name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User's display name shown in the sidebar, audit logs, and workflow attribution records.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role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Application role. One of: HR_ADMIN, MANAGER, EMPLOYEE. Enforced on every page via the require_auth() pattern. Cannot be null — every user must have an assigned role before they can access any workflow page.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Foreign key to headcount_snapshots.employee_id. Links an application user account to their HR record. Null for HR Admin accounts that do not correspond to an employee in the HRIS export (e.g. an external HR consultant).</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Self-referential FK to users.id. Identifies the user's line manager within the application. Used to scope Manager-role data access to direct reports only. Null for employees with no manager (e.g. the CEO) and for HR Admin accounts.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is_active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BOOLEAN</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Whether the user account is active. Inactive users cannot log in but their records and audit trail are retained. Defaults to TRUE on account creation.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created_at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user record was created. Set automatically on INSERT.</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last_login_at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the user's most recent successful login. Used to trigger WF3 daily recalculation on first login of day. Null if user has never logged in.</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8.2  headcount_snapshots</w:t>
      </w:r>
    </w:p>
    <w:p>
      <w:pPr>
        <w:spacing w:before="40" w:after="100"/>
        <w:jc w:val="left"/>
      </w:pPr>
      <w:r>
        <w:rPr>
          <w:rFonts w:ascii="Arial" w:cs="Arial" w:eastAsia="Arial" w:hAnsi="Arial"/>
          <w:b w:val="false"/>
          <w:bCs w:val="false"/>
          <w:color w:val="1A1A1A"/>
          <w:sz w:val="22"/>
          <w:szCs w:val="22"/>
        </w:rPr>
        <w:t xml:space="preserve">One record per employee per reporting period. Each CSV upload produces one batch of records for a single period. This is the primary data source for all WF1 KPI calculations and supplies employee master data to WF2 and WF3.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headcount_snapshots</w:t>
            </w:r>
          </w:p>
          <w:p>
            <w:pPr>
              <w:spacing w:before="40"/>
            </w:pPr>
            <w:r>
              <w:rPr>
                <w:rFonts w:ascii="Arial" w:cs="Arial" w:eastAsia="Arial" w:hAnsi="Arial"/>
                <w:color w:val="B0C4DE"/>
                <w:sz w:val="18"/>
                <w:szCs w:val="18"/>
              </w:rPr>
              <w:t xml:space="preserve">Monthly workforce snapshots. Primary source of employee master data across all workflows.</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 Generated by gen_random_uuid().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reporting_period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calendar month this record represents, stored as the first day of that month (e.g. 2026-02-01 for the February 2026 snapshot). Set from the HR Analyst's period selection at upload time — never derived from file contents. UNIQUE constraint with employee_id prevents duplicate records for the same employee and period.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HRIS employee identifier from the source CSV. Used as the natural key to link records across reporting periods for MoM and YoY comparison. Not a UUID — uses the HRIS-assigned string identifier (e.g. EMP-0042).</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first_name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Employee's first name. Used in display only — never used in calculations.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last_name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Employee's last name.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department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Department name as exported from the HRIS. Used as a primary grouping dimension in all WF1 KPI calculations and as the scoping dimension for WF2 budget pool allocation.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cost_centre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Cost centre code. Secondary grouping dimension for financial reporting views.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location</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Office or work location. Used as a filter dimension in WF1 dashboard views.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job_title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Employee's current job title. Display only.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job_family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Job family grouping (e.g. Engineering, Sales, HR). Used for pay benchmarking comparisons and as a filter dimension in WF1.</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level</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Organisational level. One of: Executive, Senior Leadership, Management, Senior Individual Contributor, Individual Contributor. Used for span of control analysis and layer analysis KPIs.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employment_type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Permanent, Fixed-term, Contractor. Drives WF2 eligibility (only Permanent employees are eligible for merit). Used in employment mix KPIs.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HRIS employee_id of this employee's line manager. Used to derive the manager hierarchy and calculate span of control. Null for employees with no manager.</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hire_date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date the employee joined the organisation. Used to calculate tenure_months and to identify new hires (hire_date within reporting period).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role_start_date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date the employee entered their current role. Distinct from hire_date — an internal promotion updates role_start_date but not hire_date. Used to calculate tenure_in_role_months, which drives WF2 eligibility and WF3 time-in-role risk factor.</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termination_date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date the employee's employment ended. Null for active employees. Populated for leavers in the period they departed.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termination_type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Voluntary, Involuntary, or null for active employees. Used to separately report voluntary and involuntary attrition rates.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salary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NUMERIC(12,2)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Current base salary in the organisation's reporting currency. Never exposed in Manager or Employee role views. Used for compa-ratio calculation in WF2 and WF3, and for budget pool calculations in WF2.</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salary_grade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Salary grade identifier (e.g. G4, L3). Foreign key to salary_bands.grade. Used to look up band midpoint and range for compa-ratio calculation.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budgeted_headcount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NUMERIC(5,0)</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approved budgeted headcount for this employee's department, as recorded in the source CSV. Null if the department has no configured budget. Used to calculate headcount_vs_budget_variance.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Active, On Leave, Terminated. Used in WF2 eligibility (On Leave and Terminated employees are excluded from merit cycles).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tenure_months</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NUMERIC(6,1)</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Calculated field: months from hire_date to the last day of the reporting_period. Populated by the WF1 pipeline during ingestion — not in the source CSV.</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tenure_in_role_months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NUMERIC(6,1)</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Calculated field: months from role_start_date to the last day of the reporting_period. Drives WF2 eligibility (minimum 6 months) and WF3 time-in-role risk factor. Populated by the pipeline.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is_new_hire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BOOLEAN</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Calculated field: TRUE if hire_date falls within the reporting_period month. Used to identify and report new hire counts and new hire attrition rate. Populated by the pipeline.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headcount_delta</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INTEGER</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Calculated field: current period active headcount for this department minus prior period active headcount for this department. Null if no prior period data exists. Populated by the pipeline.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uploaded_by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Analyst or HR Admin who submitted this upload. Stored for audit trail and data freshness indicator.</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uploaded_at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this snapshot batch was uploaded. Displayed as data freshness indicator on all dashboard views.</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8.3  pipeline_run_log</w:t>
      </w:r>
    </w:p>
    <w:p>
      <w:pPr>
        <w:spacing w:before="40" w:after="100"/>
        <w:jc w:val="left"/>
      </w:pPr>
      <w:r>
        <w:rPr>
          <w:rFonts w:ascii="Arial" w:cs="Arial" w:eastAsia="Arial" w:hAnsi="Arial"/>
          <w:b w:val="false"/>
          <w:bCs w:val="false"/>
          <w:color w:val="1A1A1A"/>
          <w:sz w:val="22"/>
          <w:szCs w:val="22"/>
        </w:rPr>
        <w:t xml:space="preserve">One record per WF1 pipeline execution. Provides the audit trail for every CSV upload, including validation warnings and rejection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pipeline_run_log</w:t>
            </w:r>
          </w:p>
          <w:p>
            <w:pPr>
              <w:spacing w:before="40"/>
            </w:pPr>
            <w:r>
              <w:rPr>
                <w:rFonts w:ascii="Arial" w:cs="Arial" w:eastAsia="Arial" w:hAnsi="Arial"/>
                <w:color w:val="B0C4DE"/>
                <w:sz w:val="18"/>
                <w:szCs w:val="18"/>
              </w:rPr>
              <w:t xml:space="preserve">Audit trail for every WF1 CSV upload and pipeline execution.</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run_timestamp</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pipeline run was initiated.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triggered_by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user who submitted the CSV upload.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reporting_period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reporting period selected by the analyst for this run.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total_records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INTEGER</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Total number of rows in the submitted CSV file.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records_processed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INTEGER</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Number of rows successfully validated and written to headcount_snapshots.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records_rejected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INTEGER</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Number of rows that failed row-level validation (e.g. invalid employment_type value). Does not include schema-level rejections — those abort before any rows are processed.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new_hire_count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INTEGER</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Count of employees with hire_date within the reporting period month.</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leaver_count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INTEGER</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Count of employees with termination_date within the reporting period month.</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threshold_flags_raised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INTEGER</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Count of threshold conditions triggered by this run's data (see WF1-FR-010).</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validation_warnings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JSON array of warning messages for non-fatal issues (e.g. departments with missing budget data). Null if no warnings.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rejection_detail</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JSON array of row-level rejection records, each containing the row number, employee_id, and the specific validation error. Null if no rows were rejected.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Success (all records processed, no fatal errors), Partial (some records processed, some rejected), Failed (pipeline aborted — schema validation failure or system error).</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is_overwrite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BOOLEAN</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TRUE if this run replaced an existing snapshot for the same reporting period. FALSE for new period uploads. Stored for audit trail.</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8.4  salary_bands</w:t>
      </w:r>
    </w:p>
    <w:p>
      <w:pPr>
        <w:spacing w:before="40" w:after="100"/>
        <w:jc w:val="left"/>
      </w:pPr>
      <w:r>
        <w:rPr>
          <w:rFonts w:ascii="Arial" w:cs="Arial" w:eastAsia="Arial" w:hAnsi="Arial"/>
          <w:b w:val="false"/>
          <w:bCs w:val="false"/>
          <w:color w:val="1A1A1A"/>
          <w:sz w:val="22"/>
          <w:szCs w:val="22"/>
        </w:rPr>
        <w:t xml:space="preserve">Salary band definitions by grade, maintained by HR Admin. Supports point-in-time lookup via effective_from / effective_to to preserve historical compa-ratio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salary_bands</w:t>
            </w:r>
          </w:p>
          <w:p>
            <w:pPr>
              <w:spacing w:before="40"/>
            </w:pPr>
            <w:r>
              <w:rPr>
                <w:rFonts w:ascii="Arial" w:cs="Arial" w:eastAsia="Arial" w:hAnsi="Arial"/>
                <w:color w:val="B0C4DE"/>
                <w:sz w:val="18"/>
                <w:szCs w:val="18"/>
              </w:rPr>
              <w:t xml:space="preserve">Salary band midpoints and ranges by grade. Drives compa-ratio calculations in WF2 and WF3.</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grade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Salary grade identifier. Matches the salary_grade column in headcount_snapshots. Used as the join key for compa-ratio calculation.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job_family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Job family this band applies to. Null if the band applies across all job families for this grade.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band_minimum</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NUMERIC(12,2)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lower bound of the salary band for this grade.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band_midpoint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NUMERIC(12,2)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midpoint of the salary band. The compa-ratio is calculated as employee salary ÷ band_midpoint. A compa-ratio of 1.0 means the employee is paid exactly at midpoint.</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band_maximum</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NUMERIC(12,2)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upper bound of the salary band. WF2-FR-011 flags any recommendation that would place an employee above this value.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effective_from</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date from which this band definition is effective. Allows bands to be updated for a new cycle without losing historical band values.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effective_to</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date this band definition expires. Null for the current active band. Enables a point-in-time lookup of which band was in effect during any historical review cycle.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updated_by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Admin who last updated this band definition.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updated_at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the most recent update to this record.</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8.5  performance_reviews</w:t>
      </w:r>
    </w:p>
    <w:p>
      <w:pPr>
        <w:spacing w:before="40" w:after="100"/>
        <w:jc w:val="left"/>
      </w:pPr>
      <w:r>
        <w:rPr>
          <w:rFonts w:ascii="Arial" w:cs="Arial" w:eastAsia="Arial" w:hAnsi="Arial"/>
          <w:b w:val="false"/>
          <w:bCs w:val="false"/>
          <w:color w:val="1A1A1A"/>
          <w:sz w:val="22"/>
          <w:szCs w:val="22"/>
        </w:rPr>
        <w:t xml:space="preserve">Quarterly review records. A single record covers both the closing of the prior quarter and the opening of the next quarter (dual-endpoint design). Moves through a defined status lifecycle from self-assessment to HR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performance_reviews</w:t>
            </w:r>
          </w:p>
          <w:p>
            <w:pPr>
              <w:spacing w:before="40"/>
            </w:pPr>
            <w:r>
              <w:rPr>
                <w:rFonts w:ascii="Arial" w:cs="Arial" w:eastAsia="Arial" w:hAnsi="Arial"/>
                <w:color w:val="B0C4DE"/>
                <w:sz w:val="18"/>
                <w:szCs w:val="18"/>
              </w:rPr>
              <w:t xml:space="preserve">Quarterly review records covering the full lifecycle from self-assessment to HR approval.</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headcount_snapshots.employee_id. Identifies the employee this review belongs to.</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manager who submitted this quarterly review.</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review_quarter</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quarter this review covers. Format: YYYY-QN (e.g. 2026-Q1). Used to identify the review period for WF2 eligibility and WF3 rating trajectory calculations.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review_type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QUARTERLY. Retained as a type column to allow monthly check-in records to be stored in a related table with the same review_quarter scoping.</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Review lifecycle state. One of: SELF_ASSESSMENT_PENDING, MANAGER_REVIEW_PENDING, PENDING_HR_APPROVAL, APPROVED, RETURNED. The dual-endpoint design means a single record moves through all states from self-assessment to HR approval.</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self_assessment_submitted_at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employee submitted their self-assessment. Null until submitted.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manager_submitted_at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manager submitted their ratings and narrative.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hr_approved_by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Admin who approved this review. Null until approved.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hr_approved_at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HR approval. This is the formal trigger that makes the review available to WF2 eligibility engine and surfaces results to the employee.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rating_overall</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Composite overall rating. One of: EXCEEDS, MEETS, BELOW, NEW_TO_ROLE. Populated by the manager at review submission. This is the field consumed by the WF2 eligibility engine.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rating_delivery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Dimension 2 rating (quality and timeliness of outputs). Same four-value scale as rating_overall.</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rating_behaviour</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Dimension 3 rating (behaviour and values alignment).</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rating_development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Dimension 4 rating (progress against development objectives).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narrative_overall</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written narrative for the overall rating dimension.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self_assessment_text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Employee's self-assessment narrative. Stored separately from manager narrative to maintain clear authorship. Visible to manager and HR Admin only.</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return_note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Admin's written note when returning a review to the manager for revision. Null for reviews not returned.</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8.6  one_on_ones</w:t>
      </w:r>
    </w:p>
    <w:p>
      <w:pPr>
        <w:spacing w:before="40" w:after="100"/>
        <w:jc w:val="left"/>
      </w:pPr>
      <w:r>
        <w:rPr>
          <w:rFonts w:ascii="Arial" w:cs="Arial" w:eastAsia="Arial" w:hAnsi="Arial"/>
          <w:b w:val="false"/>
          <w:bCs w:val="false"/>
          <w:color w:val="1A1A1A"/>
          <w:sz w:val="22"/>
          <w:szCs w:val="22"/>
        </w:rPr>
        <w:t xml:space="preserve">Weekly 1:1 records. One per employee per calendar week. Employee topics and manager closure fields are stored in the same record. Sentiment flags are stored here and feed directly into the WF3 scoring engine — they are never exposed to the Employee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one_on_ones</w:t>
            </w:r>
          </w:p>
          <w:p>
            <w:pPr>
              <w:spacing w:before="40"/>
            </w:pPr>
            <w:r>
              <w:rPr>
                <w:rFonts w:ascii="Arial" w:cs="Arial" w:eastAsia="Arial" w:hAnsi="Arial"/>
                <w:color w:val="B0C4DE"/>
                <w:sz w:val="18"/>
                <w:szCs w:val="18"/>
              </w:rPr>
              <w:t xml:space="preserve">Weekly 1:1 records. Tracks employee topics, manager closure data, and sentiment flags.</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headcount_snapshots.employee_id.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manager responsible for closing this record.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week_start_date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Monday of the calendar week this 1:1 record belongs to. UNIQUE with employee_id — one record per employee per week.</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OPEN (created, employee may add topics), COMPLETE (manager has submitted), MISSED (14-day alert triggered without completion).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employee_topics</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JSON array of discussion topics and agenda items submitted by the employee during the week. Each item stores text and submission_timestamp. Null if employee submitted no topics.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agreed_actions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free-text record of agreed actions from the 1:1. Acceptable value is 'None this week'. Null until manager submits.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blockers_raised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free-text record of any blockers raised. Null if no blockers.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sentiment_flag</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sentiment assessment for this 1:1. One of: POSITIVE, NEUTRAL, CONCERNING. Mandatory for record completion. Never visible to the Employee role — enforced at query layer.</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manager_submitted_at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manager closed and submitted this record. Null for OPEN and MISSED records.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missed_alert_sent_at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14-day missed alert was dispatched. Null if not triggered.</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8.7  monthly_checkins</w:t>
      </w:r>
    </w:p>
    <w:p>
      <w:pPr>
        <w:spacing w:before="40" w:after="100"/>
        <w:jc w:val="left"/>
      </w:pPr>
      <w:r>
        <w:rPr>
          <w:rFonts w:ascii="Arial" w:cs="Arial" w:eastAsia="Arial" w:hAnsi="Arial"/>
          <w:b w:val="false"/>
          <w:bCs w:val="false"/>
          <w:color w:val="1A1A1A"/>
          <w:sz w:val="22"/>
          <w:szCs w:val="22"/>
        </w:rPr>
        <w:t xml:space="preserve">Monthly check-in records. Manager-submitted. Employee acknowledgement is mandatory for a record to reach ACKNOWLEDGED status — the check-in is not complete until the employee confirms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monthly_checkins</w:t>
            </w:r>
          </w:p>
          <w:p>
            <w:pPr>
              <w:spacing w:before="40"/>
            </w:pPr>
            <w:r>
              <w:rPr>
                <w:rFonts w:ascii="Arial" w:cs="Arial" w:eastAsia="Arial" w:hAnsi="Arial"/>
                <w:color w:val="B0C4DE"/>
                <w:sz w:val="18"/>
                <w:szCs w:val="18"/>
              </w:rPr>
              <w:t xml:space="preserve">Monthly check-in records with goal progress tracking and employee acknowledgement.</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headcount_snapshots.employee_id.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checkin_period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First day of the calendar month this check-in covers (e.g. 2026-02-01). UNIQUE with employee_id.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SUBMITTED (manager submitted, awaiting acknowledgement), ACKNOWLEDGED (employee confirmed receipt — final state).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goal_progress</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JSON object mapping goal_id to progress_percentage (0–100). Each active quarterly objective must have a progress entry. Structure: [{goal_id, goal_description, progress_pct}].</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key_achievements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free-text narrative of key achievements for the month.</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development_focus</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free-text description of the development focus for the coming month.</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sentiment_rating</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overall assessment of the month. One of: POSITIVE, NEUTRAL, CONCERNING. Consistent with weekly 1:1 sentiment scale to allow cross-period comparison.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manager_submitted_at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manager submitted this check-in.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employee_acknowledged_at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employee confirmed receipt. Null until acknowledged. A check-in is not ACKNOWLEDGED until this field is populated.</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8.8  merit_cycles</w:t>
      </w:r>
    </w:p>
    <w:p>
      <w:pPr>
        <w:spacing w:before="40" w:after="100"/>
        <w:jc w:val="left"/>
      </w:pPr>
      <w:r>
        <w:rPr>
          <w:rFonts w:ascii="Arial" w:cs="Arial" w:eastAsia="Arial" w:hAnsi="Arial"/>
          <w:b w:val="false"/>
          <w:bCs w:val="false"/>
          <w:color w:val="1A1A1A"/>
          <w:sz w:val="22"/>
          <w:szCs w:val="22"/>
        </w:rPr>
        <w:t xml:space="preserve">One record per compensation review cycle. Tracks the lifecycle of each bi-annual cycle from creation through to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merit_cycles</w:t>
            </w:r>
          </w:p>
          <w:p>
            <w:pPr>
              <w:spacing w:before="40"/>
            </w:pPr>
            <w:r>
              <w:rPr>
                <w:rFonts w:ascii="Arial" w:cs="Arial" w:eastAsia="Arial" w:hAnsi="Arial"/>
                <w:color w:val="B0C4DE"/>
                <w:sz w:val="18"/>
                <w:szCs w:val="18"/>
              </w:rPr>
              <w:t xml:space="preserve">Compensation review cycle metadata and lifecycle state.</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cycle_label</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Human-readable identifier. One of: CYCLE_1_YYYY or CYCLE_2_YYYY (e.g. CYCLE_1_2026).</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cycle_period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performance period covered. One of: JAN_JUN or JUL_DEC.</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employee_group</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employee population this cycle covers. One of: GENERAL, SALES.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DRAFT (created but not opened), OPEN (active — managers can submit), CLOSED (submission deadline passed), COMPLETE (all approvals finalised).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submission_deadline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date by which managers must submit their recommendations. Set by HR Admin when opening the cycle.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total_budget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NUMERIC(15,2)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Company-wide total merit budget for this cycle, entered by HR/Finance at cycle open.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opened_by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Admin who opened this cycle.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opened_at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cycle was opened.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closed_at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cycle was closed. Null until closure.</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8.9  merit_eligibility</w:t>
      </w:r>
    </w:p>
    <w:p>
      <w:pPr>
        <w:spacing w:before="40" w:after="100"/>
        <w:jc w:val="left"/>
      </w:pPr>
      <w:r>
        <w:rPr>
          <w:rFonts w:ascii="Arial" w:cs="Arial" w:eastAsia="Arial" w:hAnsi="Arial"/>
          <w:b w:val="false"/>
          <w:bCs w:val="false"/>
          <w:color w:val="1A1A1A"/>
          <w:sz w:val="22"/>
          <w:szCs w:val="22"/>
        </w:rPr>
        <w:t xml:space="preserve">One record per employee per cycle. Stores the system-generated eligibility determination, the reasons for any ineligibility, and the complete override record if HR Admin has overridden the system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merit_eligibility</w:t>
            </w:r>
          </w:p>
          <w:p>
            <w:pPr>
              <w:spacing w:before="40"/>
            </w:pPr>
            <w:r>
              <w:rPr>
                <w:rFonts w:ascii="Arial" w:cs="Arial" w:eastAsia="Arial" w:hAnsi="Arial"/>
                <w:color w:val="B0C4DE"/>
                <w:sz w:val="18"/>
                <w:szCs w:val="18"/>
              </w:rPr>
              <w:t xml:space="preserve">Eligibility determination records per employee per cycle, including override audit trail.</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cycle_id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merit_cycles.id.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headcount_snapshots.employee_id. UNIQUE with cycle_id — one eligibility record per employee per cycle.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determination</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System-generated eligibility result. One of: ELIGIBLE, INELIGIBLE, EXCLUDED. Set by the eligibility engine at cycle open and recalculated if HR triggers a refresh.</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ineligibility_reasons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JSON array listing which eligibility criteria were failed (e.g. ['employment_type != Permanent', 'tenure_in_role_months &lt; 6']). Null for ELIGIBLE and EXCLUDED records.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exclusion_reason</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specific automatic exclusion rule that applied (e.g. 'hired within 90 days', 'on_leave', 'active_pip'). Null for ELIGIBLE and INELIGIBLE records.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override_determination</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Admin's override decision, if any. One of: ELIGIBLE, EXCLUDED. Null if no override was applied.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override_justification</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Mandatory free-text justification for the override. Null if no override applied.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overridden_by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Admin who applied the override.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overridden_at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the override action.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effective_determination</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determination that the recommendation engine acts on. Equals override_determination if an override exists, otherwise equals determination. Always one of: ELIGIBLE, INELIGIBLE, EXCLUDED.</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8.10  merit_recommendations</w:t>
      </w:r>
    </w:p>
    <w:p>
      <w:pPr>
        <w:spacing w:before="40" w:after="100"/>
        <w:jc w:val="left"/>
      </w:pPr>
      <w:r>
        <w:rPr>
          <w:rFonts w:ascii="Arial" w:cs="Arial" w:eastAsia="Arial" w:hAnsi="Arial"/>
          <w:b w:val="false"/>
          <w:bCs w:val="false"/>
          <w:color w:val="1A1A1A"/>
          <w:sz w:val="22"/>
          <w:szCs w:val="22"/>
        </w:rPr>
        <w:t xml:space="preserve">Manager recommendation records. One per eligible employee per cycle. Moves through a status lifecycle from DRAFT to APPROVED. Stores the full approval chain including CHRO escalation where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merit_recommendations</w:t>
            </w:r>
          </w:p>
          <w:p>
            <w:pPr>
              <w:spacing w:before="40"/>
            </w:pPr>
            <w:r>
              <w:rPr>
                <w:rFonts w:ascii="Arial" w:cs="Arial" w:eastAsia="Arial" w:hAnsi="Arial"/>
                <w:color w:val="B0C4DE"/>
                <w:sz w:val="18"/>
                <w:szCs w:val="18"/>
              </w:rPr>
              <w:t xml:space="preserve">Manager merit recommendations and the full approval chain through HR/Finance and CHRO.</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cycle_id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merit_cycles.id.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headcount_snapshots.employee_id.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manager who submitted this recommendation.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base_increase_pct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Recommended base salary increase as a percentage (e.g. 4.50 for 4.5%). 0.00 is a valid value but requires a justification_note.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bonus_amount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NUMERIC(12,2)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Recommended one-time bonus in currency. 0.00 if no bonus recommended.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effective_date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Proposed effective date for the base salary increase.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justification_note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Manager's free-text justification. Mandatory when base_increase_pct = 0 and bonus_amount = 0.</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Recommendation lifecycle state. One of: DRAFT, SUBMITTED, PENDING_APPROVAL, PENDING_CHRO, APPROVED, REJECTED, PENDING_ESCALATION (pool exceeded).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exceeds_band_max</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BOOLEAN</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TRUE if the recommended increase would move the employee above their salary band maximum. Triggers automatic HR review routing per WF2-FR-011.</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submitted_at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manager submitted this recommendation.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approved_by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Admin or Finance reviewer who approved.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approved_at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approval.</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chro_approved_by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CHRO who approved a large recommendation. Null if CHRO approval was not required.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chro_approved_at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CHRO approval.</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8.11  risk_factor_config</w:t>
      </w:r>
    </w:p>
    <w:p>
      <w:pPr>
        <w:spacing w:before="40" w:after="100"/>
        <w:jc w:val="left"/>
      </w:pPr>
      <w:r>
        <w:rPr>
          <w:rFonts w:ascii="Arial" w:cs="Arial" w:eastAsia="Arial" w:hAnsi="Arial"/>
          <w:b w:val="false"/>
          <w:bCs w:val="false"/>
          <w:color w:val="1A1A1A"/>
          <w:sz w:val="22"/>
          <w:szCs w:val="22"/>
        </w:rPr>
        <w:t xml:space="preserve">The configuration table that the WF3 scoring engine reads exclusively on every calculation run. No scoring logic is hardcoded — all weights, thresholds, and active/inactive states live here. HR Admin edits are reflected in the next recalculation run without redeployment.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risk_factor_config</w:t>
            </w:r>
          </w:p>
          <w:p>
            <w:pPr>
              <w:spacing w:before="40"/>
            </w:pPr>
            <w:r>
              <w:rPr>
                <w:rFonts w:ascii="Arial" w:cs="Arial" w:eastAsia="Arial" w:hAnsi="Arial"/>
                <w:color w:val="B0C4DE"/>
                <w:sz w:val="18"/>
                <w:szCs w:val="18"/>
              </w:rPr>
              <w:t xml:space="preserve">WF3 scoring engine configuration. All factor weights, thresholds, and active status. HR-editable from the UI.</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factor_code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Short identifier used by the scoring engine to reference this factor in code. One of: COMPA_RATIO, RATING_TRAJECTORY, TIME_SINCE_MERIT, TIME_IN_ROLE, SENTIMENT_TREND, CHECKIN_FREQUENCY, FLIGHT_RISK_ROLE. Unique and immutable — changing a factor_code breaks the engine.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factor_name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Human-readable name displayed in the HR Admin configuration panel and in the Risk Register factor breakdown.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factor_description</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Plain-language explanation of what this factor measures and why it indicates attrition risk.</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data_source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workflow that provides input data for this factor. One of: WF1, WF2, WF4, CONFIG.</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is_active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BOOLEAN</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Whether this factor is included in score calculations. Inactive factors are skipped and their weight is redistributed.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weight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This factor's percentage contribution to the composite score (0–100). The sum of all active factor weights must equal 100.00. Validated by the application before saving any configuration change.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threshold_medium</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NUMERIC(10,2)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value at which the sub-score transitions from 0 (no signal) to 50 (medium signal). Interpretation varies by factor — for COMPA_RATIO this is the ratio value; for CHECKIN_FREQUENCY it is a count of missed 1:1s.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threshold_high</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NUMERIC(10,2)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value at which the sub-score transitions from 50 (medium signal) to 100 (high signal).</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threshold_direction</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BELOW (sub-score increases as the value falls below the threshold — used for COMPA_RATIO) or ABOVE (sub-score increases as the value rises above the threshold — used for all other factors).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is_binary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BOOLEAN</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TRUE for factors with only two states (0 or 100, no medium tier). Currently TRUE for FLIGHT_RISK_ROLE only.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updated_by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Admin who last modified this configuration record.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updated_at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the most recent change.</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8.12  attrition_risk_scores</w:t>
      </w:r>
    </w:p>
    <w:p>
      <w:pPr>
        <w:spacing w:before="40" w:after="100"/>
        <w:jc w:val="left"/>
      </w:pPr>
      <w:r>
        <w:rPr>
          <w:rFonts w:ascii="Arial" w:cs="Arial" w:eastAsia="Arial" w:hAnsi="Arial"/>
          <w:b w:val="false"/>
          <w:bCs w:val="false"/>
          <w:color w:val="1A1A1A"/>
          <w:sz w:val="22"/>
          <w:szCs w:val="22"/>
        </w:rPr>
        <w:t xml:space="preserve">One record per employee per day. Stores the composite score, RAG status, and each of the seven factor sub-scores at the time of calculation. Also stores a JSON snapshot of the config state, ensuring the score can be reproduced exactly for any historical date regardless of subsequent configuration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attrition_risk_scores</w:t>
            </w:r>
          </w:p>
          <w:p>
            <w:pPr>
              <w:spacing w:before="40"/>
            </w:pPr>
            <w:r>
              <w:rPr>
                <w:rFonts w:ascii="Arial" w:cs="Arial" w:eastAsia="Arial" w:hAnsi="Arial"/>
                <w:color w:val="B0C4DE"/>
                <w:sz w:val="18"/>
                <w:szCs w:val="18"/>
              </w:rPr>
              <w:t xml:space="preserve">Daily composite risk scores and per-factor sub-scores. Permanent audit trail of every calculation run.</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headcount_snapshots.employee_id.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calculation_date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DATE</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date this score was calculated. UNIQUE with employee_id — one score record per employee per day.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composite_score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weighted sum of all active factor sub-scores. Range 0–100.</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rag_status</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GREEN, AMBER, RED. Derived from composite_score against the RAG thresholds in risk_factor_config.</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score_compa_ratio</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(0, 50, or 100) for the COMPA_RATIO factor at the time of calculation.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score_rating_trajectory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for RATING_TRAJECTORY.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score_time_since_merit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for TIME_SINCE_MERIT.</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score_time_in_role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for TIME_IN_ROLE.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score_sentiment_trend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for SENTIMENT_TREND.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score_checkin_frequency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for CHECKIN_FREQUENCY.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score_flight_risk_role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for FLIGHT_RISK_ROLE.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config_snapshot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JSON snapshot of the risk_factor_config state (weights and thresholds) at the time of calculation. Ensures the audit trail can reproduce the score exactly, even if configuration is subsequently changed.</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8.13  retention_actions</w:t>
      </w:r>
    </w:p>
    <w:p>
      <w:pPr>
        <w:spacing w:before="40" w:after="100"/>
        <w:jc w:val="left"/>
      </w:pPr>
      <w:r>
        <w:rPr>
          <w:rFonts w:ascii="Arial" w:cs="Arial" w:eastAsia="Arial" w:hAnsi="Arial"/>
          <w:b w:val="false"/>
          <w:bCs w:val="false"/>
          <w:color w:val="1A1A1A"/>
          <w:sz w:val="22"/>
          <w:szCs w:val="22"/>
        </w:rPr>
        <w:t xml:space="preserve">Retention intervention records created when an HR Admin flags an employee from the Risk Register. Tracks the action taken and the outcome, allowing HR to measure whether interventions are effective at reducing risk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retention_actions</w:t>
            </w:r>
          </w:p>
          <w:p>
            <w:pPr>
              <w:spacing w:before="40"/>
            </w:pPr>
            <w:r>
              <w:rPr>
                <w:rFonts w:ascii="Arial" w:cs="Arial" w:eastAsia="Arial" w:hAnsi="Arial"/>
                <w:color w:val="B0C4DE"/>
                <w:sz w:val="18"/>
                <w:szCs w:val="18"/>
              </w:rPr>
              <w:t xml:space="preserve">Retention intervention records linked to attrition risk flags.</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employee_id</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headcount_snapshots.employee_id.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flagged_by</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 The HR Admin who flagged this employee for a retention intervention.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flagged_at</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flag was created.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risk_score_at_flag</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NUMERIC(5,2)</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composite risk score at the time the flag was created. Retained so HR can track whether the intervention moves the score.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rag_at_flag</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RAG status at the time of flagging. One of: AMBER, RED.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action_description</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Free-text description of the retention action taken (e.g. 'Compensation review initiated', 'Promotion discussion opened with HRBP'). Updated when HR records the action.</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outcome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Free-text description of the outcome. Populated when the action is closed.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resolved_at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when the retention action was closed. Null for open actions.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status</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OPEN, RESOLVED.</w:t>
            </w:r>
          </w:p>
        </w:tc>
      </w:tr>
    </w:tbl>
    <w:p>
      <w:pPr>
        <w:spacing w:before="200" w:after="80"/>
      </w:pPr>
      <w:r>
        <w:t xml:space="preserve"/>
      </w:r>
    </w:p>
    <w:p>
      <w:pPr>
        <w:pStyle w:val="Heading2"/>
        <w:spacing w:before="240" w:after="80"/>
      </w:pPr>
      <w:r>
        <w:rPr>
          <w:rFonts w:ascii="Arial" w:cs="Arial" w:eastAsia="Arial" w:hAnsi="Arial"/>
          <w:b/>
          <w:bCs/>
          <w:color w:val="2E86C1"/>
          <w:sz w:val="26"/>
          <w:szCs w:val="26"/>
        </w:rPr>
        <w:t xml:space="preserve">8.14  config_audit_log</w:t>
      </w:r>
    </w:p>
    <w:p>
      <w:pPr>
        <w:spacing w:before="40" w:after="100"/>
        <w:jc w:val="left"/>
      </w:pPr>
      <w:r>
        <w:rPr>
          <w:rFonts w:ascii="Arial" w:cs="Arial" w:eastAsia="Arial" w:hAnsi="Arial"/>
          <w:b w:val="false"/>
          <w:bCs w:val="false"/>
          <w:color w:val="1A1A1A"/>
          <w:sz w:val="22"/>
          <w:szCs w:val="22"/>
        </w:rPr>
        <w:t xml:space="preserve">Permanent, non-deletable audit log covering all configuration and governance changes across WF2 and WF3. Every write to risk_factor_config, merit_cycles, merit_eligibility (for overrides), and retention_actions produces a record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5360"/>
      </w:tblGrid>
      <w:tr>
        <w:tc>
          <w:tcPr>
            <w:tcW w:type="dxa" w:w="9360"/>
            <w:gridSpan w:val="4"/>
            <w:tcBorders>
              <w:top w:val="single" w:color="2E86C1" w:sz="4"/>
              <w:left w:val="single" w:color="2E86C1" w:sz="4"/>
              <w:bottom w:val="single" w:color="2E86C1" w:sz="4"/>
              <w:right w:val="single" w:color="2E86C1" w:sz="4"/>
            </w:tcBorders>
            <w:shd w:fill="1B4F72" w:val="clear"/>
            <w:tcMar>
              <w:top w:type="dxa" w:w="100"/>
              <w:left w:type="dxa" w:w="120"/>
              <w:bottom w:type="dxa" w:w="100"/>
              <w:right w:type="dxa" w:w="120"/>
            </w:tcMar>
          </w:tcPr>
          <w:p>
            <w:r>
              <w:rPr>
                <w:rFonts w:ascii="Arial" w:cs="Arial" w:eastAsia="Arial" w:hAnsi="Arial"/>
                <w:b/>
                <w:bCs/>
                <w:color w:val="FFFFFF"/>
                <w:sz w:val="22"/>
                <w:szCs w:val="22"/>
              </w:rPr>
              <w:t xml:space="preserve">config_audit_log</w:t>
            </w:r>
          </w:p>
          <w:p>
            <w:pPr>
              <w:spacing w:before="40"/>
            </w:pPr>
            <w:r>
              <w:rPr>
                <w:rFonts w:ascii="Arial" w:cs="Arial" w:eastAsia="Arial" w:hAnsi="Arial"/>
                <w:color w:val="B0C4DE"/>
                <w:sz w:val="18"/>
                <w:szCs w:val="18"/>
              </w:rPr>
              <w:t xml:space="preserve">Non-deletable audit trail for all configuration and governance changes across WF2 and WF3.</w:t>
            </w:r>
          </w:p>
        </w:tc>
      </w:tr>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Column</w:t>
            </w:r>
          </w:p>
        </w:tc>
        <w:tc>
          <w:tcPr>
            <w:tcW w:type="dxa" w:w="12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Null?</w:t>
            </w:r>
          </w:p>
        </w:tc>
        <w:tc>
          <w:tcPr>
            <w:tcW w:type="dxa" w:w="53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Primary key.</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changed_by</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FK to users.id.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changed_at</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TIMESTAMPTZ</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Timestamp of the change.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table_name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table that was modified (e.g. risk_factor_config, merit_cycles).</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record_id</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UUID</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primary key of the record that was modified.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field_name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column that was changed.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old_value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value before the change, cast to TEXT. Null for INSERT operations.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new_value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The value after the change, cast to TEXT.</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action_type</w:t>
            </w:r>
          </w:p>
        </w:tc>
        <w:tc>
          <w:tcPr>
            <w:tcW w:type="dxa" w:w="12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922B21"/>
                <w:sz w:val="17"/>
                <w:szCs w:val="17"/>
              </w:rPr>
              <w:t xml:space="preserve">NO</w:t>
            </w:r>
          </w:p>
        </w:tc>
        <w:tc>
          <w:tcPr>
            <w:tcW w:type="dxa" w:w="53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One of: INSERT, UPDATE, DELETE.</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context_note</w:t>
            </w:r>
          </w:p>
        </w:tc>
        <w:tc>
          <w:tcPr>
            <w:tcW w:type="dxa" w:w="12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TEXT</w:t>
            </w:r>
          </w:p>
        </w:tc>
        <w:tc>
          <w:tcPr>
            <w:tcW w:type="dxa" w:w="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595959"/>
                <w:sz w:val="17"/>
                <w:szCs w:val="17"/>
              </w:rPr>
              <w:t xml:space="preserve">YES</w:t>
            </w:r>
          </w:p>
        </w:tc>
        <w:tc>
          <w:tcPr>
            <w:tcW w:type="dxa" w:w="53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Optional free-text note added by the user at the time of the change (e.g. the justification for a WF2 eligibility override).</w:t>
            </w:r>
          </w:p>
        </w:tc>
      </w:tr>
    </w:tbl>
    <w:p>
      <w:r>
        <w:br w:type="page"/>
      </w:r>
    </w:p>
    <w:p>
      <w:pPr>
        <w:pStyle w:val="Heading1"/>
        <w:pBdr>
          <w:bottom w:val="single" w:color="1B4F72" w:sz="8" w:space="4"/>
        </w:pBdr>
        <w:spacing w:before="360" w:after="120"/>
      </w:pPr>
      <w:r>
        <w:rPr>
          <w:rFonts w:ascii="Arial" w:cs="Arial" w:eastAsia="Arial" w:hAnsi="Arial"/>
          <w:b/>
          <w:bCs/>
          <w:color w:val="1B4F72"/>
          <w:sz w:val="32"/>
          <w:szCs w:val="32"/>
        </w:rPr>
        <w:t xml:space="preserve">9.  Traceability Matrix</w:t>
      </w:r>
    </w:p>
    <w:p>
      <w:pPr>
        <w:spacing w:before="80" w:after="120"/>
        <w:jc w:val="left"/>
      </w:pPr>
      <w:r>
        <w:rPr>
          <w:rFonts w:ascii="Arial" w:cs="Arial" w:eastAsia="Arial" w:hAnsi="Arial"/>
          <w:b w:val="false"/>
          <w:bCs w:val="false"/>
          <w:color w:val="1A1A1A"/>
          <w:sz w:val="22"/>
          <w:szCs w:val="22"/>
        </w:rPr>
        <w:t xml:space="preserve">This section maps every functional requirement in Section 6 to its originating objective from Section 2 and to the BPMN diagram that models the corresponding process. The matrix provides forward traceability (objective → requirement) and cross-reference traceability (requirement → diagram). Section 9.2 summarises objective coverage — confirming that every objective has at least one functional requirement tracing to it. Section 9.3 maps requirements to BPMN diagrams.</w:t>
      </w:r>
    </w:p>
    <w:p>
      <w:pPr>
        <w:pStyle w:val="Heading2"/>
        <w:spacing w:before="240" w:after="80"/>
      </w:pPr>
      <w:r>
        <w:rPr>
          <w:rFonts w:ascii="Arial" w:cs="Arial" w:eastAsia="Arial" w:hAnsi="Arial"/>
          <w:b/>
          <w:bCs/>
          <w:color w:val="2E86C1"/>
          <w:sz w:val="26"/>
          <w:szCs w:val="26"/>
        </w:rPr>
        <w:t xml:space="preserve">9.1  Full Requirements Traceability Table</w:t>
      </w:r>
    </w:p>
    <w:p>
      <w:pPr>
        <w:spacing w:before="40" w:after="120"/>
        <w:jc w:val="left"/>
      </w:pPr>
      <w:r>
        <w:rPr>
          <w:rFonts w:ascii="Arial" w:cs="Arial" w:eastAsia="Arial" w:hAnsi="Arial"/>
          <w:b w:val="false"/>
          <w:bCs w:val="false"/>
          <w:color w:val="1A1A1A"/>
          <w:sz w:val="22"/>
          <w:szCs w:val="22"/>
        </w:rPr>
        <w:t xml:space="preserve">Every functional requirement, its MoSCoW priority, the objectives it satisfies, and the BPMN diagram(s) that model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800"/>
        <w:gridCol w:w="1600"/>
        <w:gridCol w:w="2060"/>
      </w:tblGrid>
      <w:tr>
        <w:trPr>
          <w:tblHeader/>
        </w:trPr>
        <w:tc>
          <w:tcPr>
            <w:tcW w:type="dxa" w:w="11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 ID</w:t>
            </w:r>
          </w:p>
        </w:tc>
        <w:tc>
          <w:tcPr>
            <w:tcW w:type="dxa" w:w="3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 Summary</w:t>
            </w:r>
          </w:p>
        </w:tc>
        <w:tc>
          <w:tcPr>
            <w:tcW w:type="dxa" w:w="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Priority</w:t>
            </w:r>
          </w:p>
        </w:tc>
        <w:tc>
          <w:tcPr>
            <w:tcW w:type="dxa" w:w="16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Traces To</w:t>
            </w:r>
          </w:p>
        </w:tc>
        <w:tc>
          <w:tcPr>
            <w:tcW w:type="dxa" w:w="20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BPMN Diagram</w:t>
            </w:r>
          </w:p>
        </w:tc>
      </w:tr>
      <w:tr>
        <w:tc>
          <w:tcPr>
            <w:tcW w:type="dxa" w:w="9360"/>
            <w:gridSpan w:val="5"/>
            <w:tcBorders>
              <w:top w:val="single" w:color="2E86C1" w:sz="4"/>
              <w:left w:val="single" w:color="2E86C1" w:sz="4"/>
              <w:bottom w:val="single" w:color="2E86C1" w:sz="4"/>
              <w:right w:val="single" w:color="2E86C1" w:sz="4"/>
            </w:tcBorders>
            <w:shd w:fill="1B4F72" w:val="clear"/>
            <w:tcMar>
              <w:top w:type="dxa" w:w="90"/>
              <w:left w:type="dxa" w:w="120"/>
              <w:bottom w:type="dxa" w:w="90"/>
              <w:right w:type="dxa" w:w="120"/>
            </w:tcMar>
          </w:tcPr>
          <w:p>
            <w:r>
              <w:rPr>
                <w:rFonts w:ascii="Arial" w:cs="Arial" w:eastAsia="Arial" w:hAnsi="Arial"/>
                <w:b/>
                <w:bCs/>
                <w:color w:val="FFFFFF"/>
                <w:sz w:val="20"/>
                <w:szCs w:val="20"/>
              </w:rPr>
              <w:t xml:space="preserve">WF1 — Headcount &amp; Workforce Reporting Automation</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WF1-FR-001</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CSV upload control and period selector on Data Management page; analyst confirms period before submission</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WF1-FR-002</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Schema validation before processing; hard reject if any of 18 required columns is absent</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WF1-FR-003</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Row-level validation of employment_type, status, and termination_type values; rejected rows logged with specific errors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WF1-FR-004</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Duplicate period protection; overwrite requires explicit analyst confirmation</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WF1-FR-005</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Full pipeline run log: timestamp, user, period, record counts, flags raised, final status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WF1-FR-006</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Pipeline calculates five derived fields: tenure_months, tenure_in_role_months, is_new_hire, headcount_delta, headcount_vs_budget_variance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WF1-FR-007</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Full KPI suite: headcount by all dimensions, general attrition, new hire attrition, 1-year survival, span of control, internal mobility, average tenure, gender split</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WF1-FR-008</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Voluntary and involuntary attrition reported separately and as combined total</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WF1-FR-009</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MoM and YoY variance for every headcount KPI; 'No prior data' state where comparison period has no snapshot</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WF1-FR-010</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Six threshold flags evaluated per upload; each flag shows affected entity, current value, and breached threshold</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WF1-FR-011</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'Budget Not Configured' state for departments with no budget data; HR Admin can enter and update budget figures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WF1-FR-012</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Unpublished/Published report state; HR Analyst review and publish action required before manager visibility</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WF1-FR-013</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 dashboard: department KPIs, MoM/YoY variance, threshold flags; no individual salary visibility</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WF1-FR-014</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Data freshness indicator on every page: upload timestamp, reporting period, publishing analyst name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WF1-FR-015</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Four simultaneous filter dimensions: department, cost centre, location, job family</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WF1-FR-016</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Downloadable formatted Excel report with one tab per filter dimension plus summary</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WF1-FR-017</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Downloadable PDF summary report for senior leadership distribution</w:t>
            </w:r>
          </w:p>
        </w:tc>
        <w:tc>
          <w:tcPr>
            <w:tcW w:type="dxa" w:w="800"/>
            <w:tcBorders>
              <w:top w:val="single" w:color="D5D8DC" w:sz="3"/>
              <w:left w:val="single" w:color="D5D8DC" w:sz="3"/>
              <w:bottom w:val="single" w:color="D5D8DC" w:sz="3"/>
              <w:right w:val="single" w:color="D5D8DC" w:sz="3"/>
            </w:tcBorders>
            <w:shd w:fill="FEF9E7" w:val="clear"/>
            <w:tcMar>
              <w:top w:type="dxa" w:w="60"/>
              <w:left w:type="dxa" w:w="60"/>
              <w:bottom w:type="dxa" w:w="60"/>
              <w:right w:type="dxa" w:w="60"/>
            </w:tcMar>
            <w:vAlign w:val="center"/>
          </w:tcPr>
          <w:p>
            <w:pPr>
              <w:jc w:val="center"/>
            </w:pPr>
            <w:r>
              <w:rPr>
                <w:rFonts w:ascii="Arial" w:cs="Arial" w:eastAsia="Arial" w:hAnsi="Arial"/>
                <w:b/>
                <w:bCs/>
                <w:color w:val="B7770D"/>
                <w:sz w:val="17"/>
                <w:szCs w:val="17"/>
              </w:rPr>
              <w:t xml:space="preserve">Should</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 To-Be</w:t>
            </w:r>
          </w:p>
        </w:tc>
      </w:tr>
      <w:tr>
        <w:tc>
          <w:tcPr>
            <w:tcW w:type="dxa" w:w="9360"/>
            <w:gridSpan w:val="5"/>
            <w:tcBorders>
              <w:top w:val="single" w:color="2E86C1" w:sz="4"/>
              <w:left w:val="single" w:color="2E86C1" w:sz="4"/>
              <w:bottom w:val="single" w:color="2E86C1" w:sz="4"/>
              <w:right w:val="single" w:color="2E86C1" w:sz="4"/>
            </w:tcBorders>
            <w:shd w:fill="1B4F72" w:val="clear"/>
            <w:tcMar>
              <w:top w:type="dxa" w:w="90"/>
              <w:left w:type="dxa" w:w="120"/>
              <w:bottom w:type="dxa" w:w="90"/>
              <w:right w:type="dxa" w:w="120"/>
            </w:tcMar>
          </w:tcPr>
          <w:p>
            <w:r>
              <w:rPr>
                <w:rFonts w:ascii="Arial" w:cs="Arial" w:eastAsia="Arial" w:hAnsi="Arial"/>
                <w:b/>
                <w:bCs/>
                <w:color w:val="FFFFFF"/>
                <w:sz w:val="20"/>
                <w:szCs w:val="20"/>
              </w:rPr>
              <w:t xml:space="preserve">WF4 — Performance Management Cycle Automation</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WF4-FR-001</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Auto-created weekly 1:1 record; employee adds topics during the week; content immediately visible to manager</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(Weekly)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WF4-FR-002</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 closes 1:1 with agreed actions, sentiment flag, and optional blockers; incomplete records remain Open</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(Weekly)</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WF4-FR-003</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14-day missed alert to manager and HR Admin; missed record logged in performance history; feeds WF3</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 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(Weekly)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WF4-FR-004</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 view excludes sentiment flags in all views; restriction enforced at query layer</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(Weekly)</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WF4-FR-005</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Monthly check-in: goal progress %, achievements, development focus, monthly sentiment rating — all mandatory</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(Monthly)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WF4-FR-006</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 acknowledgement of check-in mandatory; timestamped; record not Complete until acknowledged</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(Monthly)</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WF4-FR-007</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check-in compliance dashboard: completion rates, overdue flags, two-consecutive-month failure alert</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 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(Monthly)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WF4-FR-008</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 self-assessment mandatory before manager can access review form; min 1, max 5 quarterly objectives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(Quarterly)</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WF4-FR-009</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 review pre-populated with aggregated quarter data: sentiment average, 1:1 counts, goal progress, action status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(Quarterly)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WF4-FR-010</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Four-dimension rating (Overall, Delivery, Behaviour &amp; Values, Development); narrative mandatory per dimension; composite generated</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(Quarterly)</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WF4-FR-011</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New to Role only selectable for tenure_in_role_months ≤ 3; prevents Below Expectations signal to WF2 and WF3</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 OBJ-03, 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(Quarterly)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WF4-FR-012</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Dual-endpoint quarterly review: closes prior quarter and opens next quarter in single record; goals continuously visible to employee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(Quarterly)</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WF4-FR-013</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review queue after manager submission; approve or return with note; employee sees results only after HR sign-off</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 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(Quarterly)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WF4-FR-014</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Missing check-in governance checkpoint: HR can approve exception, return to manager, or escalate; not a hard block</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 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 To-Be (Quarterly)</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WF4-FR-015</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WF4 → WF2 handoff: composite rating, rating date, reviewing manager written to eligibility engine on HR approval</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 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WF4→WF2 Gateway</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WF4-FR-016</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WF4 → WF3 continuous feed: sentiment flags (90 days), missed 1:1 count (90 days), check-in status, last two quarterly ratings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OBJ-02, 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WF4→WF3 Feed</w:t>
            </w:r>
          </w:p>
        </w:tc>
      </w:tr>
      <w:tr>
        <w:tc>
          <w:tcPr>
            <w:tcW w:type="dxa" w:w="9360"/>
            <w:gridSpan w:val="5"/>
            <w:tcBorders>
              <w:top w:val="single" w:color="2E86C1" w:sz="4"/>
              <w:left w:val="single" w:color="2E86C1" w:sz="4"/>
              <w:bottom w:val="single" w:color="2E86C1" w:sz="4"/>
              <w:right w:val="single" w:color="2E86C1" w:sz="4"/>
            </w:tcBorders>
            <w:shd w:fill="1B4F72" w:val="clear"/>
            <w:tcMar>
              <w:top w:type="dxa" w:w="90"/>
              <w:left w:type="dxa" w:w="120"/>
              <w:bottom w:type="dxa" w:w="90"/>
              <w:right w:type="dxa" w:w="120"/>
            </w:tcMar>
          </w:tcPr>
          <w:p>
            <w:r>
              <w:rPr>
                <w:rFonts w:ascii="Arial" w:cs="Arial" w:eastAsia="Arial" w:hAnsi="Arial"/>
                <w:b/>
                <w:bCs/>
                <w:color w:val="FFFFFF"/>
                <w:sz w:val="20"/>
                <w:szCs w:val="20"/>
              </w:rPr>
              <w:t xml:space="preserve">WF2 — Compensation Review Cycle Automation</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WF2-FR-001</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Admin opens cycle: period selection, deadline setting, eligibility engine activation, recommendation forms made visible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WF2-FR-002</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Separate cycle configurations for General and Sales employee groups; shared engine with group-specific parameters</w:t>
            </w:r>
          </w:p>
        </w:tc>
        <w:tc>
          <w:tcPr>
            <w:tcW w:type="dxa" w:w="800"/>
            <w:tcBorders>
              <w:top w:val="single" w:color="D5D8DC" w:sz="3"/>
              <w:left w:val="single" w:color="D5D8DC" w:sz="3"/>
              <w:bottom w:val="single" w:color="D5D8DC" w:sz="3"/>
              <w:right w:val="single" w:color="D5D8DC" w:sz="3"/>
            </w:tcBorders>
            <w:shd w:fill="FEF9E7" w:val="clear"/>
            <w:tcMar>
              <w:top w:type="dxa" w:w="60"/>
              <w:left w:type="dxa" w:w="60"/>
              <w:bottom w:type="dxa" w:w="60"/>
              <w:right w:type="dxa" w:w="60"/>
            </w:tcMar>
            <w:vAlign w:val="center"/>
          </w:tcPr>
          <w:p>
            <w:pPr>
              <w:jc w:val="center"/>
            </w:pPr>
            <w:r>
              <w:rPr>
                <w:rFonts w:ascii="Arial" w:cs="Arial" w:eastAsia="Arial" w:hAnsi="Arial"/>
                <w:b/>
                <w:bCs/>
                <w:color w:val="B7770D"/>
                <w:sz w:val="17"/>
                <w:szCs w:val="17"/>
              </w:rPr>
              <w:t xml:space="preserve">Should</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WF2-FR-003</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Eligibility engine: six criteria applied in sequence; Eligible / Ineligible / Excluded determination for every employee at cycle open</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WF2-FR-004</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Three automatic exclusions: hired within 90 days, On Leave status, active PIP flag</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WF2-FR-005</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Admin override in either direction; mandatory justification; permanent non-deletable override log</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WF2-FR-006</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Budget pool: company-wide total entered by HR/Finance; percentage splits per department; dollar conversion from payroll data</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WF2-FR-007</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Real-time budget utilisation dashboard: committed vs remaining; visual triggers at 80%, 95%, and 100%</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WF2-FR-008</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Pool overage triggers Pending Escalation status; HR notified; no approval until reviewed</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WF2-FR-009</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Manager recommendation form: current salary and compa-ratio visible (read-only); % increase, $ bonus, effective date, justification note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WF2-FR-010</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$0 increase for eligible employee requires mandatory written justification before submission</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WF2-FR-011</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Band maximum breach flagged on form; recommendation held for HR review; not a hard block</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WF2-FR-012</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All recommendations require HR/Finance approval; full approval chain logged with timestamps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WF2-FR-013</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Large recommendations (configurable threshold, default 15%) additionally routed to CHRO before HR/Finance approval</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WF2-FR-014</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Approved outcome visible to employee in-app: new salary, effective date, bonus amount; in-app only in v1</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WF2-FR-015</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Summary view: all employees, eligibility status, recommendation, approval status, budget impact; filterable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OBJ-03</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 To-Be</w:t>
            </w:r>
          </w:p>
        </w:tc>
      </w:tr>
      <w:tr>
        <w:tc>
          <w:tcPr>
            <w:tcW w:type="dxa" w:w="9360"/>
            <w:gridSpan w:val="5"/>
            <w:tcBorders>
              <w:top w:val="single" w:color="2E86C1" w:sz="4"/>
              <w:left w:val="single" w:color="2E86C1" w:sz="4"/>
              <w:bottom w:val="single" w:color="2E86C1" w:sz="4"/>
              <w:right w:val="single" w:color="2E86C1" w:sz="4"/>
            </w:tcBorders>
            <w:shd w:fill="1B4F72" w:val="clear"/>
            <w:tcMar>
              <w:top w:type="dxa" w:w="90"/>
              <w:left w:type="dxa" w:w="120"/>
              <w:bottom w:type="dxa" w:w="90"/>
              <w:right w:type="dxa" w:w="120"/>
            </w:tcMar>
          </w:tcPr>
          <w:p>
            <w:r>
              <w:rPr>
                <w:rFonts w:ascii="Arial" w:cs="Arial" w:eastAsia="Arial" w:hAnsi="Arial"/>
                <w:b/>
                <w:bCs/>
                <w:color w:val="FFFFFF"/>
                <w:sz w:val="20"/>
                <w:szCs w:val="20"/>
              </w:rPr>
              <w:t xml:space="preserve">WF3 — Attrition Risk Scoring Engine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WF3-FR-001</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risk_factor_config table: all scoring logic stored here; engine reads exclusively from this table; no hardcoded logic</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WF3-FR-002</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Sub-score (0 / 50 / 100) per factor; composite = weighted sum; RAG: Green &lt;35, Amber 35–64, Red ≥65; thresholds configurable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WF3-FR-003</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All seven risk factors with data sources and default thresholds: Compa-ratio 25%, Rating trajectory 20%, Time since merit 15%, Time in role 15%, Sentiment trend 10%, Check-in frequency 10%, Flight risk role 5%</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WF3-FR-004</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Daily recalculation triggered by first HR Admin login; manual trigger also available; &lt;10s for ≤500 employees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WF3-FR-005</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Score history stored daily: composite score, RAG, all seven sub-scores, config snapshot for exact reproducibility</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WF3-FR-006</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Risk Register: all active non-excluded employees ranked by score; expandable per-factor breakdown; filterable by department, manager, RAG, triggered factor</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WF3-FR-007</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Role-based register visibility: HR Admin sees all detail; Senior Managers see department full detail; Line Managers see own reports, RAG and score only — no factor breakdown</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WF3-FR-008</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Pay Risk factor tooltip cross-references S2 BLS benchmark data; degrades gracefully if S2 data unavailable</w:t>
            </w:r>
          </w:p>
        </w:tc>
        <w:tc>
          <w:tcPr>
            <w:tcW w:type="dxa" w:w="800"/>
            <w:tcBorders>
              <w:top w:val="single" w:color="D5D8DC" w:sz="3"/>
              <w:left w:val="single" w:color="D5D8DC" w:sz="3"/>
              <w:bottom w:val="single" w:color="D5D8DC" w:sz="3"/>
              <w:right w:val="single" w:color="D5D8DC" w:sz="3"/>
            </w:tcBorders>
            <w:shd w:fill="FEF9E7" w:val="clear"/>
            <w:tcMar>
              <w:top w:type="dxa" w:w="60"/>
              <w:left w:type="dxa" w:w="60"/>
              <w:bottom w:type="dxa" w:w="60"/>
              <w:right w:type="dxa" w:w="60"/>
            </w:tcMar>
            <w:vAlign w:val="center"/>
          </w:tcPr>
          <w:p>
            <w:pPr>
              <w:jc w:val="center"/>
            </w:pPr>
            <w:r>
              <w:rPr>
                <w:rFonts w:ascii="Arial" w:cs="Arial" w:eastAsia="Arial" w:hAnsi="Arial"/>
                <w:b/>
                <w:bCs/>
                <w:color w:val="B7770D"/>
                <w:sz w:val="17"/>
                <w:szCs w:val="17"/>
              </w:rPr>
              <w:t xml:space="preserve">Should</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WF3-FR-009</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Retention action logging: flag from register; stores risk score at flag, action taken, outcome, resolution date</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WF3-FR-010</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Employee exclusion from register: logged with reason; visible in Excluded Employees view; not deleted</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WF3-FR-011</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HR Admin config panel: adjust weights, activate/deactivate factors, update thresholds; 100% weight validation; every change logged permanently</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 To-Be</w:t>
            </w:r>
          </w:p>
        </w:tc>
      </w:tr>
      <w:tr>
        <w:tc>
          <w:tcPr>
            <w:tcW w:type="dxa" w:w="9360"/>
            <w:gridSpan w:val="5"/>
            <w:tcBorders>
              <w:top w:val="single" w:color="2E86C1" w:sz="4"/>
              <w:left w:val="single" w:color="2E86C1" w:sz="4"/>
              <w:bottom w:val="single" w:color="2E86C1" w:sz="4"/>
              <w:right w:val="single" w:color="2E86C1" w:sz="4"/>
            </w:tcBorders>
            <w:shd w:fill="1B4F72" w:val="clear"/>
            <w:tcMar>
              <w:top w:type="dxa" w:w="90"/>
              <w:left w:type="dxa" w:w="120"/>
              <w:bottom w:type="dxa" w:w="90"/>
              <w:right w:type="dxa" w:w="120"/>
            </w:tcMar>
          </w:tcPr>
          <w:p>
            <w:r>
              <w:rPr>
                <w:rFonts w:ascii="Arial" w:cs="Arial" w:eastAsia="Arial" w:hAnsi="Arial"/>
                <w:b/>
                <w:bCs/>
                <w:color w:val="FFFFFF"/>
                <w:sz w:val="20"/>
                <w:szCs w:val="20"/>
              </w:rPr>
              <w:t xml:space="preserve">CC — Cross-Cutting Platform Requirements</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CC-FR-001</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Supabase Auth on every page; unauthenticated requests redirect to login; 8-hour session timeout</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 OBJ-02, OBJ-03, 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All diagrams</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CC-FR-002</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Three roles enforced: HR Admin (full access), People Manager (direct reports + limited WF3), Employee (read-only own records)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 OBJ-02, OBJ-03, 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All diagrams</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CC-FR-003</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Permanent non-deletable audit log: pipeline runs, eligibility overrides, approval decisions, config changes, exclusions, retention actions</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 OBJ-02, OBJ-03, 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All diagrams</w:t>
            </w:r>
          </w:p>
        </w:tc>
      </w:tr>
      <w:tr>
        <w:tc>
          <w:tcPr>
            <w:tcW w:type="dxa" w:w="11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CC-FR-004</w:t>
            </w:r>
          </w:p>
        </w:tc>
        <w:tc>
          <w:tcPr>
            <w:tcW w:type="dxa" w:w="3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Persistent sidebar: user name and role, role-scoped navigation links, logout; inaccessible pages not shown</w:t>
            </w:r>
          </w:p>
        </w:tc>
        <w:tc>
          <w:tcPr>
            <w:tcW w:type="dxa" w:w="800"/>
            <w:tcBorders>
              <w:top w:val="single" w:color="D5D8DC" w:sz="3"/>
              <w:left w:val="single" w:color="D5D8DC" w:sz="3"/>
              <w:bottom w:val="single" w:color="D5D8DC" w:sz="3"/>
              <w:right w:val="single" w:color="D5D8DC" w:sz="3"/>
            </w:tcBorders>
            <w:shd w:fill="FADBD8" w:val="clear"/>
            <w:tcMar>
              <w:top w:type="dxa" w:w="60"/>
              <w:left w:type="dxa" w:w="60"/>
              <w:bottom w:type="dxa" w:w="60"/>
              <w:right w:type="dxa" w:w="60"/>
            </w:tcMar>
            <w:vAlign w:val="center"/>
          </w:tcPr>
          <w:p>
            <w:pPr>
              <w:jc w:val="center"/>
            </w:pPr>
            <w:r>
              <w:rPr>
                <w:rFonts w:ascii="Arial" w:cs="Arial" w:eastAsia="Arial" w:hAnsi="Arial"/>
                <w:b/>
                <w:bCs/>
                <w:color w:val="922B21"/>
                <w:sz w:val="17"/>
                <w:szCs w:val="17"/>
              </w:rPr>
              <w:t xml:space="preserve">Must</w:t>
            </w:r>
          </w:p>
        </w:tc>
        <w:tc>
          <w:tcPr>
            <w:tcW w:type="dxa" w:w="16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 OBJ-02, OBJ-03, OBJ-04</w:t>
            </w:r>
          </w:p>
        </w:tc>
        <w:tc>
          <w:tcPr>
            <w:tcW w:type="dxa" w:w="20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All diagrams</w:t>
            </w:r>
          </w:p>
        </w:tc>
      </w:tr>
      <w:tr>
        <w:tc>
          <w:tcPr>
            <w:tcW w:type="dxa" w:w="11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CC-FR-005</w:t>
            </w:r>
          </w:p>
        </w:tc>
        <w:tc>
          <w:tcPr>
            <w:tcW w:type="dxa" w:w="3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1A1A1A"/>
                <w:sz w:val="18"/>
                <w:szCs w:val="18"/>
              </w:rPr>
              <w:t xml:space="preserve">Landing page: workflow descriptions, quick-link navigation, data freshness status</w:t>
            </w:r>
          </w:p>
        </w:tc>
        <w:tc>
          <w:tcPr>
            <w:tcW w:type="dxa" w:w="800"/>
            <w:tcBorders>
              <w:top w:val="single" w:color="D5D8DC" w:sz="3"/>
              <w:left w:val="single" w:color="D5D8DC" w:sz="3"/>
              <w:bottom w:val="single" w:color="D5D8DC" w:sz="3"/>
              <w:right w:val="single" w:color="D5D8DC" w:sz="3"/>
            </w:tcBorders>
            <w:shd w:fill="FEF9E7" w:val="clear"/>
            <w:tcMar>
              <w:top w:type="dxa" w:w="60"/>
              <w:left w:type="dxa" w:w="60"/>
              <w:bottom w:type="dxa" w:w="60"/>
              <w:right w:type="dxa" w:w="60"/>
            </w:tcMar>
            <w:vAlign w:val="center"/>
          </w:tcPr>
          <w:p>
            <w:pPr>
              <w:jc w:val="center"/>
            </w:pPr>
            <w:r>
              <w:rPr>
                <w:rFonts w:ascii="Arial" w:cs="Arial" w:eastAsia="Arial" w:hAnsi="Arial"/>
                <w:b/>
                <w:bCs/>
                <w:color w:val="B7770D"/>
                <w:sz w:val="17"/>
                <w:szCs w:val="17"/>
              </w:rPr>
              <w:t xml:space="preserve">Should</w:t>
            </w:r>
          </w:p>
        </w:tc>
        <w:tc>
          <w:tcPr>
            <w:tcW w:type="dxa" w:w="16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OBJ-01, OBJ-02, OBJ-03, OBJ-04</w:t>
            </w:r>
          </w:p>
        </w:tc>
        <w:tc>
          <w:tcPr>
            <w:tcW w:type="dxa" w:w="20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All diagrams</w:t>
            </w:r>
          </w:p>
        </w:tc>
      </w:tr>
    </w:tbl>
    <w:p>
      <w:pPr>
        <w:spacing w:before="240" w:after="80"/>
      </w:pPr>
      <w:r>
        <w:t xml:space="preserve"/>
      </w:r>
    </w:p>
    <w:p>
      <w:pPr>
        <w:pStyle w:val="Heading2"/>
        <w:spacing w:before="240" w:after="80"/>
      </w:pPr>
      <w:r>
        <w:rPr>
          <w:rFonts w:ascii="Arial" w:cs="Arial" w:eastAsia="Arial" w:hAnsi="Arial"/>
          <w:b/>
          <w:bCs/>
          <w:color w:val="2E86C1"/>
          <w:sz w:val="26"/>
          <w:szCs w:val="26"/>
        </w:rPr>
        <w:t xml:space="preserve">9.2  Objective Coverage Summary</w:t>
      </w:r>
    </w:p>
    <w:p>
      <w:pPr>
        <w:spacing w:before="40" w:after="120"/>
        <w:jc w:val="left"/>
      </w:pPr>
      <w:r>
        <w:rPr>
          <w:rFonts w:ascii="Arial" w:cs="Arial" w:eastAsia="Arial" w:hAnsi="Arial"/>
          <w:b w:val="false"/>
          <w:bCs w:val="false"/>
          <w:color w:val="1A1A1A"/>
          <w:sz w:val="22"/>
          <w:szCs w:val="22"/>
        </w:rPr>
        <w:t xml:space="preserve">Every objective defined in Section 2 is traced to at least one functional requirement. The table below confirms complete coverage — no objective is left without a traceable requirement, and no requirement exists without an objective it satisfies.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960"/>
      </w:tblGrid>
      <w:tr>
        <w:trPr>
          <w:tblHeader/>
        </w:trPr>
        <w:tc>
          <w:tcPr>
            <w:tcW w:type="dxa" w:w="18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Objective</w:t>
            </w:r>
          </w:p>
        </w:tc>
        <w:tc>
          <w:tcPr>
            <w:tcW w:type="dxa" w:w="6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 Count</w:t>
            </w:r>
          </w:p>
        </w:tc>
        <w:tc>
          <w:tcPr>
            <w:tcW w:type="dxa" w:w="69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Requirements Tracing to This Objective</w:t>
            </w:r>
          </w:p>
        </w:tc>
      </w:tr>
      <w:tr>
        <w:tc>
          <w:tcPr>
            <w:tcW w:type="dxa" w:w="1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OBJ-01 — Headcount Reporting</w:t>
            </w:r>
          </w:p>
        </w:tc>
        <w:tc>
          <w:tcPr>
            <w:tcW w:type="dxa" w:w="600"/>
            <w:tcBorders>
              <w:top w:val="single" w:color="D5D8DC" w:sz="3"/>
              <w:left w:val="single" w:color="D5D8DC" w:sz="3"/>
              <w:bottom w:val="single" w:color="D5D8DC" w:sz="3"/>
              <w:right w:val="single" w:color="D5D8DC" w:sz="3"/>
            </w:tcBorders>
            <w:shd w:fill="FFFFFF" w:val="clear"/>
            <w:tcMar>
              <w:top w:type="dxa" w:w="80"/>
              <w:left w:type="dxa" w:w="80"/>
              <w:bottom w:type="dxa" w:w="80"/>
              <w:right w:type="dxa" w:w="80"/>
            </w:tcMar>
            <w:vAlign w:val="center"/>
          </w:tcPr>
          <w:p>
            <w:pPr>
              <w:jc w:val="center"/>
            </w:pPr>
            <w:r>
              <w:rPr>
                <w:rFonts w:ascii="Arial" w:cs="Arial" w:eastAsia="Arial" w:hAnsi="Arial"/>
                <w:b/>
                <w:bCs/>
                <w:color w:val="2E86C1"/>
                <w:sz w:val="20"/>
                <w:szCs w:val="20"/>
              </w:rPr>
              <w:t xml:space="preserve">22</w:t>
            </w:r>
          </w:p>
        </w:tc>
        <w:tc>
          <w:tcPr>
            <w:tcW w:type="dxa" w:w="6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WF1-FR-001 through WF1-FR-017 (all 17 WF1 requirements) + CC-FR-001, CC-FR-002, CC-FR-003, CC-FR-004, CC-FR-005</w:t>
            </w:r>
          </w:p>
        </w:tc>
      </w:tr>
      <w:tr>
        <w:tc>
          <w:tcPr>
            <w:tcW w:type="dxa" w:w="1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OBJ-02 — Performance Management</w:t>
            </w:r>
          </w:p>
        </w:tc>
        <w:tc>
          <w:tcPr>
            <w:tcW w:type="dxa" w:w="600"/>
            <w:tcBorders>
              <w:top w:val="single" w:color="D5D8DC" w:sz="3"/>
              <w:left w:val="single" w:color="D5D8DC" w:sz="3"/>
              <w:bottom w:val="single" w:color="D5D8DC" w:sz="3"/>
              <w:right w:val="single" w:color="D5D8DC" w:sz="3"/>
            </w:tcBorders>
            <w:shd w:fill="F2F3F4" w:val="clear"/>
            <w:tcMar>
              <w:top w:type="dxa" w:w="80"/>
              <w:left w:type="dxa" w:w="80"/>
              <w:bottom w:type="dxa" w:w="80"/>
              <w:right w:type="dxa" w:w="80"/>
            </w:tcMar>
            <w:vAlign w:val="center"/>
          </w:tcPr>
          <w:p>
            <w:pPr>
              <w:jc w:val="center"/>
            </w:pPr>
            <w:r>
              <w:rPr>
                <w:rFonts w:ascii="Arial" w:cs="Arial" w:eastAsia="Arial" w:hAnsi="Arial"/>
                <w:b/>
                <w:bCs/>
                <w:color w:val="2E86C1"/>
                <w:sz w:val="20"/>
                <w:szCs w:val="20"/>
              </w:rPr>
              <w:t xml:space="preserve">20</w:t>
            </w:r>
          </w:p>
        </w:tc>
        <w:tc>
          <w:tcPr>
            <w:tcW w:type="dxa" w:w="6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WF4-FR-001 through WF4-FR-016 (all 16 WF4 requirements) + CC-FR-001, CC-FR-002, CC-FR-003, CC-FR-004, CC-FR-005</w:t>
            </w:r>
          </w:p>
        </w:tc>
      </w:tr>
      <w:tr>
        <w:tc>
          <w:tcPr>
            <w:tcW w:type="dxa" w:w="18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OBJ-03 — Compensation Review</w:t>
            </w:r>
          </w:p>
        </w:tc>
        <w:tc>
          <w:tcPr>
            <w:tcW w:type="dxa" w:w="600"/>
            <w:tcBorders>
              <w:top w:val="single" w:color="D5D8DC" w:sz="3"/>
              <w:left w:val="single" w:color="D5D8DC" w:sz="3"/>
              <w:bottom w:val="single" w:color="D5D8DC" w:sz="3"/>
              <w:right w:val="single" w:color="D5D8DC" w:sz="3"/>
            </w:tcBorders>
            <w:shd w:fill="FFFFFF" w:val="clear"/>
            <w:tcMar>
              <w:top w:type="dxa" w:w="80"/>
              <w:left w:type="dxa" w:w="80"/>
              <w:bottom w:type="dxa" w:w="80"/>
              <w:right w:type="dxa" w:w="80"/>
            </w:tcMar>
            <w:vAlign w:val="center"/>
          </w:tcPr>
          <w:p>
            <w:pPr>
              <w:jc w:val="center"/>
            </w:pPr>
            <w:r>
              <w:rPr>
                <w:rFonts w:ascii="Arial" w:cs="Arial" w:eastAsia="Arial" w:hAnsi="Arial"/>
                <w:b/>
                <w:bCs/>
                <w:color w:val="2E86C1"/>
                <w:sz w:val="20"/>
                <w:szCs w:val="20"/>
              </w:rPr>
              <w:t xml:space="preserve">21</w:t>
            </w:r>
          </w:p>
        </w:tc>
        <w:tc>
          <w:tcPr>
            <w:tcW w:type="dxa" w:w="6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WF2-FR-001 through WF2-FR-015 (all 15 WF2 requirements) + WF4-FR-007, WF4-FR-011, WF4-FR-013, WF4-FR-014, WF4-FR-015 + CC-FR-001 through CC-FR-005</w:t>
            </w:r>
          </w:p>
        </w:tc>
      </w:tr>
      <w:tr>
        <w:tc>
          <w:tcPr>
            <w:tcW w:type="dxa" w:w="18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OBJ-04 — Attrition Risk Scoring</w:t>
            </w:r>
          </w:p>
        </w:tc>
        <w:tc>
          <w:tcPr>
            <w:tcW w:type="dxa" w:w="600"/>
            <w:tcBorders>
              <w:top w:val="single" w:color="D5D8DC" w:sz="3"/>
              <w:left w:val="single" w:color="D5D8DC" w:sz="3"/>
              <w:bottom w:val="single" w:color="D5D8DC" w:sz="3"/>
              <w:right w:val="single" w:color="D5D8DC" w:sz="3"/>
            </w:tcBorders>
            <w:shd w:fill="F2F3F4" w:val="clear"/>
            <w:tcMar>
              <w:top w:type="dxa" w:w="80"/>
              <w:left w:type="dxa" w:w="80"/>
              <w:bottom w:type="dxa" w:w="80"/>
              <w:right w:type="dxa" w:w="80"/>
            </w:tcMar>
            <w:vAlign w:val="center"/>
          </w:tcPr>
          <w:p>
            <w:pPr>
              <w:jc w:val="center"/>
            </w:pPr>
            <w:r>
              <w:rPr>
                <w:rFonts w:ascii="Arial" w:cs="Arial" w:eastAsia="Arial" w:hAnsi="Arial"/>
                <w:b/>
                <w:bCs/>
                <w:color w:val="2E86C1"/>
                <w:sz w:val="20"/>
                <w:szCs w:val="20"/>
              </w:rPr>
              <w:t xml:space="preserve">18</w:t>
            </w:r>
          </w:p>
        </w:tc>
        <w:tc>
          <w:tcPr>
            <w:tcW w:type="dxa" w:w="6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WF3-FR-001 through WF3-FR-011 (all 11 WF3 requirements) + WF4-FR-003, WF4-FR-011, WF4-FR-016 + CC-FR-001 through CC-FR-005</w:t>
            </w:r>
          </w:p>
        </w:tc>
      </w:tr>
    </w:tbl>
    <w:p>
      <w:pPr>
        <w:spacing w:before="240" w:after="80"/>
      </w:pPr>
      <w:r>
        <w:t xml:space="preserve"/>
      </w:r>
    </w:p>
    <w:p>
      <w:pPr>
        <w:pStyle w:val="Heading2"/>
        <w:spacing w:before="240" w:after="80"/>
      </w:pPr>
      <w:r>
        <w:rPr>
          <w:rFonts w:ascii="Arial" w:cs="Arial" w:eastAsia="Arial" w:hAnsi="Arial"/>
          <w:b/>
          <w:bCs/>
          <w:color w:val="2E86C1"/>
          <w:sz w:val="26"/>
          <w:szCs w:val="26"/>
        </w:rPr>
        <w:t xml:space="preserve">9.3  BPMN Diagram Coverage</w:t>
      </w:r>
    </w:p>
    <w:p>
      <w:pPr>
        <w:spacing w:before="40" w:after="120"/>
        <w:jc w:val="left"/>
      </w:pPr>
      <w:r>
        <w:rPr>
          <w:rFonts w:ascii="Arial" w:cs="Arial" w:eastAsia="Arial" w:hAnsi="Arial"/>
          <w:b w:val="false"/>
          <w:bCs w:val="false"/>
          <w:color w:val="1A1A1A"/>
          <w:sz w:val="22"/>
          <w:szCs w:val="22"/>
        </w:rPr>
        <w:t xml:space="preserve">Ten BPMN diagrams will be produced as a separate documentation artifact: one As-Is and one To-Be for each of the four workflows. WF4 To-Be is split into three sub-diagrams (Weekly, Monthly, Quarterly) for readability. The table below maps each diagram to the requirements it models and serves as the index for the BPMN artifact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Diagram</w:t>
            </w:r>
          </w:p>
        </w:tc>
        <w:tc>
          <w:tcPr>
            <w:tcW w:type="dxa" w:w="140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Type</w:t>
            </w:r>
          </w:p>
        </w:tc>
        <w:tc>
          <w:tcPr>
            <w:tcW w:type="dxa" w:w="5960"/>
            <w:gridSpan w:val="1"/>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Requirements Covered</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 As-Is</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As-Is BPMN</w:t>
            </w:r>
          </w:p>
        </w:tc>
        <w:tc>
          <w:tcPr>
            <w:tcW w:type="dxa" w:w="5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Baseline context for WF1-FR-001 through WF1-FR-017. Shows current manual CSV download, cross-reference, and report assembly process.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WF1 To-Be</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To-Be BPMN</w:t>
            </w:r>
          </w:p>
        </w:tc>
        <w:tc>
          <w:tcPr>
            <w:tcW w:type="dxa" w:w="5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WF1-FR-001 through WF1-FR-017. Automated upload trigger, schema validation gateway, KPI calculation subprocess, threshold evaluation, publish gate.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 As-Is</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As-Is BPMN</w:t>
            </w:r>
          </w:p>
        </w:tc>
        <w:tc>
          <w:tcPr>
            <w:tcW w:type="dxa" w:w="5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Baseline context for WF4-FR-001 through WF4-FR-016. Shows current undocumented 1:1s, manual check-ins, and memory-based quarterly reviews.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 To-Be (Weekly)</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To-Be BPMN</w:t>
            </w:r>
          </w:p>
        </w:tc>
        <w:tc>
          <w:tcPr>
            <w:tcW w:type="dxa" w:w="5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WF4-FR-001 through WF4-FR-004. Employee topic submission pool, 14-day timer boundary event, manager closure lane, MISSED terminal state.</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 To-Be (Monthly)</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To-Be BPMN</w:t>
            </w:r>
          </w:p>
        </w:tc>
        <w:tc>
          <w:tcPr>
            <w:tcW w:type="dxa" w:w="5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WF4-FR-005 through WF4-FR-007. Manager submission lane, employee acknowledgement lane, HR compliance monitoring subprocess.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WF4 To-Be (Quarterly)</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To-Be BPMN</w:t>
            </w:r>
          </w:p>
        </w:tc>
        <w:tc>
          <w:tcPr>
            <w:tcW w:type="dxa" w:w="5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WF4-FR-008 through WF4-FR-016. Self-assessment → manager review → pre-population subprocess → four-dimension rating → HR review queue → dual-endpoint close/open gate. WF4→WF2 message throw event. WF4→WF3 continuous data feed annotation.</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 As-Is</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As-Is BPMN</w:t>
            </w:r>
          </w:p>
        </w:tc>
        <w:tc>
          <w:tcPr>
            <w:tcW w:type="dxa" w:w="5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Baseline context for WF2-FR-001 through WF2-FR-015. Shows spreadsheet-based eligibility, manual budget calculation, email-distributed input files.</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WF2 To-Be</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To-Be BPMN</w:t>
            </w:r>
          </w:p>
        </w:tc>
        <w:tc>
          <w:tcPr>
            <w:tcW w:type="dxa" w:w="5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WF2-FR-001 through WF2-FR-015. Cycle open trigger, eligibility engine subprocess with six sequential criteria gateways, budget pool lane, manager recommendation lane, HR/Finance approval lane, CHRO escalation path, employee notification end event.</w:t>
            </w:r>
          </w:p>
        </w:tc>
      </w:tr>
      <w:tr>
        <w:tc>
          <w:tcPr>
            <w:tcW w:type="dxa" w:w="20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 As-Is</w:t>
            </w:r>
          </w:p>
        </w:tc>
        <w:tc>
          <w:tcPr>
            <w:tcW w:type="dxa" w:w="140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As-Is BPMN</w:t>
            </w:r>
          </w:p>
        </w:tc>
        <w:tc>
          <w:tcPr>
            <w:tcW w:type="dxa" w:w="5960"/>
            <w:tcBorders>
              <w:top w:val="single" w:color="D5D8DC" w:sz="3"/>
              <w:left w:val="single" w:color="D5D8DC" w:sz="3"/>
              <w:bottom w:val="single" w:color="D5D8DC" w:sz="3"/>
              <w:right w:val="single" w:color="D5D8DC" w:sz="3"/>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Baseline context for WF3-FR-001 through WF3-FR-011. Shows reactive identification of attrition risk only at resignation point — no proactive signals assembled.</w:t>
            </w:r>
          </w:p>
        </w:tc>
      </w:tr>
      <w:tr>
        <w:tc>
          <w:tcPr>
            <w:tcW w:type="dxa" w:w="20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bCs/>
                <w:color w:val="1B4F72"/>
                <w:sz w:val="18"/>
                <w:szCs w:val="18"/>
              </w:rPr>
              <w:t xml:space="preserve">WF3 To-Be</w:t>
            </w:r>
          </w:p>
        </w:tc>
        <w:tc>
          <w:tcPr>
            <w:tcW w:type="dxa" w:w="140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2E86C1"/>
                <w:sz w:val="17"/>
                <w:szCs w:val="17"/>
              </w:rPr>
              <w:t xml:space="preserve">To-Be BPMN</w:t>
            </w:r>
          </w:p>
        </w:tc>
        <w:tc>
          <w:tcPr>
            <w:tcW w:type="dxa" w:w="5960"/>
            <w:tcBorders>
              <w:top w:val="single" w:color="D5D8DC" w:sz="3"/>
              <w:left w:val="single" w:color="D5D8DC" w:sz="3"/>
              <w:bottom w:val="single" w:color="D5D8DC" w:sz="3"/>
              <w:right w:val="single" w:color="D5D8DC" w:sz="3"/>
            </w:tcBorders>
            <w:shd w:fill="F2F3F4"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595959"/>
                <w:sz w:val="17"/>
                <w:szCs w:val="17"/>
              </w:rPr>
              <w:t xml:space="preserve">WF3-FR-001 through WF3-FR-011. Daily timer start event, seven-factor scoring subprocess (reads from config table), composite score calculation, RAG classification gateway, register update, retention action pool, configuration panel subprocess.</w:t>
            </w:r>
          </w:p>
        </w:tc>
      </w:tr>
    </w:tbl>
    <w:p>
      <w:pPr>
        <w:spacing w:before="24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single" w:color="1E8449" w:sz="6"/>
              <w:right w:val="single" w:color="1E8449" w:sz="6"/>
            </w:tcBorders>
            <w:shd w:fill="D5F5E3" w:val="clear"/>
            <w:tcMar>
              <w:top w:type="dxa" w:w="120"/>
              <w:left w:type="dxa" w:w="180"/>
              <w:bottom w:type="dxa" w:w="120"/>
              <w:right w:type="dxa" w:w="180"/>
            </w:tcMar>
          </w:tcPr>
          <w:p>
            <w:pPr>
              <w:spacing w:before="0" w:after="40"/>
            </w:pPr>
            <w:r>
              <w:rPr>
                <w:rFonts w:ascii="Arial" w:cs="Arial" w:eastAsia="Arial" w:hAnsi="Arial"/>
                <w:b/>
                <w:bCs/>
                <w:color w:val="1B4F72"/>
                <w:sz w:val="20"/>
                <w:szCs w:val="20"/>
              </w:rPr>
              <w:t xml:space="preserve">Document Status</w:t>
            </w:r>
          </w:p>
          <w:p>
            <w:pPr>
              <w:spacing w:before="40" w:after="0"/>
            </w:pPr>
            <w:r>
              <w:rPr>
                <w:rFonts w:ascii="Arial" w:cs="Arial" w:eastAsia="Arial" w:hAnsi="Arial"/>
                <w:b w:val="false"/>
                <w:bCs w:val="false"/>
                <w:color w:val="1A1A1A"/>
                <w:sz w:val="19"/>
                <w:szCs w:val="19"/>
              </w:rPr>
              <w:t xml:space="preserve">Cadence_FRD_001 — Version 1.0 — All nine sections complete. This document is approved for build. The next artifacts to be produced are: (1) BPMN As-Is and To-Be diagrams for all four workflows rendered as interactive HTML with dark theme, (2) UML class diagram for the WF3 scoring engine data model, (3) SQL migration scripts for all 14 database tables with COMMENT ON statements, (4) live Streamlit deployment.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5D8DC" w:sz="4" w:space="2"/>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595959"/>
              <w:sz w:val="16"/>
              <w:szCs w:val="16"/>
            </w:rPr>
            <w:t xml:space="preserve">Hadi Mercer  |  BA Portfolio 2026  |  Internal — Not for Distribution</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595959"/>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B4F72" w:sz="6" w:space="2"/>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4F72"/>
              <w:sz w:val="18"/>
              <w:szCs w:val="18"/>
            </w:rPr>
            <w:t xml:space="preserve">Cadence — HR Process Automation Hub</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595959"/>
              <w:sz w:val="17"/>
              <w:szCs w:val="17"/>
            </w:rPr>
            <w:t xml:space="preserve">Cadence_FRD_001  |  DRAFT v0.1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lvl w:ilvl="1" w15:tentative="1">
      <w:start w:val="1"/>
      <w:numFmt w:val="bullet"/>
      <w:lvlText w:val="–"/>
      <w:lvlJc w:val="left"/>
      <w:pPr>
        <w:ind w:left="88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86C1"/>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2026-03-01T15:47:23.862Z</dcterms:created>
  <dcterms:modified xsi:type="dcterms:W3CDTF">2026-03-01T15:47:23.863Z</dcterms:modified>
</cp:coreProperties>
</file>

<file path=docProps/custom.xml><?xml version="1.0" encoding="utf-8"?>
<Properties xmlns="http://schemas.openxmlformats.org/officeDocument/2006/custom-properties" xmlns:vt="http://schemas.openxmlformats.org/officeDocument/2006/docPropsVTypes"/>
</file>