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i w:val="false"/>
          <w:iCs w:val="false"/>
          <w:color w:val="1B3A5C"/>
          <w:sz w:val="52"/>
          <w:szCs w:val="52"/>
        </w:rPr>
        <w:t xml:space="preserve">S1 — HR PROCESS AUTOMATION HUB</w:t>
      </w:r>
    </w:p>
    <w:p>
      <w:pPr>
        <w:spacing w:before="0" w:after="60"/>
        <w:jc w:val="center"/>
      </w:pPr>
      <w:r>
        <w:rPr>
          <w:rFonts w:ascii="Arial" w:cs="Arial" w:eastAsia="Arial" w:hAnsi="Arial"/>
          <w:b w:val="false"/>
          <w:bCs w:val="false"/>
          <w:i/>
          <w:iCs/>
          <w:color w:val="2E75B6"/>
          <w:sz w:val="26"/>
          <w:szCs w:val="26"/>
        </w:rPr>
        <w:t xml:space="preserve">Workflow Design Decisions — Confirmed Scope</w:t>
      </w:r>
    </w:p>
    <w:p>
      <w:pPr>
        <w:spacing w:before="0" w:after="80"/>
        <w:jc w:val="center"/>
      </w:pPr>
      <w:r>
        <w:rPr>
          <w:rFonts w:ascii="Arial" w:cs="Arial" w:eastAsia="Arial" w:hAnsi="Arial"/>
          <w:b w:val="false"/>
          <w:bCs w:val="false"/>
          <w:i w:val="false"/>
          <w:iCs w:val="false"/>
          <w:color w:val="5D6D7E"/>
          <w:sz w:val="19"/>
          <w:szCs w:val="19"/>
        </w:rPr>
        <w:t xml:space="preserve">Hadi Mercer  |  BA Portfolio 2026  |  All decisions finalised — ready for FRD session</w:t>
      </w:r>
    </w:p>
    <w:p>
      <w:pPr>
        <w:pBdr>
          <w:bottom w:val="single" w:color="1B3A5C" w:sz="12" w:space="4"/>
        </w:pBdr>
        <w:spacing w:before="200" w:after="0"/>
      </w:pPr>
    </w:p>
    <w:p>
      <w:pP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0"/>
                <w:szCs w:val="20"/>
              </w:rPr>
              <w:t xml:space="preserve">DOCUMENT STATUS: ALL DECISIONS CONFIRMED</w:t>
            </w:r>
          </w:p>
          <w:p>
            <w:pPr>
              <w:spacing w:before="0" w:after="80"/>
              <w:jc w:val="left"/>
            </w:pPr>
            <w:r>
              <w:rPr>
                <w:rFonts w:ascii="Arial" w:cs="Arial" w:eastAsia="Arial" w:hAnsi="Arial"/>
                <w:b w:val="false"/>
                <w:bCs w:val="false"/>
                <w:i w:val="false"/>
                <w:iCs w:val="false"/>
                <w:color w:val="D6EAF8"/>
                <w:sz w:val="19"/>
                <w:szCs w:val="19"/>
              </w:rPr>
              <w:t xml:space="preserve">All workflow design decisions have been finalised through a structured advisory session. Zero open TBDs remain. This document is the primary source of truth for FRD drafting in the S1 Claude project.</w:t>
            </w:r>
          </w:p>
        </w:tc>
      </w:tr>
    </w:tbl>
    <w:p>
      <w:pP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before="0" w:after="80"/>
              <w:jc w:val="center"/>
            </w:pPr>
            <w:r>
              <w:rPr>
                <w:rFonts w:ascii="Arial" w:cs="Arial" w:eastAsia="Arial" w:hAnsi="Arial"/>
                <w:b/>
                <w:bCs/>
                <w:i w:val="false"/>
                <w:iCs w:val="false"/>
                <w:color w:val="FFFFFF"/>
                <w:sz w:val="34"/>
                <w:szCs w:val="34"/>
              </w:rPr>
              <w:t xml:space="preserve">WF1</w:t>
            </w:r>
          </w:p>
          <w:p>
            <w:pPr>
              <w:spacing w:before="0" w:after="80"/>
              <w:jc w:val="center"/>
            </w:pPr>
            <w:r>
              <w:rPr>
                <w:rFonts w:ascii="Arial" w:cs="Arial" w:eastAsia="Arial" w:hAnsi="Arial"/>
                <w:b w:val="false"/>
                <w:bCs w:val="false"/>
                <w:i/>
                <w:iCs/>
                <w:color w:val="D6EAF8"/>
                <w:sz w:val="17"/>
                <w:szCs w:val="17"/>
              </w:rPr>
              <w:t xml:space="preserve">DESCRIPTIVE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4"/>
                <w:szCs w:val="24"/>
              </w:rPr>
              <w:t xml:space="preserve">Headcount &amp; Workforce Reporting Automation</w:t>
            </w:r>
          </w:p>
          <w:p>
            <w:pPr>
              <w:spacing w:before="0" w:after="80"/>
              <w:jc w:val="left"/>
            </w:pPr>
            <w:r>
              <w:rPr>
                <w:rFonts w:ascii="Arial" w:cs="Arial" w:eastAsia="Arial" w:hAnsi="Arial"/>
                <w:b w:val="false"/>
                <w:bCs w:val="false"/>
                <w:i w:val="false"/>
                <w:iCs w:val="false"/>
                <w:color w:val="EBF5FB"/>
                <w:sz w:val="18"/>
                <w:szCs w:val="18"/>
              </w:rPr>
              <w:t xml:space="preserve">Automates monthly headcount reporting — CSV ingestion, KPI calculation, formatted report output. Eliminates manual HRIS export, cross-referencing, and report assembly.</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0"/>
                <w:szCs w:val="20"/>
              </w:rPr>
              <w:t xml:space="preserve">Confirmed Decisions — Headcount &amp; Workforce Reporting Automation</w:t>
            </w:r>
          </w:p>
        </w:tc>
      </w:tr>
      <w:tr>
        <w:tc>
          <w:tcPr>
            <w:tcW w:type="dxa" w:w="38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Point</w:t>
            </w:r>
          </w:p>
        </w:tc>
        <w:tc>
          <w:tcPr>
            <w:tcW w:type="dxa" w:w="556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 Confirmed Scope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2E75B6"/>
                <w:sz w:val="18"/>
                <w:szCs w:val="18"/>
              </w:rPr>
              <w:t xml:space="preserve">Process Scope &amp; Boundaries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triggers this workflow?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Manual trigger — an HR team member uploads the monthly HRIS roster export via the application's Data Management page. In a future production deployment this would be replaced by a scheduled API connection to the HRIS, but for this build CSV upload is the trigger.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Who initiates the workflow?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Any member of the HR team. No approval is required to upload; however, the processed output report requires HR Analyst review and sign-off before distribution to managers.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is the single source of headcount data?</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Monthly HRIS export in CSV format. The file is uploaded directly through the application. The pipeline validates the schema on upload and hard-rejects any file with missing required columns before writing a single row.</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Which employees are in scope?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employees regardless of employment type — permanent, fixed-term, and contractor. Employment type is a column in the CSV and is used as a dimension in reporting, not as a filter.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is the reporting period?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Calendar month. Each uploaded file represents a single month's headcount snapshot.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prior-period comparison required?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 two comparisons: vs the immediately preceding calendar month, and vs the same calendar month in the prior year. Both comparisons are required for every KPI where prior data exists.</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2E75B6"/>
                <w:sz w:val="18"/>
                <w:szCs w:val="18"/>
              </w:rPr>
              <w:t xml:space="preserve">Actors &amp; Users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Who triggers and runs the workflow?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Any HR team member can upload the CSV and trigger the pipeline. The HR Analyst is responsible for reviewing the generated output before it is released to the manager audience.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Who receives the output?</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people managers across the organisation. The output is a dashboard accessible via a shared link — managers see aggregate department-level data only, with no individual salary visibility.</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there an approval step before distribution?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The HR Analyst reviews the processed output and confirms it before the dashboard is marked as published for the current period. An unpublished report is not visible to managers.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Are there any restricted data views?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Individual salary figures are not exposed to managers in any view. Managers see headcount counts, variance figures, KPIs, and threshold flags only.</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2E75B6"/>
                <w:sz w:val="18"/>
                <w:szCs w:val="18"/>
              </w:rPr>
              <w:t xml:space="preserve">Calculations &amp; KPIs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headcount vs budget tracked?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Both dimensions are tracked: (1) approved budgeted headcount vs actual filled positions per department, and (2) a numeric budget figure entered manually by HR/Finance and stored in the system. Both variances are calculated and displayed.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attrition rate calculated?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Two attrition metrics are produced:</w:t>
            </w:r>
          </w:p>
          <w:p>
            <w:pPr>
              <w:spacing w:before="0" w:after="80"/>
              <w:jc w:val="left"/>
            </w:pPr>
            <w:r>
              <w:rPr>
                <w:rFonts w:ascii="Arial" w:cs="Arial" w:eastAsia="Arial" w:hAnsi="Arial"/>
                <w:b w:val="false"/>
                <w:bCs w:val="false"/>
                <w:i w:val="false"/>
                <w:iCs w:val="false"/>
                <w:color w:val="2C3E50"/>
                <w:sz w:val="19"/>
                <w:szCs w:val="19"/>
              </w:rPr>
              <w:t xml:space="preserve">• General attrition rate: Leavers in period ÷ average headcount for the period, expressed as a percentage. Calculated on a rolling 12-month basis and as a point-in-time monthly figure.</w:t>
            </w:r>
          </w:p>
          <w:p>
            <w:pPr>
              <w:spacing w:before="0" w:after="80"/>
              <w:jc w:val="left"/>
            </w:pPr>
            <w:r>
              <w:rPr>
                <w:rFonts w:ascii="Arial" w:cs="Arial" w:eastAsia="Arial" w:hAnsi="Arial"/>
                <w:b w:val="false"/>
                <w:bCs w:val="false"/>
                <w:i w:val="false"/>
                <w:iCs w:val="false"/>
                <w:color w:val="2C3E50"/>
                <w:sz w:val="19"/>
                <w:szCs w:val="19"/>
              </w:rPr>
              <w:t xml:space="preserve">• New hire attrition rate (0–3 months): Employees who left within their first 90 days ÷ total new hires in the period. Tracks early-stage retention quality.</w:t>
            </w:r>
          </w:p>
          <w:p>
            <w:pPr>
              <w:spacing w:before="0" w:after="80"/>
              <w:jc w:val="left"/>
            </w:pPr>
            <w:r>
              <w:rPr>
                <w:rFonts w:ascii="Arial" w:cs="Arial" w:eastAsia="Arial" w:hAnsi="Arial"/>
                <w:b w:val="false"/>
                <w:bCs w:val="false"/>
                <w:i w:val="false"/>
                <w:iCs w:val="false"/>
                <w:color w:val="2C3E50"/>
                <w:sz w:val="19"/>
                <w:szCs w:val="19"/>
              </w:rPr>
              <w:t xml:space="preserve">• 1-year survival rate: Of all employees hired 12 months prior to the reporting period, the percentage still active at the report date.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span of control defined?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Direct reports only. Span of control is calculated per manager and aggregated by function and by organisational level. The pipeline derives manager hierarchy from the manager_id column in the CSV.</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Which organisational layers are analysed?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Five layers: Executive (C-suite), Senior Leadership (VP / SVP), Management (Director / Senior Manager / Manager), Senior Individual Contributor, Individual Contributor. Each layer reports headcount, % of total headcount, average span of control, and delta vs prior period.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voluntary vs involuntary turnover tracked separately?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The CSV includes a termination_type column (Voluntary / Involuntary / Null for active employees). Both are reported separately and as a combined total attrition figure.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Additional KPIs produced by the workflow: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 Average tenure by department (months)</w:t>
            </w:r>
          </w:p>
          <w:p>
            <w:pPr>
              <w:spacing w:before="0" w:after="80"/>
              <w:jc w:val="left"/>
            </w:pPr>
            <w:r>
              <w:rPr>
                <w:rFonts w:ascii="Arial" w:cs="Arial" w:eastAsia="Arial" w:hAnsi="Arial"/>
                <w:b w:val="false"/>
                <w:bCs w:val="false"/>
                <w:i w:val="false"/>
                <w:iCs w:val="false"/>
                <w:color w:val="2C3E50"/>
                <w:sz w:val="19"/>
                <w:szCs w:val="19"/>
              </w:rPr>
              <w:t xml:space="preserve">• Headcount by employment type as a % of total (permanent / fixed-term / contractor mix)</w:t>
            </w:r>
          </w:p>
          <w:p>
            <w:pPr>
              <w:spacing w:before="0" w:after="80"/>
              <w:jc w:val="left"/>
            </w:pPr>
            <w:r>
              <w:rPr>
                <w:rFonts w:ascii="Arial" w:cs="Arial" w:eastAsia="Arial" w:hAnsi="Arial"/>
                <w:b w:val="false"/>
                <w:bCs w:val="false"/>
                <w:i w:val="false"/>
                <w:iCs w:val="false"/>
                <w:color w:val="2C3E50"/>
                <w:sz w:val="19"/>
                <w:szCs w:val="19"/>
              </w:rPr>
              <w:t xml:space="preserve">• Internal mobility rate: employees who changed role or department in the reporting period</w:t>
            </w:r>
          </w:p>
          <w:p>
            <w:pPr>
              <w:spacing w:before="0" w:after="80"/>
              <w:jc w:val="left"/>
            </w:pPr>
            <w:r>
              <w:rPr>
                <w:rFonts w:ascii="Arial" w:cs="Arial" w:eastAsia="Arial" w:hAnsi="Arial"/>
                <w:b w:val="false"/>
                <w:bCs w:val="false"/>
                <w:i w:val="false"/>
                <w:iCs w:val="false"/>
                <w:color w:val="2C3E50"/>
                <w:sz w:val="19"/>
                <w:szCs w:val="19"/>
              </w:rPr>
              <w:t xml:space="preserve">• Gender split by level and by department</w:t>
            </w:r>
          </w:p>
          <w:p>
            <w:pPr>
              <w:spacing w:before="0" w:after="80"/>
              <w:jc w:val="left"/>
            </w:pPr>
            <w:r>
              <w:rPr>
                <w:rFonts w:ascii="Arial" w:cs="Arial" w:eastAsia="Arial" w:hAnsi="Arial"/>
                <w:b w:val="false"/>
                <w:bCs w:val="false"/>
                <w:i w:val="false"/>
                <w:iCs w:val="false"/>
                <w:color w:val="2C3E50"/>
                <w:sz w:val="19"/>
                <w:szCs w:val="19"/>
              </w:rPr>
              <w:t xml:space="preserve">• New hire 90-day survival rate</w:t>
            </w:r>
          </w:p>
          <w:p>
            <w:pPr>
              <w:spacing w:before="0" w:after="80"/>
              <w:jc w:val="left"/>
            </w:pPr>
            <w:r>
              <w:rPr>
                <w:rFonts w:ascii="Arial" w:cs="Arial" w:eastAsia="Arial" w:hAnsi="Arial"/>
                <w:b w:val="false"/>
                <w:bCs w:val="false"/>
                <w:i w:val="false"/>
                <w:iCs w:val="false"/>
                <w:color w:val="2C3E50"/>
                <w:sz w:val="19"/>
                <w:szCs w:val="19"/>
              </w:rPr>
              <w:t xml:space="preserve">• 1-year survival rate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threshold flags are raised?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 Headcount vs budget variance exceeds ±10% for any department</w:t>
            </w:r>
          </w:p>
          <w:p>
            <w:pPr>
              <w:spacing w:before="0" w:after="80"/>
              <w:jc w:val="left"/>
            </w:pPr>
            <w:r>
              <w:rPr>
                <w:rFonts w:ascii="Arial" w:cs="Arial" w:eastAsia="Arial" w:hAnsi="Arial"/>
                <w:b w:val="false"/>
                <w:bCs w:val="false"/>
                <w:i w:val="false"/>
                <w:iCs w:val="false"/>
                <w:color w:val="2C3E50"/>
                <w:sz w:val="19"/>
                <w:szCs w:val="19"/>
              </w:rPr>
              <w:t xml:space="preserve">• Span of control exceeds 12 direct reports for any manager</w:t>
            </w:r>
          </w:p>
          <w:p>
            <w:pPr>
              <w:spacing w:before="0" w:after="80"/>
              <w:jc w:val="left"/>
            </w:pPr>
            <w:r>
              <w:rPr>
                <w:rFonts w:ascii="Arial" w:cs="Arial" w:eastAsia="Arial" w:hAnsi="Arial"/>
                <w:b w:val="false"/>
                <w:bCs w:val="false"/>
                <w:i w:val="false"/>
                <w:iCs w:val="false"/>
                <w:color w:val="2C3E50"/>
                <w:sz w:val="19"/>
                <w:szCs w:val="19"/>
              </w:rPr>
              <w:t xml:space="preserve">• Approved headcount position unfilled for more than 60 days</w:t>
            </w:r>
          </w:p>
          <w:p>
            <w:pPr>
              <w:spacing w:before="0" w:after="80"/>
              <w:jc w:val="left"/>
            </w:pPr>
            <w:r>
              <w:rPr>
                <w:rFonts w:ascii="Arial" w:cs="Arial" w:eastAsia="Arial" w:hAnsi="Arial"/>
                <w:b w:val="false"/>
                <w:bCs w:val="false"/>
                <w:i w:val="false"/>
                <w:iCs w:val="false"/>
                <w:color w:val="2C3E50"/>
                <w:sz w:val="19"/>
                <w:szCs w:val="19"/>
              </w:rPr>
              <w:t xml:space="preserve">• Contractor proportion in any department exceeds 30% of total headcount</w:t>
            </w:r>
          </w:p>
          <w:p>
            <w:pPr>
              <w:spacing w:before="0" w:after="80"/>
              <w:jc w:val="left"/>
            </w:pPr>
            <w:r>
              <w:rPr>
                <w:rFonts w:ascii="Arial" w:cs="Arial" w:eastAsia="Arial" w:hAnsi="Arial"/>
                <w:b w:val="false"/>
                <w:bCs w:val="false"/>
                <w:i w:val="false"/>
                <w:iCs w:val="false"/>
                <w:color w:val="2C3E50"/>
                <w:sz w:val="19"/>
                <w:szCs w:val="19"/>
              </w:rPr>
              <w:t xml:space="preserve">• New hire attrition rate in any quarter exceeds 15%</w:t>
            </w:r>
          </w:p>
          <w:p>
            <w:pPr>
              <w:spacing w:before="0" w:after="80"/>
              <w:jc w:val="left"/>
            </w:pPr>
            <w:r>
              <w:rPr>
                <w:rFonts w:ascii="Arial" w:cs="Arial" w:eastAsia="Arial" w:hAnsi="Arial"/>
                <w:b w:val="false"/>
                <w:bCs w:val="false"/>
                <w:i w:val="false"/>
                <w:iCs w:val="false"/>
                <w:color w:val="2C3E50"/>
                <w:sz w:val="19"/>
                <w:szCs w:val="19"/>
              </w:rPr>
              <w:t xml:space="preserve">• Any department records zero voluntary leavers for 12 consecutive months (stagnation signal)</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2E75B6"/>
                <w:sz w:val="18"/>
                <w:szCs w:val="18"/>
              </w:rPr>
              <w:t xml:space="preserve">Output Format &amp; Distribution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output formats are produced?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Three formats: (1) interactive dashboard page within the application, (2) downloadable formatted Excel report, (3) downloadable PDF summary. All three reflect the same underlying data from the same pipeline run.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dimensions does the report break down by?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four: department, cost centre, location, and job family. Each dimension is available as a filter on the dashboard and as a separate tab in the Excel export.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the report distributed?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Managers access the report via a dashboard link within the application. There is no email distribution in v1. The HR Analyst publishes the report within the app after review, making it visible to all managers simultaneously.</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a data freshness indicator required?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Every page of the dashboard displays the date and time the underlying CSV was last uploaded and processed, and the reporting period the current data represents.</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2E75B6"/>
                <w:sz w:val="18"/>
                <w:szCs w:val="18"/>
              </w:rPr>
              <w:t xml:space="preserve">Required CSV Columns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columns must the input CSV contain?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employee_id (text, primary key), first_name, last_name, department, cost_centre, location, job_title, job_family, level, employment_type (Permanent / Fixed-term / Contractor), manager_id (FK to employee_id), hire_date, role_start_date (date entered current role), termination_date (null if active), termination_type (Voluntary / Involuntary / null), salary (numeric, current base), salary_grade, budgeted_headcount (numeric, per department row), status (Active / On Leave / Terminated)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fields does the pipeline calculate that are not in the CSV?</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 tenure_months: months from hire_date to report date</w:t>
            </w:r>
          </w:p>
          <w:p>
            <w:pPr>
              <w:spacing w:before="0" w:after="80"/>
              <w:jc w:val="left"/>
            </w:pPr>
            <w:r>
              <w:rPr>
                <w:rFonts w:ascii="Arial" w:cs="Arial" w:eastAsia="Arial" w:hAnsi="Arial"/>
                <w:b w:val="false"/>
                <w:bCs w:val="false"/>
                <w:i w:val="false"/>
                <w:iCs w:val="false"/>
                <w:color w:val="2C3E50"/>
                <w:sz w:val="19"/>
                <w:szCs w:val="19"/>
              </w:rPr>
              <w:t xml:space="preserve">• tenure_in_role_months: months from role_start_date to report date</w:t>
            </w:r>
          </w:p>
          <w:p>
            <w:pPr>
              <w:spacing w:before="0" w:after="80"/>
              <w:jc w:val="left"/>
            </w:pPr>
            <w:r>
              <w:rPr>
                <w:rFonts w:ascii="Arial" w:cs="Arial" w:eastAsia="Arial" w:hAnsi="Arial"/>
                <w:b w:val="false"/>
                <w:bCs w:val="false"/>
                <w:i w:val="false"/>
                <w:iCs w:val="false"/>
                <w:color w:val="2C3E50"/>
                <w:sz w:val="19"/>
                <w:szCs w:val="19"/>
              </w:rPr>
              <w:t xml:space="preserve">• headcount_delta: current period count minus prior period count per department</w:t>
            </w:r>
          </w:p>
          <w:p>
            <w:pPr>
              <w:spacing w:before="0" w:after="80"/>
              <w:jc w:val="left"/>
            </w:pPr>
            <w:r>
              <w:rPr>
                <w:rFonts w:ascii="Arial" w:cs="Arial" w:eastAsia="Arial" w:hAnsi="Arial"/>
                <w:b w:val="false"/>
                <w:bCs w:val="false"/>
                <w:i w:val="false"/>
                <w:iCs w:val="false"/>
                <w:color w:val="2C3E50"/>
                <w:sz w:val="19"/>
                <w:szCs w:val="19"/>
              </w:rPr>
              <w:t xml:space="preserve">• headcount_vs_budget_variance: actual filled positions vs budgeted_headcount</w:t>
            </w:r>
          </w:p>
          <w:p>
            <w:pPr>
              <w:spacing w:before="0" w:after="80"/>
              <w:jc w:val="left"/>
            </w:pPr>
            <w:r>
              <w:rPr>
                <w:rFonts w:ascii="Arial" w:cs="Arial" w:eastAsia="Arial" w:hAnsi="Arial"/>
                <w:b w:val="false"/>
                <w:bCs w:val="false"/>
                <w:i w:val="false"/>
                <w:iCs w:val="false"/>
                <w:color w:val="2C3E50"/>
                <w:sz w:val="19"/>
                <w:szCs w:val="19"/>
              </w:rPr>
              <w:t xml:space="preserve">• is_new_hire: boolean — hire_date falls within the current reporting period</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2E75B6"/>
                <w:sz w:val="18"/>
                <w:szCs w:val="18"/>
              </w:rPr>
              <w:t xml:space="preserve">Error Handling &amp; Edge Cases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happens if the uploaded CSV has missing required columns?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Hard reject. The pipeline validates the schema before processing any rows. If any required column is absent, the entire upload is rejected with a clear error message listing exactly which columns are missing. No partial loads.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happens if an employee appears in the current file but not the prior period?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The pipeline determines the record status based on hire_date. If hire_date falls within the current reporting period, the employee is classified as a new hire and included in new hire KPIs. If hire_date predates the reporting period and the employee was not in the prior period file, the record is flagged as a data anomaly in the pipeline run log.</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happens if a department has no corresponding budget figure?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Flag and continue. The department is included in all headcount KPIs but the headcount vs budget variance for that department is displayed as 'Budget Not Configured' rather than a numeric value. HR is alerted via a pipeline warning.</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 pipeline run logged?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Every pipeline run is logged with: timestamp, HR user who triggered the upload, reporting period covered, total records processed, new hire count, leaver count, any validation warnings raised, and final status (Success / Failed / Partial).</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7A589" w:val="clear"/>
            <w:tcMar>
              <w:top w:type="dxa" w:w="80"/>
              <w:left w:type="dxa" w:w="140"/>
              <w:bottom w:type="dxa" w:w="80"/>
              <w:right w:type="dxa" w:w="140"/>
            </w:tcMar>
          </w:tcPr>
          <w:p>
            <w:pPr>
              <w:spacing w:before="0" w:after="80"/>
              <w:jc w:val="center"/>
            </w:pPr>
            <w:r>
              <w:rPr>
                <w:rFonts w:ascii="Arial" w:cs="Arial" w:eastAsia="Arial" w:hAnsi="Arial"/>
                <w:b/>
                <w:bCs/>
                <w:i w:val="false"/>
                <w:iCs w:val="false"/>
                <w:color w:val="FFFFFF"/>
                <w:sz w:val="34"/>
                <w:szCs w:val="34"/>
              </w:rPr>
              <w:t xml:space="preserve">WF4</w:t>
            </w:r>
          </w:p>
          <w:p>
            <w:pPr>
              <w:spacing w:before="0" w:after="80"/>
              <w:jc w:val="center"/>
            </w:pPr>
            <w:r>
              <w:rPr>
                <w:rFonts w:ascii="Arial" w:cs="Arial" w:eastAsia="Arial" w:hAnsi="Arial"/>
                <w:b w:val="false"/>
                <w:bCs w:val="false"/>
                <w:i/>
                <w:iCs/>
                <w:color w:val="D6EAF8"/>
                <w:sz w:val="17"/>
                <w:szCs w:val="17"/>
              </w:rPr>
              <w:t xml:space="preserve">OPERATIONAL</w:t>
            </w:r>
          </w:p>
        </w:tc>
        <w:tc>
          <w:tcPr>
            <w:tcW w:type="dxa" w:w="7860"/>
            <w:tcBorders>
              <w:top w:val="single" w:color="CCCCCC" w:sz="1"/>
              <w:left w:val="single" w:color="CCCCCC" w:sz="1"/>
              <w:bottom w:val="single" w:color="CCCCCC" w:sz="1"/>
              <w:right w:val="single" w:color="CCCCCC" w:sz="1"/>
            </w:tcBorders>
            <w:shd w:fill="17A589"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4"/>
                <w:szCs w:val="24"/>
              </w:rPr>
              <w:t xml:space="preserve">Performance Management Cycle Automation</w:t>
            </w:r>
          </w:p>
          <w:p>
            <w:pPr>
              <w:spacing w:before="0" w:after="80"/>
              <w:jc w:val="left"/>
            </w:pPr>
            <w:r>
              <w:rPr>
                <w:rFonts w:ascii="Arial" w:cs="Arial" w:eastAsia="Arial" w:hAnsi="Arial"/>
                <w:b w:val="false"/>
                <w:bCs w:val="false"/>
                <w:i w:val="false"/>
                <w:iCs w:val="false"/>
                <w:color w:val="EBF5FB"/>
                <w:sz w:val="18"/>
                <w:szCs w:val="18"/>
              </w:rPr>
              <w:t xml:space="preserve">Structures and automates the weekly 1:1, monthly check-in, and quarterly review cycle. Produces the formal performance rating that triggers WF2 merit eligibility and feeds risk signals into WF3.</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CCCCCC" w:sz="1"/>
              <w:left w:val="single" w:color="CCCCCC" w:sz="1"/>
              <w:bottom w:val="single" w:color="CCCCCC" w:sz="1"/>
              <w:right w:val="single" w:color="CCCCCC" w:sz="1"/>
            </w:tcBorders>
            <w:shd w:fill="17A589"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0"/>
                <w:szCs w:val="20"/>
              </w:rPr>
              <w:t xml:space="preserve">Confirmed Decisions — Performance Management Cycle Automation</w:t>
            </w:r>
          </w:p>
        </w:tc>
      </w:tr>
      <w:tr>
        <w:tc>
          <w:tcPr>
            <w:tcW w:type="dxa" w:w="3800"/>
            <w:tcBorders>
              <w:top w:val="single" w:color="CCCCCC" w:sz="1"/>
              <w:left w:val="single" w:color="CCCCCC" w:sz="1"/>
              <w:bottom w:val="single" w:color="CCCCCC" w:sz="1"/>
              <w:right w:val="single" w:color="CCCCCC" w:sz="1"/>
            </w:tcBorders>
            <w:shd w:fill="D0F0EB"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Point</w:t>
            </w:r>
          </w:p>
        </w:tc>
        <w:tc>
          <w:tcPr>
            <w:tcW w:type="dxa" w:w="5560"/>
            <w:tcBorders>
              <w:top w:val="single" w:color="CCCCCC" w:sz="1"/>
              <w:left w:val="single" w:color="CCCCCC" w:sz="1"/>
              <w:bottom w:val="single" w:color="CCCCCC" w:sz="1"/>
              <w:right w:val="single" w:color="CCCCCC" w:sz="1"/>
            </w:tcBorders>
            <w:shd w:fill="D0F0EB"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 Confirmed Scope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17A589"/>
                <w:sz w:val="18"/>
                <w:szCs w:val="18"/>
              </w:rPr>
              <w:t xml:space="preserve">Process Scope &amp; Cycle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Which timeframes does this workflow cover?</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three: weekly 1:1, monthly check-in, and quarterly review. Each operates as a distinct process with its own data model, actors, and outputs, but all three feed into a single performance history record per employee.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Who are the actors across the three cycles?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Weekly 1:1: Employee and manager both contribute to the same record.</w:t>
            </w:r>
          </w:p>
          <w:p>
            <w:pPr>
              <w:spacing w:before="0" w:after="80"/>
              <w:jc w:val="left"/>
            </w:pPr>
            <w:r>
              <w:rPr>
                <w:rFonts w:ascii="Arial" w:cs="Arial" w:eastAsia="Arial" w:hAnsi="Arial"/>
                <w:b w:val="false"/>
                <w:bCs w:val="false"/>
                <w:i w:val="false"/>
                <w:iCs w:val="false"/>
                <w:color w:val="2C3E50"/>
                <w:sz w:val="19"/>
                <w:szCs w:val="19"/>
              </w:rPr>
              <w:t xml:space="preserve">Monthly check-in: Manager submits; employee receives a read-only summary and must acknowledge receipt.</w:t>
            </w:r>
          </w:p>
          <w:p>
            <w:pPr>
              <w:spacing w:before="0" w:after="80"/>
              <w:jc w:val="left"/>
            </w:pPr>
            <w:r>
              <w:rPr>
                <w:rFonts w:ascii="Arial" w:cs="Arial" w:eastAsia="Arial" w:hAnsi="Arial"/>
                <w:b w:val="false"/>
                <w:bCs w:val="false"/>
                <w:i w:val="false"/>
                <w:iCs w:val="false"/>
                <w:color w:val="2C3E50"/>
                <w:sz w:val="19"/>
                <w:szCs w:val="19"/>
              </w:rPr>
              <w:t xml:space="preserve">Quarterly review: Employee submits a self-assessment first (previous quarter goals + upcoming quarter goals). Manager reviews, rates across four dimensions, and submits. HR validates and approves before the review is delivered to the employee.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17A589"/>
                <w:sz w:val="18"/>
                <w:szCs w:val="18"/>
              </w:rPr>
              <w:t xml:space="preserve">Weekly 1:1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does the weekly 1:1 work collaboratively?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The employee has access to the current week's 1:1 record at any time during the week and can add discussion topics, questions, and any items they want to raise. This record is open and visible to the manager. At the 1:1 meeting, the manager opens the record, works through the employee's submitted items, then completes the manager's portion: agreed actions, a sentiment flag, any blockers raised, and recognition given. The manager submits to close the record for that week.</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the sentiment flag captured?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 three-option dropdown: Positive / Neutral / Concerning. Selected by the manager when closing the weekly record.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weekly 1:1 logging mandatory?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Not enforced as a hard block, but the system monitors cadence. If no 1:1 record is submitted for a given employee for 14 consecutive calendar days, an alert is raised to both the manager and the HR admin. This feeds WF3 as a risk signal.</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fields constitute a valid / complete weekly 1:1 record?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Minimum required for a record to be counted as complete: at least one discussion topic (from either party), agreed actions field completed (can be 'None this week'), and a sentiment flag selected by the manager.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happens when a 1:1 is missed?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An automated alert is sent to the manager and to HR after 14 days without a submitted record for any active direct report. The missed 1:1 is logged in the employee's performance history and contributes to the WF3 attrition risk calculation.</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17A589"/>
                <w:sz w:val="18"/>
                <w:szCs w:val="18"/>
              </w:rPr>
              <w:t xml:space="preserve">Monthly Check-In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structured fields does the monthly check-in contain?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Goal progress % (per active quarterly objective), key achievements narrative, development focus for the coming month, manager's overall rating of the month (Positive / Neutral / Concerning, consistent with weekly sentiment scale), and an overall check-in sentiment summary.</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there a goal-tracking component?</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Goals are assigned at the quarterly review and tracked monthly. Each active quarterly objective has a progress % updated by the manager during the monthly check-in. The quarterly review aggregates these monthly progress updates into the final performance rating.</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constitutes a completed monthly check-in?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Manager submission only. The manager completes and submits the check-in record. Upon submission, the employee receives a read-only summary notification within the application and must acknowledge receipt. The acknowledgement is timestamped and stored. A check-in is not marked as complete until the employee has acknowledged it.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Who can see the monthly check-in record?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The manager who submitted it and HR admin. The employee sees a read-only summary upon acknowledgement but does not have access to the full check-in record.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there an HR compliance dashboard for monthly check-in completion?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HR has a view showing all managers, their total direct reports, monthly check-in completion rate for the current period, number of overdue check-ins, and a flag for any manager with a completion rate below 100% for two or more consecutive months.</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17A589"/>
                <w:sz w:val="18"/>
                <w:szCs w:val="18"/>
              </w:rPr>
              <w:t xml:space="preserve">Quarterly Review &amp; Rating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is the quarterly review dual-endpoint design?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Each quarterly review record has two phases that occur at the same meeting:</w:t>
            </w:r>
          </w:p>
          <w:p>
            <w:pPr>
              <w:spacing w:before="0" w:after="80"/>
              <w:jc w:val="left"/>
            </w:pPr>
            <w:r>
              <w:rPr>
                <w:rFonts w:ascii="Arial" w:cs="Arial" w:eastAsia="Arial" w:hAnsi="Arial"/>
                <w:b w:val="false"/>
                <w:bCs w:val="false"/>
                <w:i w:val="false"/>
                <w:iCs w:val="false"/>
                <w:color w:val="2C3E50"/>
                <w:sz w:val="19"/>
                <w:szCs w:val="19"/>
              </w:rPr>
              <w:t xml:space="preserve">• Closing phase: Delivery of results for the quarter just completed — manager rates the employee across four dimensions and provides narrative for each.</w:t>
            </w:r>
          </w:p>
          <w:p>
            <w:pPr>
              <w:spacing w:before="0" w:after="80"/>
              <w:jc w:val="left"/>
            </w:pPr>
            <w:r>
              <w:rPr>
                <w:rFonts w:ascii="Arial" w:cs="Arial" w:eastAsia="Arial" w:hAnsi="Arial"/>
                <w:b w:val="false"/>
                <w:bCs w:val="false"/>
                <w:i w:val="false"/>
                <w:iCs w:val="false"/>
                <w:color w:val="2C3E50"/>
                <w:sz w:val="19"/>
                <w:szCs w:val="19"/>
              </w:rPr>
              <w:t xml:space="preserve">• Opening phase: Goals are set for the upcoming quarter — both parties confirm objectives for the next 90 days.</w:t>
            </w:r>
          </w:p>
          <w:p>
            <w:pPr>
              <w:spacing w:before="0" w:after="80"/>
              <w:jc w:val="left"/>
            </w:pPr>
            <w:r>
              <w:rPr>
                <w:rFonts w:ascii="Arial" w:cs="Arial" w:eastAsia="Arial" w:hAnsi="Arial"/>
                <w:b w:val="false"/>
                <w:bCs w:val="false"/>
                <w:i w:val="false"/>
                <w:iCs w:val="false"/>
                <w:color w:val="2C3E50"/>
                <w:sz w:val="19"/>
                <w:szCs w:val="19"/>
              </w:rPr>
              <w:t xml:space="preserve">Both phases are part of a single review record. The current quarter's open goals and the prior quarter's closed results are both visible to the employee at any time during weekly 1:1s throughout the quarter. This ensures goal visibility is continuous, not episodic.</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rating scale is used?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Four categories: Exceeds Expectations / Meets Expectations / Below Expectations / New to Role (still in learning curve). 'New to Role' is available for employees in their first 90 days in a position and prevents penalising employees for performance during their onboarding period.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dimensions are rated in the quarterly review?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Four dimensions, each rated independently on the four-category scale: (1) Overall Performance, (2) Delivery — quality and timeliness of outputs, (3) Behaviour &amp; Values — alignment with company values and team contribution, (4) Development — progress against development objectives. An overall composite rating is also generated from the four dimension ratings.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Does the quarterly review auto-aggregate from prior period data?</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The system pre-populates a performance summary for the manager to review before submitting ratings. The pre-population includes: average weekly sentiment across the quarter, total 1:1s completed vs expected, missed 1:1 count, monthly check-in completion record, goal progress % per objective (from monthly check-ins), and a summary of agreed actions and their completion status.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there a calibration / approval step?</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Once the manager submits the completed quarterly review, it enters an HR review queue. HR validates the ratings for consistency and fairness before approving. If HR raises a query, the review is returned to the manager with a note. Once HR approves, the review is formally delivered to the employee within the application. The employee sees the approved rating and narrative only after HR sign-off.</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is the formal output passed to WF2?</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Three fields are passed from the completed quarterly review to WF2: (1) overall composite rating (Exceeds / Meets / Below / New to Role), (2) review submission date, (3) reviewing manager name. The full narrative is stored in the system but only the rating and metadata are consumed by the WF2 eligibility engine.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happens if a manager submits without completing enough monthly check-ins?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The system flags the gap and routes the quarterly review to HR for a manual decision. HR can approve and proceed as an exception, return it to the manager with a requirement to complete the missing check-ins first, or escalate. The exception decision and reason are logged. This is not a hard system block — it is a governance checkpoint with HR as the decision-maker.</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17A589"/>
                <w:sz w:val="18"/>
                <w:szCs w:val="18"/>
              </w:rPr>
              <w:t xml:space="preserve">Dashboard &amp; Visibility</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the manager dashboard show?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 list of all direct reports with the following per employee: name and role, date of last 1:1, date of last monthly check-in, expected date of next 1:1 (14 days from last), current quarter status (goals set / in progress / review due / review submitted / completed), and a flag if any record is overdue.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the HR admin dashboard show?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managers and their direct reports. For each manager: total headcount, 1:1 completion rate (last 30 days), monthly check-in completion rate (current period), quarterly reviews due vs submitted, overdue alerts, and any WF3 risk signals triggered by performance data.</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Does the employee have a self-service view?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Employees can view their own performance history: all closed quarterly reviews (ratings, narratives, and goals), acknowledged monthly check-in summaries, and their current quarter's open goals. Employees cannot see manager sentiment flags from weekly 1:1s — only the agreed actions and discussion topics from their own weekly submissions.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far back is history visible?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time. Full performance history is retained and accessible for the duration of employment.</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17A589"/>
                <w:sz w:val="18"/>
                <w:szCs w:val="18"/>
              </w:rPr>
              <w:t xml:space="preserve">Signals Passed to WF3 — Attrition Risk</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Which WF4 data points feed WF3?</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engagement and performance signals feed the attrition risk engine:</w:t>
            </w:r>
          </w:p>
          <w:p>
            <w:pPr>
              <w:spacing w:before="0" w:after="80"/>
              <w:jc w:val="left"/>
            </w:pPr>
            <w:r>
              <w:rPr>
                <w:rFonts w:ascii="Arial" w:cs="Arial" w:eastAsia="Arial" w:hAnsi="Arial"/>
                <w:b w:val="false"/>
                <w:bCs w:val="false"/>
                <w:i w:val="false"/>
                <w:iCs w:val="false"/>
                <w:color w:val="2C3E50"/>
                <w:sz w:val="19"/>
                <w:szCs w:val="19"/>
              </w:rPr>
              <w:t xml:space="preserve">• Weekly 1:1 sentiment trend (last 90 days) — scoring based on consecutive negative flags</w:t>
            </w:r>
          </w:p>
          <w:p>
            <w:pPr>
              <w:spacing w:before="0" w:after="80"/>
              <w:jc w:val="left"/>
            </w:pPr>
            <w:r>
              <w:rPr>
                <w:rFonts w:ascii="Arial" w:cs="Arial" w:eastAsia="Arial" w:hAnsi="Arial"/>
                <w:b w:val="false"/>
                <w:bCs w:val="false"/>
                <w:i w:val="false"/>
                <w:iCs w:val="false"/>
                <w:color w:val="2C3E50"/>
                <w:sz w:val="19"/>
                <w:szCs w:val="19"/>
              </w:rPr>
              <w:t xml:space="preserve">• Weekly 1:1 frequency — number of missed records in last 90 days</w:t>
            </w:r>
          </w:p>
          <w:p>
            <w:pPr>
              <w:spacing w:before="0" w:after="80"/>
              <w:jc w:val="left"/>
            </w:pPr>
            <w:r>
              <w:rPr>
                <w:rFonts w:ascii="Arial" w:cs="Arial" w:eastAsia="Arial" w:hAnsi="Arial"/>
                <w:b w:val="false"/>
                <w:bCs w:val="false"/>
                <w:i w:val="false"/>
                <w:iCs w:val="false"/>
                <w:color w:val="2C3E50"/>
                <w:sz w:val="19"/>
                <w:szCs w:val="19"/>
              </w:rPr>
              <w:t xml:space="preserve">• Monthly check-in completion rate — any missed check-ins in the current quarter</w:t>
            </w:r>
          </w:p>
          <w:p>
            <w:pPr>
              <w:spacing w:before="0" w:after="80"/>
              <w:jc w:val="left"/>
            </w:pPr>
            <w:r>
              <w:rPr>
                <w:rFonts w:ascii="Arial" w:cs="Arial" w:eastAsia="Arial" w:hAnsi="Arial"/>
                <w:b w:val="false"/>
                <w:bCs w:val="false"/>
                <w:i w:val="false"/>
                <w:iCs w:val="false"/>
                <w:color w:val="2C3E50"/>
                <w:sz w:val="19"/>
                <w:szCs w:val="19"/>
              </w:rPr>
              <w:t xml:space="preserve">• Quarterly performance rating trajectory — direction of change across the last two completed quarters</w:t>
            </w:r>
          </w:p>
          <w:p>
            <w:pPr>
              <w:spacing w:before="0" w:after="80"/>
              <w:jc w:val="left"/>
            </w:pPr>
            <w:r>
              <w:rPr>
                <w:rFonts w:ascii="Arial" w:cs="Arial" w:eastAsia="Arial" w:hAnsi="Arial"/>
                <w:b w:val="false"/>
                <w:bCs w:val="false"/>
                <w:i w:val="false"/>
                <w:iCs w:val="false"/>
                <w:color w:val="2C3E50"/>
                <w:sz w:val="19"/>
                <w:szCs w:val="19"/>
              </w:rPr>
              <w:t xml:space="preserve">• Overdue or incomplete quarterly review — flag if review is past due date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threshold converts a WF4 signal into a risk score?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 Sentiment trend: 2 consecutive Concerning flags = medium risk (50 pts); 3+ consecutive = high risk (100 pts)</w:t>
            </w:r>
          </w:p>
          <w:p>
            <w:pPr>
              <w:spacing w:before="0" w:after="80"/>
              <w:jc w:val="left"/>
            </w:pPr>
            <w:r>
              <w:rPr>
                <w:rFonts w:ascii="Arial" w:cs="Arial" w:eastAsia="Arial" w:hAnsi="Arial"/>
                <w:b w:val="false"/>
                <w:bCs w:val="false"/>
                <w:i w:val="false"/>
                <w:iCs w:val="false"/>
                <w:color w:val="2C3E50"/>
                <w:sz w:val="19"/>
                <w:szCs w:val="19"/>
              </w:rPr>
              <w:t xml:space="preserve">• Missed 1:1s / 90 days: 2 missed = medium risk (50 pts); 3+ missed = high risk (100 pts)</w:t>
            </w:r>
          </w:p>
          <w:p>
            <w:pPr>
              <w:spacing w:before="0" w:after="80"/>
              <w:jc w:val="left"/>
            </w:pPr>
            <w:r>
              <w:rPr>
                <w:rFonts w:ascii="Arial" w:cs="Arial" w:eastAsia="Arial" w:hAnsi="Arial"/>
                <w:b w:val="false"/>
                <w:bCs w:val="false"/>
                <w:i w:val="false"/>
                <w:iCs w:val="false"/>
                <w:color w:val="2C3E50"/>
                <w:sz w:val="19"/>
                <w:szCs w:val="19"/>
              </w:rPr>
              <w:t xml:space="preserve">• Monthly check-ins: no missed check-ins = no signal; any missed check-in in the quarter = medium risk (50 pts)</w:t>
            </w:r>
          </w:p>
          <w:p>
            <w:pPr>
              <w:spacing w:before="0" w:after="80"/>
              <w:jc w:val="left"/>
            </w:pPr>
            <w:r>
              <w:rPr>
                <w:rFonts w:ascii="Arial" w:cs="Arial" w:eastAsia="Arial" w:hAnsi="Arial"/>
                <w:b w:val="false"/>
                <w:bCs w:val="false"/>
                <w:i w:val="false"/>
                <w:iCs w:val="false"/>
                <w:color w:val="2C3E50"/>
                <w:sz w:val="19"/>
                <w:szCs w:val="19"/>
              </w:rPr>
              <w:t xml:space="preserve">• Rating trajectory: stable or improving = no signal; declined one quarter = medium (50 pts); declined two consecutive quarters = high (100 pts)</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6C3483" w:val="clear"/>
            <w:tcMar>
              <w:top w:type="dxa" w:w="80"/>
              <w:left w:type="dxa" w:w="140"/>
              <w:bottom w:type="dxa" w:w="80"/>
              <w:right w:type="dxa" w:w="140"/>
            </w:tcMar>
          </w:tcPr>
          <w:p>
            <w:pPr>
              <w:spacing w:before="0" w:after="80"/>
              <w:jc w:val="center"/>
            </w:pPr>
            <w:r>
              <w:rPr>
                <w:rFonts w:ascii="Arial" w:cs="Arial" w:eastAsia="Arial" w:hAnsi="Arial"/>
                <w:b/>
                <w:bCs/>
                <w:i w:val="false"/>
                <w:iCs w:val="false"/>
                <w:color w:val="FFFFFF"/>
                <w:sz w:val="34"/>
                <w:szCs w:val="34"/>
              </w:rPr>
              <w:t xml:space="preserve">WF2</w:t>
            </w:r>
          </w:p>
          <w:p>
            <w:pPr>
              <w:spacing w:before="0" w:after="80"/>
              <w:jc w:val="center"/>
            </w:pPr>
            <w:r>
              <w:rPr>
                <w:rFonts w:ascii="Arial" w:cs="Arial" w:eastAsia="Arial" w:hAnsi="Arial"/>
                <w:b w:val="false"/>
                <w:bCs w:val="false"/>
                <w:i/>
                <w:iCs/>
                <w:color w:val="D6EAF8"/>
                <w:sz w:val="17"/>
                <w:szCs w:val="17"/>
              </w:rPr>
              <w:t xml:space="preserve">OPERATIONAL</w:t>
            </w:r>
          </w:p>
        </w:tc>
        <w:tc>
          <w:tcPr>
            <w:tcW w:type="dxa" w:w="7860"/>
            <w:tcBorders>
              <w:top w:val="single" w:color="CCCCCC" w:sz="1"/>
              <w:left w:val="single" w:color="CCCCCC" w:sz="1"/>
              <w:bottom w:val="single" w:color="CCCCCC" w:sz="1"/>
              <w:right w:val="single" w:color="CCCCCC" w:sz="1"/>
            </w:tcBorders>
            <w:shd w:fill="6C3483"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4"/>
                <w:szCs w:val="24"/>
              </w:rPr>
              <w:t xml:space="preserve">Compensation Review Cycle Automation</w:t>
            </w:r>
          </w:p>
          <w:p>
            <w:pPr>
              <w:spacing w:before="0" w:after="80"/>
              <w:jc w:val="left"/>
            </w:pPr>
            <w:r>
              <w:rPr>
                <w:rFonts w:ascii="Arial" w:cs="Arial" w:eastAsia="Arial" w:hAnsi="Arial"/>
                <w:b w:val="false"/>
                <w:bCs w:val="false"/>
                <w:i w:val="false"/>
                <w:iCs w:val="false"/>
                <w:color w:val="EBF5FB"/>
                <w:sz w:val="18"/>
                <w:szCs w:val="18"/>
              </w:rPr>
              <w:t xml:space="preserve">Automates bi-annual merit review eligibility determination, budget pool management, and manager recommendation collection. Consumes WF1 headcount data and WF4 performance ratings as direct inputs.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CCCCCC" w:sz="1"/>
              <w:left w:val="single" w:color="CCCCCC" w:sz="1"/>
              <w:bottom w:val="single" w:color="CCCCCC" w:sz="1"/>
              <w:right w:val="single" w:color="CCCCCC" w:sz="1"/>
            </w:tcBorders>
            <w:shd w:fill="6C3483"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0"/>
                <w:szCs w:val="20"/>
              </w:rPr>
              <w:t xml:space="preserve">Confirmed Decisions — Compensation Review Cycle Automation</w:t>
            </w:r>
          </w:p>
        </w:tc>
      </w:tr>
      <w:tr>
        <w:tc>
          <w:tcPr>
            <w:tcW w:type="dxa" w:w="3800"/>
            <w:tcBorders>
              <w:top w:val="single" w:color="CCCCCC" w:sz="1"/>
              <w:left w:val="single" w:color="CCCCCC" w:sz="1"/>
              <w:bottom w:val="single" w:color="CCCCCC" w:sz="1"/>
              <w:right w:val="single" w:color="CCCCCC" w:sz="1"/>
            </w:tcBorders>
            <w:shd w:fill="E8DAEF"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Point</w:t>
            </w:r>
          </w:p>
        </w:tc>
        <w:tc>
          <w:tcPr>
            <w:tcW w:type="dxa" w:w="5560"/>
            <w:tcBorders>
              <w:top w:val="single" w:color="CCCCCC" w:sz="1"/>
              <w:left w:val="single" w:color="CCCCCC" w:sz="1"/>
              <w:bottom w:val="single" w:color="CCCCCC" w:sz="1"/>
              <w:right w:val="single" w:color="CCCCCC" w:sz="1"/>
            </w:tcBorders>
            <w:shd w:fill="E8DAEF"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 Confirmed Scope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6C3483"/>
                <w:sz w:val="18"/>
                <w:szCs w:val="18"/>
              </w:rPr>
              <w:t xml:space="preserve">Process Scope &amp; Cycle Trigger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often does the compensation review run?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Bi-annually. Two fixed cycles per calendar year:</w:t>
            </w:r>
          </w:p>
          <w:p>
            <w:pPr>
              <w:spacing w:before="0" w:after="80"/>
              <w:jc w:val="left"/>
            </w:pPr>
            <w:r>
              <w:rPr>
                <w:rFonts w:ascii="Arial" w:cs="Arial" w:eastAsia="Arial" w:hAnsi="Arial"/>
                <w:b w:val="false"/>
                <w:bCs w:val="false"/>
                <w:i w:val="false"/>
                <w:iCs w:val="false"/>
                <w:color w:val="2C3E50"/>
                <w:sz w:val="19"/>
                <w:szCs w:val="19"/>
              </w:rPr>
              <w:t xml:space="preserve">• Cycle 1: Covers January–June performance period. Review conducted in July.</w:t>
            </w:r>
          </w:p>
          <w:p>
            <w:pPr>
              <w:spacing w:before="0" w:after="80"/>
              <w:jc w:val="left"/>
            </w:pPr>
            <w:r>
              <w:rPr>
                <w:rFonts w:ascii="Arial" w:cs="Arial" w:eastAsia="Arial" w:hAnsi="Arial"/>
                <w:b w:val="false"/>
                <w:bCs w:val="false"/>
                <w:i w:val="false"/>
                <w:iCs w:val="false"/>
                <w:color w:val="2C3E50"/>
                <w:sz w:val="19"/>
                <w:szCs w:val="19"/>
              </w:rPr>
              <w:t xml:space="preserve">• Cycle 2: Covers July–December performance period. Review conducted in January of the following year.</w:t>
            </w:r>
          </w:p>
          <w:p>
            <w:pPr>
              <w:spacing w:before="0" w:after="80"/>
              <w:jc w:val="left"/>
            </w:pPr>
            <w:r>
              <w:rPr>
                <w:rFonts w:ascii="Arial" w:cs="Arial" w:eastAsia="Arial" w:hAnsi="Arial"/>
                <w:b w:val="false"/>
                <w:bCs w:val="false"/>
                <w:i w:val="false"/>
                <w:iCs w:val="false"/>
                <w:color w:val="2C3E50"/>
                <w:sz w:val="19"/>
                <w:szCs w:val="19"/>
              </w:rPr>
              <w:t xml:space="preserve">This applies to all employee groups. Sales and executive compensation structures may have additional off-cycle adjustments handled outside this workflow.</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triggers the start of a review cycle?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An HR admin manually opens a review cycle within the application, selecting the cycle period (Cycle 1 or Cycle 2) and setting the submission deadline for manager recommendations. Opening a cycle activates the eligibility engine and makes the recommendation forms visible to managers.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Are there separate cycles for different employee groups?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The system supports separate cycle configurations for different employee groups. In v1 this is used to manage the sales population separately from the general population, as their eligibility rules and timing may differ. Both groups run through the same underlying workflow engine with different configuration parameters.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is the review lookback period?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Six months — the duration of the review cycle. Cycle 1 looks back at January–June. Cycle 2 looks back at July–December. Anniversary-date-based reviews are out of scope for v1.</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6C3483"/>
                <w:sz w:val="18"/>
                <w:szCs w:val="18"/>
              </w:rPr>
              <w:t xml:space="preserve">Eligibility Rules Engine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are the eligibility criteria for a merit increase?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An employee must satisfy all of the following to be eligible:</w:t>
            </w:r>
          </w:p>
          <w:p>
            <w:pPr>
              <w:spacing w:before="0" w:after="80"/>
              <w:jc w:val="left"/>
            </w:pPr>
            <w:r>
              <w:rPr>
                <w:rFonts w:ascii="Arial" w:cs="Arial" w:eastAsia="Arial" w:hAnsi="Arial"/>
                <w:b w:val="false"/>
                <w:bCs w:val="false"/>
                <w:i w:val="false"/>
                <w:iCs w:val="false"/>
                <w:color w:val="2C3E50"/>
                <w:sz w:val="19"/>
                <w:szCs w:val="19"/>
              </w:rPr>
              <w:t xml:space="preserve">• Active employment status at the time the cycle opens (not terminated, not on long-term leave)</w:t>
            </w:r>
          </w:p>
          <w:p>
            <w:pPr>
              <w:spacing w:before="0" w:after="80"/>
              <w:jc w:val="left"/>
            </w:pPr>
            <w:r>
              <w:rPr>
                <w:rFonts w:ascii="Arial" w:cs="Arial" w:eastAsia="Arial" w:hAnsi="Arial"/>
                <w:b w:val="false"/>
                <w:bCs w:val="false"/>
                <w:i w:val="false"/>
                <w:iCs w:val="false"/>
                <w:color w:val="2C3E50"/>
                <w:sz w:val="19"/>
                <w:szCs w:val="19"/>
              </w:rPr>
              <w:t xml:space="preserve">• Employment type is Permanent (fixed-term and contractor employees are excluded)</w:t>
            </w:r>
          </w:p>
          <w:p>
            <w:pPr>
              <w:spacing w:before="0" w:after="80"/>
              <w:jc w:val="left"/>
            </w:pPr>
            <w:r>
              <w:rPr>
                <w:rFonts w:ascii="Arial" w:cs="Arial" w:eastAsia="Arial" w:hAnsi="Arial"/>
                <w:b w:val="false"/>
                <w:bCs w:val="false"/>
                <w:i w:val="false"/>
                <w:iCs w:val="false"/>
                <w:color w:val="2C3E50"/>
                <w:sz w:val="19"/>
                <w:szCs w:val="19"/>
              </w:rPr>
              <w:t xml:space="preserve">• Minimum tenure: must have been in their current role for at least 6 months as of the cycle open date (measured from role_start_date in WF1 data)</w:t>
            </w:r>
          </w:p>
          <w:p>
            <w:pPr>
              <w:spacing w:before="0" w:after="80"/>
              <w:jc w:val="left"/>
            </w:pPr>
            <w:r>
              <w:rPr>
                <w:rFonts w:ascii="Arial" w:cs="Arial" w:eastAsia="Arial" w:hAnsi="Arial"/>
                <w:b w:val="false"/>
                <w:bCs w:val="false"/>
                <w:i w:val="false"/>
                <w:iCs w:val="false"/>
                <w:color w:val="2C3E50"/>
                <w:sz w:val="19"/>
                <w:szCs w:val="19"/>
              </w:rPr>
              <w:t xml:space="preserve">• Performance rating: must hold a rating of Meets Expectations or above in the most recent completed quarterly review</w:t>
            </w:r>
          </w:p>
          <w:p>
            <w:pPr>
              <w:spacing w:before="0" w:after="80"/>
              <w:jc w:val="left"/>
            </w:pPr>
            <w:r>
              <w:rPr>
                <w:rFonts w:ascii="Arial" w:cs="Arial" w:eastAsia="Arial" w:hAnsi="Arial"/>
                <w:b w:val="false"/>
                <w:bCs w:val="false"/>
                <w:i w:val="false"/>
                <w:iCs w:val="false"/>
                <w:color w:val="2C3E50"/>
                <w:sz w:val="19"/>
                <w:szCs w:val="19"/>
              </w:rPr>
              <w:t xml:space="preserve">• Completed quarterly review on file: at least one HR-approved quarterly review must exist for the current review period (hard requirement — no review = ineligible)</w:t>
            </w:r>
          </w:p>
          <w:p>
            <w:pPr>
              <w:spacing w:before="0" w:after="80"/>
              <w:jc w:val="left"/>
            </w:pPr>
            <w:r>
              <w:rPr>
                <w:rFonts w:ascii="Arial" w:cs="Arial" w:eastAsia="Arial" w:hAnsi="Arial"/>
                <w:b w:val="false"/>
                <w:bCs w:val="false"/>
                <w:i w:val="false"/>
                <w:iCs w:val="false"/>
                <w:color w:val="2C3E50"/>
                <w:sz w:val="19"/>
                <w:szCs w:val="19"/>
              </w:rPr>
              <w:t xml:space="preserve">• Not currently on a formal Performance Improvement Plan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minimum tenure measured from hire date or role start date?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Role start date (role_start_date from WF1). An employee who was promoted or transferred into a new role is subject to the 6-month minimum for that role, even if their overall company tenure is longer.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performance rating makes an employee eligible?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Meets Expectations or above. Employees rated Below Expectations in their most recent quarterly review are ineligible for the current cycle. Employees rated New to Role are excluded automatically (they will be eligible in the following cycle once a substantive rating has been issued).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Are there any automatic exclusions?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Employees hired within the last 3 months (hire_date within 90 days of cycle open date), employees on long-term leave (status = On Leave in WF1 data), and employees currently on a Performance Improvement Plan are automatically excluded regardless of all other eligibility criteria.</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a completed WF4 quarterly review a hard requirement?</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 hard requirement. If no HR-approved quarterly review exists for the employee within the current review period, the employee is automatically excluded from the cycle. This cannot be overridden by the manager. An HR admin override is available with mandatory logged justification.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Can HR override an eligibility determination?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HR admin can override any system-generated eligibility determination in either direction — making an ineligible employee eligible, or excluding an otherwise-eligible employee. Every override is logged with: the HR admin's name, the original system determination, the override decision, and a mandatory free-text justification. Override log is permanent and non-deletable.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6C3483"/>
                <w:sz w:val="18"/>
                <w:szCs w:val="18"/>
              </w:rPr>
              <w:t xml:space="preserve">Budget Pool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the merit budget pool structured?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 company-wide total budget is entered by HR/Finance at the start of each cycle. HR then allocates percentage splits to each department, which the system converts to a dollar budget per department based on that department's total payroll. Department budget pools vary — they are not a uniform percentage across all functions.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 budget entered automatically or manually?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Entered manually by HR/Finance at cycle open. The system does not calculate the budget pool automatically from payroll data. Budget figures are stored per cycle and per department in the application.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Does the system track pool allocation in real time?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As managers submit recommendations, the department's budget dashboard updates in real time showing: total pool allocated, amount committed in submitted recommendations, amount remaining, and a visual indicator when the pool reaches 80%, 95%, and 100% utilisation.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happens when a manager's recommendations exceed their pool?</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The excess is escalated to HR. The manager can submit recommendations that exceed their pool, but the submission triggers an automatic escalation flag to HR. The recommendations are held in a Pending Escalation status and cannot be approved until HR reviews. HR can approve the overage, request the manager to revise, or reallocate budget from another department.</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6C3483"/>
                <w:sz w:val="18"/>
                <w:szCs w:val="18"/>
              </w:rPr>
              <w:t xml:space="preserve">Manager Input &amp; Recommendation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the manager recommendation form contain?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For each eligible employee: employee name and current salary (read-only), recommended base salary increase as a % (mandatory), recommended bonus amount as a flat $ figure (optional), effective date (defaults to cycle standard date, editable), and a free-text justification note.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format is the recommendation?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Two components: a percentage increase to base salary AND a flat dollar bonus amount. Both are independent — a manager can recommend a % increase with no bonus, a bonus with no base increase, or both. Recommending neither for an eligible employee requires a mandatory written justification.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Are there recommendation guardrails?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recommendations — regardless of amount — require HR/Finance approval before they are finalised. There are no system-enforced caps in v1, but any recommendation that would move an employee above their salary band maximum is automatically flagged for HR review.</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Can managers see the employee's compa-ratio before submitting?</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The recommendation form displays each eligible employee's current compa-ratio (actual salary ÷ salary band midpoint) alongside their current salary. This gives managers the market context needed to make calibrated recommendations.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Can a manager recommend $0 / no increase for an eligible employee?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A manager can recommend zero base increase and zero bonus for an eligible employee. This is a valid submission, but a mandatory free-text justification is required before the form can be submitted. The justification is visible to HR in the approval review.</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there a secondary approval step?</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Manager recommendations are submitted to HR/Finance for approval. No increase is confirmed until HR/Finance has reviewed and approved the recommendation. Large recommendations (above a configurable % threshold set by HR) are additionally routed to the CHRO for sign-off before approval.</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6C3483"/>
                <w:sz w:val="18"/>
                <w:szCs w:val="18"/>
              </w:rPr>
              <w:t xml:space="preserve">Outputs &amp; Distribution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is the final output of WF2?</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 summary report for HR showing all employees, their eligibility determination, manager recommendation, approval status, budget impact, and final approved increase. This report is the primary output for v1. Individual employee notifications are handled within the application (see below).</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Does the employee receive confirmation of their increase?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 within the application. Once a recommendation is approved by HR/Finance, the employee receives a read-only summary in their application profile showing their new base salary, effective date, and any bonus amount. This is not an email notification in v1 — it is visible within the app only. External payroll file generation is out of scope for v1.</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the HR summary view show?</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All employees in the active cycle with: eligibility status (Eligible / Ineligible / Excluded / Pending Override), manager recommendation (% and $ amount), approval status (Pending / Approved / Escalated / Rejected), budget impact per department ($ committed vs pool remaining), and any override or escalation flags.</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6C3483"/>
                <w:sz w:val="18"/>
                <w:szCs w:val="18"/>
              </w:rPr>
              <w:t xml:space="preserve">Data Received from WF1 and WF4</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WF2 receive from WF1?</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From the most recent WF1 headcount snapshot: employee_id, full name, department, cost_centre, job_family, level, employment_type, hire_date, role_start_date, status, current salary, salary_grade, and manager_id. These fields drive eligibility determination and budget calculations.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WF2 receive from WF4?</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From the most recent HR-approved quarterly review: overall composite rating, rating date, and reviewing manager name. The full narrative is not consumed by WF2's eligibility engine — only the rating and metadata.</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are employees with no WF4 rating handled?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Automatically excluded from the cycle. If no HR-approved quarterly review exists for an employee in the current review period, they are excluded from eligibility determination. This exclusion is visible in the HR summary view and can be overridden by HR admin with a logged justification.</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spacing w:before="0" w:after="80"/>
              <w:jc w:val="center"/>
            </w:pPr>
            <w:r>
              <w:rPr>
                <w:rFonts w:ascii="Arial" w:cs="Arial" w:eastAsia="Arial" w:hAnsi="Arial"/>
                <w:b/>
                <w:bCs/>
                <w:i w:val="false"/>
                <w:iCs w:val="false"/>
                <w:color w:val="FFFFFF"/>
                <w:sz w:val="34"/>
                <w:szCs w:val="34"/>
              </w:rPr>
              <w:t xml:space="preserve">WF3</w:t>
            </w:r>
          </w:p>
          <w:p>
            <w:pPr>
              <w:spacing w:before="0" w:after="80"/>
              <w:jc w:val="center"/>
            </w:pPr>
            <w:r>
              <w:rPr>
                <w:rFonts w:ascii="Arial" w:cs="Arial" w:eastAsia="Arial" w:hAnsi="Arial"/>
                <w:b w:val="false"/>
                <w:bCs w:val="false"/>
                <w:i/>
                <w:iCs/>
                <w:color w:val="D6EAF8"/>
                <w:sz w:val="17"/>
                <w:szCs w:val="17"/>
              </w:rPr>
              <w:t xml:space="preserve">DIAGNOSTIC</w:t>
            </w:r>
          </w:p>
        </w:tc>
        <w:tc>
          <w:tcPr>
            <w:tcW w:type="dxa" w:w="78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4"/>
                <w:szCs w:val="24"/>
              </w:rPr>
              <w:t xml:space="preserve">Attrition Risk Scoring Engine</w:t>
            </w:r>
          </w:p>
          <w:p>
            <w:pPr>
              <w:spacing w:before="0" w:after="80"/>
              <w:jc w:val="left"/>
            </w:pPr>
            <w:r>
              <w:rPr>
                <w:rFonts w:ascii="Arial" w:cs="Arial" w:eastAsia="Arial" w:hAnsi="Arial"/>
                <w:b w:val="false"/>
                <w:bCs w:val="false"/>
                <w:i w:val="false"/>
                <w:iCs w:val="false"/>
                <w:color w:val="EBF5FB"/>
                <w:sz w:val="18"/>
                <w:szCs w:val="18"/>
              </w:rPr>
              <w:t xml:space="preserve">Rules-based scoring engine assembling risk signals from WF1, WF2, and WF4 into a ranked employee attrition risk register. Identifies at-risk employees before they resign.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gridSpan w:val="2"/>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spacing w:before="0" w:after="80"/>
              <w:jc w:val="left"/>
            </w:pPr>
            <w:r>
              <w:rPr>
                <w:rFonts w:ascii="Arial" w:cs="Arial" w:eastAsia="Arial" w:hAnsi="Arial"/>
                <w:b/>
                <w:bCs/>
                <w:i w:val="false"/>
                <w:iCs w:val="false"/>
                <w:color w:val="FFFFFF"/>
                <w:sz w:val="20"/>
                <w:szCs w:val="20"/>
              </w:rPr>
              <w:t xml:space="preserve">Confirmed Decisions — Attrition Risk Scoring Engine</w:t>
            </w:r>
          </w:p>
        </w:tc>
      </w:tr>
      <w:tr>
        <w:tc>
          <w:tcPr>
            <w:tcW w:type="dxa" w:w="38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Point</w:t>
            </w:r>
          </w:p>
        </w:tc>
        <w:tc>
          <w:tcPr>
            <w:tcW w:type="dxa" w:w="55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spacing w:before="0" w:after="80"/>
              <w:jc w:val="left"/>
            </w:pPr>
            <w:r>
              <w:rPr>
                <w:rFonts w:ascii="Arial" w:cs="Arial" w:eastAsia="Arial" w:hAnsi="Arial"/>
                <w:b/>
                <w:bCs/>
                <w:i w:val="false"/>
                <w:iCs w:val="false"/>
                <w:color w:val="2C3E50"/>
                <w:sz w:val="18"/>
                <w:szCs w:val="18"/>
              </w:rPr>
              <w:t xml:space="preserve">Decision / Confirmed Scope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C0392B"/>
                <w:sz w:val="18"/>
                <w:szCs w:val="18"/>
              </w:rPr>
              <w:t xml:space="preserve">Risk Factor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many risk factors are in the scoring model and what are they?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Seven risk factors, selected from HR operational experience:</w:t>
            </w:r>
          </w:p>
          <w:p>
            <w:pPr>
              <w:spacing w:before="0" w:after="80"/>
              <w:jc w:val="left"/>
            </w:pPr>
            <w:r>
              <w:rPr>
                <w:rFonts w:ascii="Arial" w:cs="Arial" w:eastAsia="Arial" w:hAnsi="Arial"/>
                <w:b w:val="false"/>
                <w:bCs w:val="false"/>
                <w:i w:val="false"/>
                <w:iCs w:val="false"/>
                <w:color w:val="2C3E50"/>
                <w:sz w:val="19"/>
                <w:szCs w:val="19"/>
              </w:rPr>
              <w:t xml:space="preserve">1. Compa-ratio vs salary band midpoint (pay position)</w:t>
            </w:r>
          </w:p>
          <w:p>
            <w:pPr>
              <w:spacing w:before="0" w:after="80"/>
              <w:jc w:val="left"/>
            </w:pPr>
            <w:r>
              <w:rPr>
                <w:rFonts w:ascii="Arial" w:cs="Arial" w:eastAsia="Arial" w:hAnsi="Arial"/>
                <w:b w:val="false"/>
                <w:bCs w:val="false"/>
                <w:i w:val="false"/>
                <w:iCs w:val="false"/>
                <w:color w:val="2C3E50"/>
                <w:sz w:val="19"/>
                <w:szCs w:val="19"/>
              </w:rPr>
              <w:t xml:space="preserve">2. Time since last merit increase</w:t>
            </w:r>
          </w:p>
          <w:p>
            <w:pPr>
              <w:spacing w:before="0" w:after="80"/>
              <w:jc w:val="left"/>
            </w:pPr>
            <w:r>
              <w:rPr>
                <w:rFonts w:ascii="Arial" w:cs="Arial" w:eastAsia="Arial" w:hAnsi="Arial"/>
                <w:b w:val="false"/>
                <w:bCs w:val="false"/>
                <w:i w:val="false"/>
                <w:iCs w:val="false"/>
                <w:color w:val="2C3E50"/>
                <w:sz w:val="19"/>
                <w:szCs w:val="19"/>
              </w:rPr>
              <w:t xml:space="preserve">3. Time in current role without promotion</w:t>
            </w:r>
          </w:p>
          <w:p>
            <w:pPr>
              <w:spacing w:before="0" w:after="80"/>
              <w:jc w:val="left"/>
            </w:pPr>
            <w:r>
              <w:rPr>
                <w:rFonts w:ascii="Arial" w:cs="Arial" w:eastAsia="Arial" w:hAnsi="Arial"/>
                <w:b w:val="false"/>
                <w:bCs w:val="false"/>
                <w:i w:val="false"/>
                <w:iCs w:val="false"/>
                <w:color w:val="2C3E50"/>
                <w:sz w:val="19"/>
                <w:szCs w:val="19"/>
              </w:rPr>
              <w:t xml:space="preserve">4. Performance rating trajectory (last two completed quarters)</w:t>
            </w:r>
          </w:p>
          <w:p>
            <w:pPr>
              <w:spacing w:before="0" w:after="80"/>
              <w:jc w:val="left"/>
            </w:pPr>
            <w:r>
              <w:rPr>
                <w:rFonts w:ascii="Arial" w:cs="Arial" w:eastAsia="Arial" w:hAnsi="Arial"/>
                <w:b w:val="false"/>
                <w:bCs w:val="false"/>
                <w:i w:val="false"/>
                <w:iCs w:val="false"/>
                <w:color w:val="2C3E50"/>
                <w:sz w:val="19"/>
                <w:szCs w:val="19"/>
              </w:rPr>
              <w:t xml:space="preserve">5. Weekly 1:1 sentiment trend (last 90 days)</w:t>
            </w:r>
          </w:p>
          <w:p>
            <w:pPr>
              <w:spacing w:before="0" w:after="80"/>
              <w:jc w:val="left"/>
            </w:pPr>
            <w:r>
              <w:rPr>
                <w:rFonts w:ascii="Arial" w:cs="Arial" w:eastAsia="Arial" w:hAnsi="Arial"/>
                <w:b w:val="false"/>
                <w:bCs w:val="false"/>
                <w:i w:val="false"/>
                <w:iCs w:val="false"/>
                <w:color w:val="2C3E50"/>
                <w:sz w:val="19"/>
                <w:szCs w:val="19"/>
              </w:rPr>
              <w:t xml:space="preserve">6. Manager check-in frequency (last 90 days)</w:t>
            </w:r>
          </w:p>
          <w:p>
            <w:pPr>
              <w:spacing w:before="0" w:after="80"/>
              <w:jc w:val="left"/>
            </w:pPr>
            <w:r>
              <w:rPr>
                <w:rFonts w:ascii="Arial" w:cs="Arial" w:eastAsia="Arial" w:hAnsi="Arial"/>
                <w:b w:val="false"/>
                <w:bCs w:val="false"/>
                <w:i w:val="false"/>
                <w:iCs w:val="false"/>
                <w:color w:val="2C3E50"/>
                <w:sz w:val="19"/>
                <w:szCs w:val="19"/>
              </w:rPr>
              <w:t xml:space="preserve">7. Flight risk role classification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type is each factor (binary, categorical, or numeric threshold)?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1. Compa-ratio: numeric with three-tier threshold</w:t>
            </w:r>
          </w:p>
          <w:p>
            <w:pPr>
              <w:spacing w:before="0" w:after="80"/>
              <w:jc w:val="left"/>
            </w:pPr>
            <w:r>
              <w:rPr>
                <w:rFonts w:ascii="Arial" w:cs="Arial" w:eastAsia="Arial" w:hAnsi="Arial"/>
                <w:b w:val="false"/>
                <w:bCs w:val="false"/>
                <w:i w:val="false"/>
                <w:iCs w:val="false"/>
                <w:color w:val="2C3E50"/>
                <w:sz w:val="19"/>
                <w:szCs w:val="19"/>
              </w:rPr>
              <w:t xml:space="preserve">2. Time since merit increase: numeric with three-tier threshold</w:t>
            </w:r>
          </w:p>
          <w:p>
            <w:pPr>
              <w:spacing w:before="0" w:after="80"/>
              <w:jc w:val="left"/>
            </w:pPr>
            <w:r>
              <w:rPr>
                <w:rFonts w:ascii="Arial" w:cs="Arial" w:eastAsia="Arial" w:hAnsi="Arial"/>
                <w:b w:val="false"/>
                <w:bCs w:val="false"/>
                <w:i w:val="false"/>
                <w:iCs w:val="false"/>
                <w:color w:val="2C3E50"/>
                <w:sz w:val="19"/>
                <w:szCs w:val="19"/>
              </w:rPr>
              <w:t xml:space="preserve">3. Time in role: numeric with three-tier threshold</w:t>
            </w:r>
          </w:p>
          <w:p>
            <w:pPr>
              <w:spacing w:before="0" w:after="80"/>
              <w:jc w:val="left"/>
            </w:pPr>
            <w:r>
              <w:rPr>
                <w:rFonts w:ascii="Arial" w:cs="Arial" w:eastAsia="Arial" w:hAnsi="Arial"/>
                <w:b w:val="false"/>
                <w:bCs w:val="false"/>
                <w:i w:val="false"/>
                <w:iCs w:val="false"/>
                <w:color w:val="2C3E50"/>
                <w:sz w:val="19"/>
                <w:szCs w:val="19"/>
              </w:rPr>
              <w:t xml:space="preserve">4. Rating trajectory: categorical (Improving / Stable / Declining 1Q / Declining 2Q)</w:t>
            </w:r>
          </w:p>
          <w:p>
            <w:pPr>
              <w:spacing w:before="0" w:after="80"/>
              <w:jc w:val="left"/>
            </w:pPr>
            <w:r>
              <w:rPr>
                <w:rFonts w:ascii="Arial" w:cs="Arial" w:eastAsia="Arial" w:hAnsi="Arial"/>
                <w:b w:val="false"/>
                <w:bCs w:val="false"/>
                <w:i w:val="false"/>
                <w:iCs w:val="false"/>
                <w:color w:val="2C3E50"/>
                <w:sz w:val="19"/>
                <w:szCs w:val="19"/>
              </w:rPr>
              <w:t xml:space="preserve">5. Sentiment trend: categorical with numeric threshold (consecutive negative flags)</w:t>
            </w:r>
          </w:p>
          <w:p>
            <w:pPr>
              <w:spacing w:before="0" w:after="80"/>
              <w:jc w:val="left"/>
            </w:pPr>
            <w:r>
              <w:rPr>
                <w:rFonts w:ascii="Arial" w:cs="Arial" w:eastAsia="Arial" w:hAnsi="Arial"/>
                <w:b w:val="false"/>
                <w:bCs w:val="false"/>
                <w:i w:val="false"/>
                <w:iCs w:val="false"/>
                <w:color w:val="2C3E50"/>
                <w:sz w:val="19"/>
                <w:szCs w:val="19"/>
              </w:rPr>
              <w:t xml:space="preserve">6. Check-in frequency: numeric threshold (missed count in 90 days)</w:t>
            </w:r>
          </w:p>
          <w:p>
            <w:pPr>
              <w:spacing w:before="0" w:after="80"/>
              <w:jc w:val="left"/>
            </w:pPr>
            <w:r>
              <w:rPr>
                <w:rFonts w:ascii="Arial" w:cs="Arial" w:eastAsia="Arial" w:hAnsi="Arial"/>
                <w:b w:val="false"/>
                <w:bCs w:val="false"/>
                <w:i w:val="false"/>
                <w:iCs w:val="false"/>
                <w:color w:val="2C3E50"/>
                <w:sz w:val="19"/>
                <w:szCs w:val="19"/>
              </w:rPr>
              <w:t xml:space="preserve">7. Flight risk role: binary (Yes / No) — maintained in a config table by HR admin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are factors weighted?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Weights are HR-configurable from the admin UI and stored in the database. Default starting weights:</w:t>
            </w:r>
          </w:p>
          <w:p>
            <w:pPr>
              <w:spacing w:before="0" w:after="80"/>
              <w:jc w:val="left"/>
            </w:pPr>
            <w:r>
              <w:rPr>
                <w:rFonts w:ascii="Arial" w:cs="Arial" w:eastAsia="Arial" w:hAnsi="Arial"/>
                <w:b w:val="false"/>
                <w:bCs w:val="false"/>
                <w:i w:val="false"/>
                <w:iCs w:val="false"/>
                <w:color w:val="2C3E50"/>
                <w:sz w:val="19"/>
                <w:szCs w:val="19"/>
              </w:rPr>
              <w:t xml:space="preserve">• Compa-ratio vs band midpoint: 25%</w:t>
            </w:r>
          </w:p>
          <w:p>
            <w:pPr>
              <w:spacing w:before="0" w:after="80"/>
              <w:jc w:val="left"/>
            </w:pPr>
            <w:r>
              <w:rPr>
                <w:rFonts w:ascii="Arial" w:cs="Arial" w:eastAsia="Arial" w:hAnsi="Arial"/>
                <w:b w:val="false"/>
                <w:bCs w:val="false"/>
                <w:i w:val="false"/>
                <w:iCs w:val="false"/>
                <w:color w:val="2C3E50"/>
                <w:sz w:val="19"/>
                <w:szCs w:val="19"/>
              </w:rPr>
              <w:t xml:space="preserve">• Performance rating trajectory: 20%</w:t>
            </w:r>
          </w:p>
          <w:p>
            <w:pPr>
              <w:spacing w:before="0" w:after="80"/>
              <w:jc w:val="left"/>
            </w:pPr>
            <w:r>
              <w:rPr>
                <w:rFonts w:ascii="Arial" w:cs="Arial" w:eastAsia="Arial" w:hAnsi="Arial"/>
                <w:b w:val="false"/>
                <w:bCs w:val="false"/>
                <w:i w:val="false"/>
                <w:iCs w:val="false"/>
                <w:color w:val="2C3E50"/>
                <w:sz w:val="19"/>
                <w:szCs w:val="19"/>
              </w:rPr>
              <w:t xml:space="preserve">• Time since last merit increase: 15%</w:t>
            </w:r>
          </w:p>
          <w:p>
            <w:pPr>
              <w:spacing w:before="0" w:after="80"/>
              <w:jc w:val="left"/>
            </w:pPr>
            <w:r>
              <w:rPr>
                <w:rFonts w:ascii="Arial" w:cs="Arial" w:eastAsia="Arial" w:hAnsi="Arial"/>
                <w:b w:val="false"/>
                <w:bCs w:val="false"/>
                <w:i w:val="false"/>
                <w:iCs w:val="false"/>
                <w:color w:val="2C3E50"/>
                <w:sz w:val="19"/>
                <w:szCs w:val="19"/>
              </w:rPr>
              <w:t xml:space="preserve">• Time in role without promotion: 15%</w:t>
            </w:r>
          </w:p>
          <w:p>
            <w:pPr>
              <w:spacing w:before="0" w:after="80"/>
              <w:jc w:val="left"/>
            </w:pPr>
            <w:r>
              <w:rPr>
                <w:rFonts w:ascii="Arial" w:cs="Arial" w:eastAsia="Arial" w:hAnsi="Arial"/>
                <w:b w:val="false"/>
                <w:bCs w:val="false"/>
                <w:i w:val="false"/>
                <w:iCs w:val="false"/>
                <w:color w:val="2C3E50"/>
                <w:sz w:val="19"/>
                <w:szCs w:val="19"/>
              </w:rPr>
              <w:t xml:space="preserve">• Weekly 1:1 sentiment trend: 10%</w:t>
            </w:r>
          </w:p>
          <w:p>
            <w:pPr>
              <w:spacing w:before="0" w:after="80"/>
              <w:jc w:val="left"/>
            </w:pPr>
            <w:r>
              <w:rPr>
                <w:rFonts w:ascii="Arial" w:cs="Arial" w:eastAsia="Arial" w:hAnsi="Arial"/>
                <w:b w:val="false"/>
                <w:bCs w:val="false"/>
                <w:i w:val="false"/>
                <w:iCs w:val="false"/>
                <w:color w:val="2C3E50"/>
                <w:sz w:val="19"/>
                <w:szCs w:val="19"/>
              </w:rPr>
              <w:t xml:space="preserve">• Manager check-in frequency: 10%</w:t>
            </w:r>
          </w:p>
          <w:p>
            <w:pPr>
              <w:spacing w:before="0" w:after="80"/>
              <w:jc w:val="left"/>
            </w:pPr>
            <w:r>
              <w:rPr>
                <w:rFonts w:ascii="Arial" w:cs="Arial" w:eastAsia="Arial" w:hAnsi="Arial"/>
                <w:b w:val="false"/>
                <w:bCs w:val="false"/>
                <w:i w:val="false"/>
                <w:iCs w:val="false"/>
                <w:color w:val="2C3E50"/>
                <w:sz w:val="19"/>
                <w:szCs w:val="19"/>
              </w:rPr>
              <w:t xml:space="preserve">• Flight risk role classification: 5%</w:t>
            </w:r>
          </w:p>
          <w:p>
            <w:pPr>
              <w:spacing w:before="0" w:after="80"/>
              <w:jc w:val="left"/>
            </w:pPr>
            <w:r>
              <w:rPr>
                <w:rFonts w:ascii="Arial" w:cs="Arial" w:eastAsia="Arial" w:hAnsi="Arial"/>
                <w:b w:val="false"/>
                <w:bCs w:val="false"/>
                <w:i w:val="false"/>
                <w:iCs w:val="false"/>
                <w:color w:val="2C3E50"/>
                <w:sz w:val="19"/>
                <w:szCs w:val="19"/>
              </w:rPr>
              <w:t xml:space="preserve">All weights must sum to 100%. The system validates this constraint before saving any configuration change.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score thresholds produce Red / Amber / Green?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Composite scores are calculated on a 0–100 scale:</w:t>
            </w:r>
          </w:p>
          <w:p>
            <w:pPr>
              <w:spacing w:before="0" w:after="80"/>
              <w:jc w:val="left"/>
            </w:pPr>
            <w:r>
              <w:rPr>
                <w:rFonts w:ascii="Arial" w:cs="Arial" w:eastAsia="Arial" w:hAnsi="Arial"/>
                <w:b w:val="false"/>
                <w:bCs w:val="false"/>
                <w:i w:val="false"/>
                <w:iCs w:val="false"/>
                <w:color w:val="2C3E50"/>
                <w:sz w:val="19"/>
                <w:szCs w:val="19"/>
              </w:rPr>
              <w:t xml:space="preserve">• Green (Low Risk): composite score below 35</w:t>
            </w:r>
          </w:p>
          <w:p>
            <w:pPr>
              <w:spacing w:before="0" w:after="80"/>
              <w:jc w:val="left"/>
            </w:pPr>
            <w:r>
              <w:rPr>
                <w:rFonts w:ascii="Arial" w:cs="Arial" w:eastAsia="Arial" w:hAnsi="Arial"/>
                <w:b w:val="false"/>
                <w:bCs w:val="false"/>
                <w:i w:val="false"/>
                <w:iCs w:val="false"/>
                <w:color w:val="2C3E50"/>
                <w:sz w:val="19"/>
                <w:szCs w:val="19"/>
              </w:rPr>
              <w:t xml:space="preserve">• Amber (Medium Risk): composite score 35–64</w:t>
            </w:r>
          </w:p>
          <w:p>
            <w:pPr>
              <w:spacing w:before="0" w:after="80"/>
              <w:jc w:val="left"/>
            </w:pPr>
            <w:r>
              <w:rPr>
                <w:rFonts w:ascii="Arial" w:cs="Arial" w:eastAsia="Arial" w:hAnsi="Arial"/>
                <w:b w:val="false"/>
                <w:bCs w:val="false"/>
                <w:i w:val="false"/>
                <w:iCs w:val="false"/>
                <w:color w:val="2C3E50"/>
                <w:sz w:val="19"/>
                <w:szCs w:val="19"/>
              </w:rPr>
              <w:t xml:space="preserve">• Red (High Risk): composite score 65 and above</w:t>
            </w:r>
          </w:p>
          <w:p>
            <w:pPr>
              <w:spacing w:before="0" w:after="80"/>
              <w:jc w:val="left"/>
            </w:pPr>
            <w:r>
              <w:rPr>
                <w:rFonts w:ascii="Arial" w:cs="Arial" w:eastAsia="Arial" w:hAnsi="Arial"/>
                <w:b w:val="false"/>
                <w:bCs w:val="false"/>
                <w:i w:val="false"/>
                <w:iCs w:val="false"/>
                <w:color w:val="2C3E50"/>
                <w:sz w:val="19"/>
                <w:szCs w:val="19"/>
              </w:rPr>
              <w:t xml:space="preserve">Thresholds are configurable by HR admin. The defaults above reflect a model calibrated to flag at-risk employees early enough for a meaningful retention intervention.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Are scoring thresholds configurable?</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Both factor weights and RAG thresholds are configurable by HR admin from the application's configuration panel. All configuration changes are logged with the admin's name, timestamp, previous value, and new value. An audit trail of every configuration state is retained permanently.</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C0392B"/>
                <w:sz w:val="18"/>
                <w:szCs w:val="18"/>
              </w:rPr>
              <w:t xml:space="preserve">Factor-by-Factor Thresholds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PAY POSITION — Compa-ratio thresholds: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(no signal): compa-ratio ≥ 0.95</w:t>
            </w:r>
          </w:p>
          <w:p>
            <w:pPr>
              <w:spacing w:before="0" w:after="80"/>
              <w:jc w:val="left"/>
            </w:pPr>
            <w:r>
              <w:rPr>
                <w:rFonts w:ascii="Arial" w:cs="Arial" w:eastAsia="Arial" w:hAnsi="Arial"/>
                <w:b w:val="false"/>
                <w:bCs w:val="false"/>
                <w:i w:val="false"/>
                <w:iCs w:val="false"/>
                <w:color w:val="2C3E50"/>
                <w:sz w:val="19"/>
                <w:szCs w:val="19"/>
              </w:rPr>
              <w:t xml:space="preserve">Sub-score of 50 (medium): compa-ratio 0.85–0.94</w:t>
            </w:r>
          </w:p>
          <w:p>
            <w:pPr>
              <w:spacing w:before="0" w:after="80"/>
              <w:jc w:val="left"/>
            </w:pPr>
            <w:r>
              <w:rPr>
                <w:rFonts w:ascii="Arial" w:cs="Arial" w:eastAsia="Arial" w:hAnsi="Arial"/>
                <w:b w:val="false"/>
                <w:bCs w:val="false"/>
                <w:i w:val="false"/>
                <w:iCs w:val="false"/>
                <w:color w:val="2C3E50"/>
                <w:sz w:val="19"/>
                <w:szCs w:val="19"/>
              </w:rPr>
              <w:t xml:space="preserve">Sub-score of 100 (high): compa-ratio below 0.85</w:t>
            </w:r>
          </w:p>
          <w:p>
            <w:pPr>
              <w:spacing w:before="0" w:after="80"/>
              <w:jc w:val="left"/>
            </w:pPr>
            <w:r>
              <w:rPr>
                <w:rFonts w:ascii="Arial" w:cs="Arial" w:eastAsia="Arial" w:hAnsi="Arial"/>
                <w:b w:val="false"/>
                <w:bCs w:val="false"/>
                <w:i w:val="false"/>
                <w:iCs w:val="false"/>
                <w:color w:val="2C3E50"/>
                <w:sz w:val="19"/>
                <w:szCs w:val="19"/>
              </w:rPr>
              <w:t xml:space="preserve">Weight: 25% (configurable)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TIME SINCE MERIT INCREASE — thresholds: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fewer than 12 months since last increase</w:t>
            </w:r>
          </w:p>
          <w:p>
            <w:pPr>
              <w:spacing w:before="0" w:after="80"/>
              <w:jc w:val="left"/>
            </w:pPr>
            <w:r>
              <w:rPr>
                <w:rFonts w:ascii="Arial" w:cs="Arial" w:eastAsia="Arial" w:hAnsi="Arial"/>
                <w:b w:val="false"/>
                <w:bCs w:val="false"/>
                <w:i w:val="false"/>
                <w:iCs w:val="false"/>
                <w:color w:val="2C3E50"/>
                <w:sz w:val="19"/>
                <w:szCs w:val="19"/>
              </w:rPr>
              <w:t xml:space="preserve">Sub-score of 50: 12–18 months since last increase</w:t>
            </w:r>
          </w:p>
          <w:p>
            <w:pPr>
              <w:spacing w:before="0" w:after="80"/>
              <w:jc w:val="left"/>
            </w:pPr>
            <w:r>
              <w:rPr>
                <w:rFonts w:ascii="Arial" w:cs="Arial" w:eastAsia="Arial" w:hAnsi="Arial"/>
                <w:b w:val="false"/>
                <w:bCs w:val="false"/>
                <w:i w:val="false"/>
                <w:iCs w:val="false"/>
                <w:color w:val="2C3E50"/>
                <w:sz w:val="19"/>
                <w:szCs w:val="19"/>
              </w:rPr>
              <w:t xml:space="preserve">Sub-score of 100: more than 18 months since last increase</w:t>
            </w:r>
          </w:p>
          <w:p>
            <w:pPr>
              <w:spacing w:before="0" w:after="80"/>
              <w:jc w:val="left"/>
            </w:pPr>
            <w:r>
              <w:rPr>
                <w:rFonts w:ascii="Arial" w:cs="Arial" w:eastAsia="Arial" w:hAnsi="Arial"/>
                <w:b w:val="false"/>
                <w:bCs w:val="false"/>
                <w:i w:val="false"/>
                <w:iCs w:val="false"/>
                <w:color w:val="2C3E50"/>
                <w:sz w:val="19"/>
                <w:szCs w:val="19"/>
              </w:rPr>
              <w:t xml:space="preserve">Weight: 15% (configurable)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TIME IN CURRENT ROLE — thresholds: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fewer than 24 months in current role</w:t>
            </w:r>
          </w:p>
          <w:p>
            <w:pPr>
              <w:spacing w:before="0" w:after="80"/>
              <w:jc w:val="left"/>
            </w:pPr>
            <w:r>
              <w:rPr>
                <w:rFonts w:ascii="Arial" w:cs="Arial" w:eastAsia="Arial" w:hAnsi="Arial"/>
                <w:b w:val="false"/>
                <w:bCs w:val="false"/>
                <w:i w:val="false"/>
                <w:iCs w:val="false"/>
                <w:color w:val="2C3E50"/>
                <w:sz w:val="19"/>
                <w:szCs w:val="19"/>
              </w:rPr>
              <w:t xml:space="preserve">Sub-score of 50: 24–36 months in current role without promotion</w:t>
            </w:r>
          </w:p>
          <w:p>
            <w:pPr>
              <w:spacing w:before="0" w:after="80"/>
              <w:jc w:val="left"/>
            </w:pPr>
            <w:r>
              <w:rPr>
                <w:rFonts w:ascii="Arial" w:cs="Arial" w:eastAsia="Arial" w:hAnsi="Arial"/>
                <w:b w:val="false"/>
                <w:bCs w:val="false"/>
                <w:i w:val="false"/>
                <w:iCs w:val="false"/>
                <w:color w:val="2C3E50"/>
                <w:sz w:val="19"/>
                <w:szCs w:val="19"/>
              </w:rPr>
              <w:t xml:space="preserve">Sub-score of 100: more than 36 months in current role without promotion</w:t>
            </w:r>
          </w:p>
          <w:p>
            <w:pPr>
              <w:spacing w:before="0" w:after="80"/>
              <w:jc w:val="left"/>
            </w:pPr>
            <w:r>
              <w:rPr>
                <w:rFonts w:ascii="Arial" w:cs="Arial" w:eastAsia="Arial" w:hAnsi="Arial"/>
                <w:b w:val="false"/>
                <w:bCs w:val="false"/>
                <w:i w:val="false"/>
                <w:iCs w:val="false"/>
                <w:color w:val="2C3E50"/>
                <w:sz w:val="19"/>
                <w:szCs w:val="19"/>
              </w:rPr>
              <w:t xml:space="preserve">Weight: 15% (configurable)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PERFORMANCE RATING TRAJECTORY — thresholds: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rating stable or improving across last two quarters</w:t>
            </w:r>
          </w:p>
          <w:p>
            <w:pPr>
              <w:spacing w:before="0" w:after="80"/>
              <w:jc w:val="left"/>
            </w:pPr>
            <w:r>
              <w:rPr>
                <w:rFonts w:ascii="Arial" w:cs="Arial" w:eastAsia="Arial" w:hAnsi="Arial"/>
                <w:b w:val="false"/>
                <w:bCs w:val="false"/>
                <w:i w:val="false"/>
                <w:iCs w:val="false"/>
                <w:color w:val="2C3E50"/>
                <w:sz w:val="19"/>
                <w:szCs w:val="19"/>
              </w:rPr>
              <w:t xml:space="preserve">Sub-score of 50: rating declined in most recent quarter (one quarter decline)</w:t>
            </w:r>
          </w:p>
          <w:p>
            <w:pPr>
              <w:spacing w:before="0" w:after="80"/>
              <w:jc w:val="left"/>
            </w:pPr>
            <w:r>
              <w:rPr>
                <w:rFonts w:ascii="Arial" w:cs="Arial" w:eastAsia="Arial" w:hAnsi="Arial"/>
                <w:b w:val="false"/>
                <w:bCs w:val="false"/>
                <w:i w:val="false"/>
                <w:iCs w:val="false"/>
                <w:color w:val="2C3E50"/>
                <w:sz w:val="19"/>
                <w:szCs w:val="19"/>
              </w:rPr>
              <w:t xml:space="preserve">Sub-score of 100: rating declined in both of the last two consecutive quarters</w:t>
            </w:r>
          </w:p>
          <w:p>
            <w:pPr>
              <w:spacing w:before="0" w:after="80"/>
              <w:jc w:val="left"/>
            </w:pPr>
            <w:r>
              <w:rPr>
                <w:rFonts w:ascii="Arial" w:cs="Arial" w:eastAsia="Arial" w:hAnsi="Arial"/>
                <w:b w:val="false"/>
                <w:bCs w:val="false"/>
                <w:i w:val="false"/>
                <w:iCs w:val="false"/>
                <w:color w:val="2C3E50"/>
                <w:sz w:val="19"/>
                <w:szCs w:val="19"/>
              </w:rPr>
              <w:t xml:space="preserve">Weight: 20% (configurable)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CHECK-IN FREQUENCY (from WF4) — thresholds: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0–1 missed 1:1s in last 90 days</w:t>
            </w:r>
          </w:p>
          <w:p>
            <w:pPr>
              <w:spacing w:before="0" w:after="80"/>
              <w:jc w:val="left"/>
            </w:pPr>
            <w:r>
              <w:rPr>
                <w:rFonts w:ascii="Arial" w:cs="Arial" w:eastAsia="Arial" w:hAnsi="Arial"/>
                <w:b w:val="false"/>
                <w:bCs w:val="false"/>
                <w:i w:val="false"/>
                <w:iCs w:val="false"/>
                <w:color w:val="2C3E50"/>
                <w:sz w:val="19"/>
                <w:szCs w:val="19"/>
              </w:rPr>
              <w:t xml:space="preserve">Sub-score of 50: exactly 2 missed 1:1s in last 90 days</w:t>
            </w:r>
          </w:p>
          <w:p>
            <w:pPr>
              <w:spacing w:before="0" w:after="80"/>
              <w:jc w:val="left"/>
            </w:pPr>
            <w:r>
              <w:rPr>
                <w:rFonts w:ascii="Arial" w:cs="Arial" w:eastAsia="Arial" w:hAnsi="Arial"/>
                <w:b w:val="false"/>
                <w:bCs w:val="false"/>
                <w:i w:val="false"/>
                <w:iCs w:val="false"/>
                <w:color w:val="2C3E50"/>
                <w:sz w:val="19"/>
                <w:szCs w:val="19"/>
              </w:rPr>
              <w:t xml:space="preserve">Sub-score of 100: 3 or more missed 1:1s in last 90 days</w:t>
            </w:r>
          </w:p>
          <w:p>
            <w:pPr>
              <w:spacing w:before="0" w:after="80"/>
              <w:jc w:val="left"/>
            </w:pPr>
            <w:r>
              <w:rPr>
                <w:rFonts w:ascii="Arial" w:cs="Arial" w:eastAsia="Arial" w:hAnsi="Arial"/>
                <w:b w:val="false"/>
                <w:bCs w:val="false"/>
                <w:i w:val="false"/>
                <w:iCs w:val="false"/>
                <w:color w:val="2C3E50"/>
                <w:sz w:val="19"/>
                <w:szCs w:val="19"/>
              </w:rPr>
              <w:t xml:space="preserve">Monthly check-ins: any missed monthly check-in in the current quarter = sub-score of 50 for this dimension, added as a modifier</w:t>
            </w:r>
          </w:p>
          <w:p>
            <w:pPr>
              <w:spacing w:before="0" w:after="80"/>
              <w:jc w:val="left"/>
            </w:pPr>
            <w:r>
              <w:rPr>
                <w:rFonts w:ascii="Arial" w:cs="Arial" w:eastAsia="Arial" w:hAnsi="Arial"/>
                <w:b w:val="false"/>
                <w:bCs w:val="false"/>
                <w:i w:val="false"/>
                <w:iCs w:val="false"/>
                <w:color w:val="2C3E50"/>
                <w:sz w:val="19"/>
                <w:szCs w:val="19"/>
              </w:rPr>
              <w:t xml:space="preserve">Weight: 10% (configurable)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SENTIMENT TREND (from WF4) — thresholds: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fewer than 2 consecutive Concerning sentiment flags</w:t>
            </w:r>
          </w:p>
          <w:p>
            <w:pPr>
              <w:spacing w:before="0" w:after="80"/>
              <w:jc w:val="left"/>
            </w:pPr>
            <w:r>
              <w:rPr>
                <w:rFonts w:ascii="Arial" w:cs="Arial" w:eastAsia="Arial" w:hAnsi="Arial"/>
                <w:b w:val="false"/>
                <w:bCs w:val="false"/>
                <w:i w:val="false"/>
                <w:iCs w:val="false"/>
                <w:color w:val="2C3E50"/>
                <w:sz w:val="19"/>
                <w:szCs w:val="19"/>
              </w:rPr>
              <w:t xml:space="preserve">Sub-score of 50: exactly 2 consecutive Concerning flags</w:t>
            </w:r>
          </w:p>
          <w:p>
            <w:pPr>
              <w:spacing w:before="0" w:after="80"/>
              <w:jc w:val="left"/>
            </w:pPr>
            <w:r>
              <w:rPr>
                <w:rFonts w:ascii="Arial" w:cs="Arial" w:eastAsia="Arial" w:hAnsi="Arial"/>
                <w:b w:val="false"/>
                <w:bCs w:val="false"/>
                <w:i w:val="false"/>
                <w:iCs w:val="false"/>
                <w:color w:val="2C3E50"/>
                <w:sz w:val="19"/>
                <w:szCs w:val="19"/>
              </w:rPr>
              <w:t xml:space="preserve">Sub-score of 100: 3 or more consecutive Concerning flags</w:t>
            </w:r>
          </w:p>
          <w:p>
            <w:pPr>
              <w:spacing w:before="0" w:after="80"/>
              <w:jc w:val="left"/>
            </w:pPr>
            <w:r>
              <w:rPr>
                <w:rFonts w:ascii="Arial" w:cs="Arial" w:eastAsia="Arial" w:hAnsi="Arial"/>
                <w:b w:val="false"/>
                <w:bCs w:val="false"/>
                <w:i w:val="false"/>
                <w:iCs w:val="false"/>
                <w:color w:val="2C3E50"/>
                <w:sz w:val="19"/>
                <w:szCs w:val="19"/>
              </w:rPr>
              <w:t xml:space="preserve">Weight: 10% (configurable)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FLIGHT RISK ROLE CLASSIFICATION — threshold: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Sub-score of 0: role not classified as flight risk</w:t>
            </w:r>
          </w:p>
          <w:p>
            <w:pPr>
              <w:spacing w:before="0" w:after="80"/>
              <w:jc w:val="left"/>
            </w:pPr>
            <w:r>
              <w:rPr>
                <w:rFonts w:ascii="Arial" w:cs="Arial" w:eastAsia="Arial" w:hAnsi="Arial"/>
                <w:b w:val="false"/>
                <w:bCs w:val="false"/>
                <w:i w:val="false"/>
                <w:iCs w:val="false"/>
                <w:color w:val="2C3E50"/>
                <w:sz w:val="19"/>
                <w:szCs w:val="19"/>
              </w:rPr>
              <w:t xml:space="preserve">Sub-score of 100: role is classified as flight risk in the configuration table</w:t>
            </w:r>
          </w:p>
          <w:p>
            <w:pPr>
              <w:spacing w:before="0" w:after="80"/>
              <w:jc w:val="left"/>
            </w:pPr>
            <w:r>
              <w:rPr>
                <w:rFonts w:ascii="Arial" w:cs="Arial" w:eastAsia="Arial" w:hAnsi="Arial"/>
                <w:b w:val="false"/>
                <w:bCs w:val="false"/>
                <w:i w:val="false"/>
                <w:iCs w:val="false"/>
                <w:color w:val="2C3E50"/>
                <w:sz w:val="19"/>
                <w:szCs w:val="19"/>
              </w:rPr>
              <w:t xml:space="preserve">No medium tier — this is a binary classification</w:t>
            </w:r>
          </w:p>
          <w:p>
            <w:pPr>
              <w:spacing w:before="0" w:after="80"/>
              <w:jc w:val="left"/>
            </w:pPr>
            <w:r>
              <w:rPr>
                <w:rFonts w:ascii="Arial" w:cs="Arial" w:eastAsia="Arial" w:hAnsi="Arial"/>
                <w:b w:val="false"/>
                <w:bCs w:val="false"/>
                <w:i w:val="false"/>
                <w:iCs w:val="false"/>
                <w:color w:val="2C3E50"/>
                <w:sz w:val="19"/>
                <w:szCs w:val="19"/>
              </w:rPr>
              <w:t xml:space="preserve">Weight: 5% (configurable)</w:t>
            </w:r>
          </w:p>
          <w:p>
            <w:pPr>
              <w:spacing w:before="0" w:after="80"/>
              <w:jc w:val="left"/>
            </w:pPr>
            <w:r>
              <w:rPr>
                <w:rFonts w:ascii="Arial" w:cs="Arial" w:eastAsia="Arial" w:hAnsi="Arial"/>
                <w:b w:val="false"/>
                <w:bCs w:val="false"/>
                <w:i w:val="false"/>
                <w:iCs w:val="false"/>
                <w:color w:val="2C3E50"/>
                <w:sz w:val="19"/>
                <w:szCs w:val="19"/>
              </w:rPr>
              <w:t xml:space="preserve">HR admin maintains the list of flight risk roles in the configuration panel</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C0392B"/>
                <w:sz w:val="18"/>
                <w:szCs w:val="18"/>
              </w:rPr>
              <w:t xml:space="preserve">Scoring Methodology</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is the composite score calculated?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Each factor produces a sub-score of 0, 50, or 100. The sub-score is multiplied by the factor's weight. The weighted sub-scores are summed to produce a composite score between 0 and 100. This methodology is intentionally transparent — every HR admin can understand and explain a score without statistical training. Example: an employee with compa-ratio 0.82 (sub-score 100 × 25% = 25 points) and 3 consecutive negative sentiments (sub-score 100 × 10% = 10 points) and all other factors at zero would have a composite of 35 — just into Amber.</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C0392B"/>
                <w:sz w:val="18"/>
                <w:szCs w:val="18"/>
              </w:rPr>
              <w:t xml:space="preserve">Output &amp; Risk Register Design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What does the attrition risk register display?</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 ranked table of all employees sorted by composite risk score (highest first). For each employee: name, role, department, manager, overall RAG status, composite score, and an individual score breakdown showing each factor's contribution in both points and percentage terms. Filters available: by department, by manager, by RAG status, by risk factor triggered.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detailed is the score breakdown?</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Full detail is shown: total composite score, RAG badge, and a per-factor breakdown showing the sub-score (0 / 50 / 100), the weight applied, and the points contributed. This allows HR to see exactly why an employee is flagged and which factors are driving the risk.</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Who can see the attrition risk register?</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HR admin — full register, all employees, all details.</w:t>
            </w:r>
          </w:p>
          <w:p>
            <w:pPr>
              <w:spacing w:before="0" w:after="80"/>
              <w:jc w:val="left"/>
            </w:pPr>
            <w:r>
              <w:rPr>
                <w:rFonts w:ascii="Arial" w:cs="Arial" w:eastAsia="Arial" w:hAnsi="Arial"/>
                <w:b w:val="false"/>
                <w:bCs w:val="false"/>
                <w:i w:val="false"/>
                <w:iCs w:val="false"/>
                <w:color w:val="2C3E50"/>
                <w:sz w:val="19"/>
                <w:szCs w:val="19"/>
              </w:rPr>
              <w:t xml:space="preserve">Senior managers — their department's employees only, full detail.</w:t>
            </w:r>
          </w:p>
          <w:p>
            <w:pPr>
              <w:spacing w:before="0" w:after="80"/>
              <w:jc w:val="left"/>
            </w:pPr>
            <w:r>
              <w:rPr>
                <w:rFonts w:ascii="Arial" w:cs="Arial" w:eastAsia="Arial" w:hAnsi="Arial"/>
                <w:b w:val="false"/>
                <w:bCs w:val="false"/>
                <w:i w:val="false"/>
                <w:iCs w:val="false"/>
                <w:color w:val="2C3E50"/>
                <w:sz w:val="19"/>
                <w:szCs w:val="19"/>
              </w:rPr>
              <w:t xml:space="preserve">Line managers — their direct reports only, limited view (RAG status and total score, not individual factor breakdown). The individual factor breakdown for line managers is intentionally withheld to prevent managers from gaming the system.</w:t>
            </w:r>
          </w:p>
          <w:p>
            <w:pPr>
              <w:spacing w:before="0" w:after="80"/>
              <w:jc w:val="left"/>
            </w:pPr>
            <w:r>
              <w:rPr>
                <w:rFonts w:ascii="Arial" w:cs="Arial" w:eastAsia="Arial" w:hAnsi="Arial"/>
                <w:b w:val="false"/>
                <w:bCs w:val="false"/>
                <w:i w:val="false"/>
                <w:iCs w:val="false"/>
                <w:color w:val="2C3E50"/>
                <w:sz w:val="19"/>
                <w:szCs w:val="19"/>
              </w:rPr>
              <w:t xml:space="preserve">All access is role-controlled through the application's user management.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Can HR take action directly from the register?</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HR admin can flag any employee for a retention intervention from the risk register. Flagging an employee creates a retention action record with: the flagging date, the HR admin who flagged, the risk score at the time of flagging, and a field for recording the action taken (e.g. retention conversation held, compensation review initiated, promotion discussion opened). The outcome and resolution date are logged when the action is closed. Flagged employees are visually distinguished in the register.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often is the register recalculated?</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Daily, on a scheduled overnight run. The scoring engine reads the latest data from WF1, WF2, and WF4 and recalculates all scores. The register updates each morning reflecting the previous day's data. Manual recalculation can also be triggered by HR admin at any time.</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C0392B"/>
                <w:sz w:val="18"/>
                <w:szCs w:val="18"/>
              </w:rPr>
              <w:t xml:space="preserve">Configuration &amp; Rules Engine</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Are factor weights configurable from the UI?</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HR admin can adjust factor weights, activate or deactivate individual factors, and update factor thresholds from the application's configuration panel. The system validates that weights sum to 100% before saving. If a factor is deactivated, its weight is redistributed proportionally across the remaining active factors (or HR can set weights manually).</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Can HR exclude employees from the register?</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HR admin can exclude any employee from the risk register — for example, an employee who has accepted a retention package or is in an active promotion process. Excluded employees are not removed from the system — they are marked with an Excluded status and the reason for exclusion is logged. The exclusion is visible in a separate excluded employees view. All exclusions are logged with the admin's name, date, and reason.</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Is there an audit trail of score calculations?</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Yes. Every daily score calculation is stored with: employee ID, calculation date, composite score, RAG status, and the individual factor sub-scores at the time of calculation. This means HR can review a historical timeline of any employee's risk profile and identify exactly when a flag first appeared and which factors triggered it.</w:t>
            </w:r>
          </w:p>
        </w:tc>
      </w:tr>
      <w:tr>
        <w:tc>
          <w:tcPr>
            <w:gridSpan w:val="2"/>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spacing w:before="0" w:after="80"/>
              <w:jc w:val="left"/>
            </w:pPr>
            <w:r>
              <w:rPr>
                <w:rFonts w:ascii="Arial" w:cs="Arial" w:eastAsia="Arial" w:hAnsi="Arial"/>
                <w:b/>
                <w:bCs/>
                <w:i/>
                <w:iCs/>
                <w:color w:val="C0392B"/>
                <w:sz w:val="18"/>
                <w:szCs w:val="18"/>
              </w:rPr>
              <w:t xml:space="preserve">Connection to S2 — Compensation Benchmarking Dashboard</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How does WF3 connect to the S2 portfolio project?</w:t>
            </w:r>
          </w:p>
        </w:tc>
        <w:tc>
          <w:tcPr>
            <w:tcW w:type="dxa" w:w="55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2C3E50"/>
                <w:sz w:val="19"/>
                <w:szCs w:val="19"/>
              </w:rPr>
              <w:t xml:space="preserve">WF3 uses the compa-ratio from WF2's compensation data as the Pay Position risk factor. The compa-ratio in WF2 is calculated against the internal salary band midpoint. In the application UI, the Pay Risk factor tooltip in the risk register displays a cross-reference to S2's market benchmarking data: if the employee's role is flagged as below BLS market P50 in the S2 Compensation Benchmarking Dashboard, this is surfaced as additional context on the Pay Risk factor.</w:t>
            </w:r>
          </w:p>
          <w:p>
            <w:pPr>
              <w:spacing w:before="0" w:after="80"/>
              <w:jc w:val="left"/>
            </w:pPr>
            <w:r>
              <w:rPr>
                <w:rFonts w:ascii="Arial" w:cs="Arial" w:eastAsia="Arial" w:hAnsi="Arial"/>
                <w:b w:val="false"/>
                <w:bCs w:val="false"/>
                <w:i w:val="false"/>
                <w:iCs w:val="false"/>
                <w:color w:val="2C3E50"/>
                <w:sz w:val="19"/>
                <w:szCs w:val="19"/>
              </w:rPr>
              <w:t xml:space="preserve">This creates a direct narrative link between the two portfolio projects: S2 identifies which roles are below market; WF3 identifies which employees in those roles are at highest risk of leaving as a result.</w:t>
            </w:r>
          </w:p>
        </w:tc>
      </w:tr>
    </w:tbl>
    <w:p>
      <w:pPr>
        <w:spacing w:before="0"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2026-03-01T14:53:11.061Z</dcterms:created>
  <dcterms:modified xsi:type="dcterms:W3CDTF">2026-03-01T14:53:11.062Z</dcterms:modified>
</cp:coreProperties>
</file>

<file path=docProps/custom.xml><?xml version="1.0" encoding="utf-8"?>
<Properties xmlns="http://schemas.openxmlformats.org/officeDocument/2006/custom-properties" xmlns:vt="http://schemas.openxmlformats.org/officeDocument/2006/docPropsVTypes"/>
</file>