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Arial" w:cs="Arial" w:eastAsia="Arial" w:hAnsi="Arial"/>
          <w:b/>
          <w:bCs/>
          <w:color w:val="0D3D36"/>
          <w:sz w:val="72"/>
          <w:szCs w:val="72"/>
        </w:rPr>
        <w:t xml:space="preserve">Lens</w:t>
      </w:r>
    </w:p>
    <w:p>
      <w:pPr>
        <w:spacing w:before="0" w:after="40"/>
      </w:pPr>
      <w:r>
        <w:rPr>
          <w:rFonts w:ascii="Arial" w:cs="Arial" w:eastAsia="Arial" w:hAnsi="Arial"/>
          <w:color w:val="00897B"/>
          <w:sz w:val="36"/>
          <w:szCs w:val="36"/>
        </w:rPr>
        <w:t xml:space="preserve">Batch Sentiment Engine</w:t>
      </w:r>
    </w:p>
    <w:p>
      <w:pPr>
        <w:spacing w:before="0" w:after="200"/>
      </w:pPr>
      <w:r>
        <w:rPr>
          <w:rFonts w:ascii="Arial" w:cs="Arial" w:eastAsia="Arial" w:hAnsi="Arial"/>
          <w:b/>
          <w:bCs/>
          <w:color w:val="4A6278"/>
          <w:sz w:val="28"/>
          <w:szCs w:val="28"/>
        </w:rPr>
        <w:t xml:space="preserve">Functional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1440"/>
        <w:gridCol w:w="3240"/>
      </w:tblGrid>
      <w:tr>
        <w:tc>
          <w:tcPr>
            <w:tcW w:type="dxa" w:w="1440"/>
            <w:tcBorders>
              <w:top w:val="single" w:color="D0DDE8" w:sz="1"/>
              <w:left w:val="single" w:color="D0DDE8" w:sz="1"/>
              <w:bottom w:val="single" w:color="D0DDE8" w:sz="1"/>
              <w:right w:val="single" w:color="D0DDE8" w:sz="1"/>
            </w:tcBorders>
            <w:shd w:fill="F0F6F5"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4A6278"/>
                <w:sz w:val="18"/>
                <w:szCs w:val="18"/>
              </w:rPr>
              <w:t xml:space="preserve">Project</w:t>
            </w:r>
          </w:p>
        </w:tc>
        <w:tc>
          <w:tcPr>
            <w:tcW w:type="dxa" w:w="324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Lens — Batch Sentiment Engine</w:t>
            </w:r>
          </w:p>
        </w:tc>
        <w:tc>
          <w:tcPr>
            <w:tcW w:type="dxa" w:w="1440"/>
            <w:tcBorders>
              <w:top w:val="single" w:color="D0DDE8" w:sz="1"/>
              <w:left w:val="single" w:color="D0DDE8" w:sz="1"/>
              <w:bottom w:val="single" w:color="D0DDE8" w:sz="1"/>
              <w:right w:val="single" w:color="D0DDE8" w:sz="1"/>
            </w:tcBorders>
            <w:shd w:fill="F0F6F5"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4A6278"/>
                <w:sz w:val="18"/>
                <w:szCs w:val="18"/>
              </w:rPr>
              <w:t xml:space="preserve">Document ID</w:t>
            </w:r>
          </w:p>
        </w:tc>
        <w:tc>
          <w:tcPr>
            <w:tcW w:type="dxa" w:w="324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Lens_FRD_001</w:t>
            </w:r>
          </w:p>
        </w:tc>
      </w:tr>
      <w:tr>
        <w:tc>
          <w:tcPr>
            <w:tcW w:type="dxa" w:w="1440"/>
            <w:tcBorders>
              <w:top w:val="single" w:color="D0DDE8" w:sz="1"/>
              <w:left w:val="single" w:color="D0DDE8" w:sz="1"/>
              <w:bottom w:val="single" w:color="D0DDE8" w:sz="1"/>
              <w:right w:val="single" w:color="D0DDE8" w:sz="1"/>
            </w:tcBorders>
            <w:shd w:fill="F0F6F5"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4A6278"/>
                <w:sz w:val="18"/>
                <w:szCs w:val="18"/>
              </w:rPr>
              <w:t xml:space="preserve">Author</w:t>
            </w:r>
          </w:p>
        </w:tc>
        <w:tc>
          <w:tcPr>
            <w:tcW w:type="dxa" w:w="324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Hadi Mercer</w:t>
            </w:r>
          </w:p>
        </w:tc>
        <w:tc>
          <w:tcPr>
            <w:tcW w:type="dxa" w:w="1440"/>
            <w:tcBorders>
              <w:top w:val="single" w:color="D0DDE8" w:sz="1"/>
              <w:left w:val="single" w:color="D0DDE8" w:sz="1"/>
              <w:bottom w:val="single" w:color="D0DDE8" w:sz="1"/>
              <w:right w:val="single" w:color="D0DDE8" w:sz="1"/>
            </w:tcBorders>
            <w:shd w:fill="F0F6F5"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4A6278"/>
                <w:sz w:val="18"/>
                <w:szCs w:val="18"/>
              </w:rPr>
              <w:t xml:space="preserve">Version</w:t>
            </w:r>
          </w:p>
        </w:tc>
        <w:tc>
          <w:tcPr>
            <w:tcW w:type="dxa" w:w="324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0.1 — DRAFT</w:t>
            </w:r>
          </w:p>
        </w:tc>
      </w:tr>
      <w:tr>
        <w:tc>
          <w:tcPr>
            <w:tcW w:type="dxa" w:w="1440"/>
            <w:tcBorders>
              <w:top w:val="single" w:color="D0DDE8" w:sz="1"/>
              <w:left w:val="single" w:color="D0DDE8" w:sz="1"/>
              <w:bottom w:val="single" w:color="D0DDE8" w:sz="1"/>
              <w:right w:val="single" w:color="D0DDE8" w:sz="1"/>
            </w:tcBorders>
            <w:shd w:fill="F0F6F5"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4A6278"/>
                <w:sz w:val="18"/>
                <w:szCs w:val="18"/>
              </w:rPr>
              <w:t xml:space="preserve">Date</w:t>
            </w:r>
          </w:p>
        </w:tc>
        <w:tc>
          <w:tcPr>
            <w:tcW w:type="dxa" w:w="324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07 March 2026</w:t>
            </w:r>
          </w:p>
        </w:tc>
        <w:tc>
          <w:tcPr>
            <w:tcW w:type="dxa" w:w="1440"/>
            <w:tcBorders>
              <w:top w:val="single" w:color="D0DDE8" w:sz="1"/>
              <w:left w:val="single" w:color="D0DDE8" w:sz="1"/>
              <w:bottom w:val="single" w:color="D0DDE8" w:sz="1"/>
              <w:right w:val="single" w:color="D0DDE8" w:sz="1"/>
            </w:tcBorders>
            <w:shd w:fill="F0F6F5"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4A6278"/>
                <w:sz w:val="18"/>
                <w:szCs w:val="18"/>
              </w:rPr>
              <w:t xml:space="preserve">Status</w:t>
            </w:r>
          </w:p>
        </w:tc>
        <w:tc>
          <w:tcPr>
            <w:tcW w:type="dxa" w:w="324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DRAFT — Pending Review</w:t>
            </w:r>
          </w:p>
        </w:tc>
      </w:tr>
      <w:tr>
        <w:tc>
          <w:tcPr>
            <w:tcW w:type="dxa" w:w="1440"/>
            <w:tcBorders>
              <w:top w:val="single" w:color="D0DDE8" w:sz="1"/>
              <w:left w:val="single" w:color="D0DDE8" w:sz="1"/>
              <w:bottom w:val="single" w:color="D0DDE8" w:sz="1"/>
              <w:right w:val="single" w:color="D0DDE8" w:sz="1"/>
            </w:tcBorders>
            <w:shd w:fill="F0F6F5"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4A6278"/>
                <w:sz w:val="18"/>
                <w:szCs w:val="18"/>
              </w:rPr>
              <w:t xml:space="preserve">Portfolio</w:t>
            </w:r>
          </w:p>
        </w:tc>
        <w:tc>
          <w:tcPr>
            <w:tcW w:type="dxa" w:w="324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BA Portfolio 2026 — Project S4</w:t>
            </w:r>
          </w:p>
        </w:tc>
        <w:tc>
          <w:tcPr>
            <w:tcW w:type="dxa" w:w="1440"/>
            <w:tcBorders>
              <w:top w:val="single" w:color="D0DDE8" w:sz="1"/>
              <w:left w:val="single" w:color="D0DDE8" w:sz="1"/>
              <w:bottom w:val="single" w:color="D0DDE8" w:sz="1"/>
              <w:right w:val="single" w:color="D0DDE8" w:sz="1"/>
            </w:tcBorders>
            <w:shd w:fill="F0F6F5"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4A6278"/>
                <w:sz w:val="18"/>
                <w:szCs w:val="18"/>
              </w:rPr>
              <w:t xml:space="preserve">Classification</w:t>
            </w:r>
          </w:p>
        </w:tc>
        <w:tc>
          <w:tcPr>
            <w:tcW w:type="dxa" w:w="324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Internal — Portfolio</w:t>
            </w:r>
          </w:p>
        </w:tc>
      </w:tr>
      <w:tr>
        <w:tc>
          <w:tcPr>
            <w:tcW w:type="dxa" w:w="1440"/>
            <w:tcBorders>
              <w:top w:val="single" w:color="D0DDE8" w:sz="1"/>
              <w:left w:val="single" w:color="D0DDE8" w:sz="1"/>
              <w:bottom w:val="single" w:color="D0DDE8" w:sz="1"/>
              <w:right w:val="single" w:color="D0DDE8" w:sz="1"/>
            </w:tcBorders>
            <w:shd w:fill="F0F6F5"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4A6278"/>
                <w:sz w:val="18"/>
                <w:szCs w:val="18"/>
              </w:rPr>
              <w:t xml:space="preserve">Methodology</w:t>
            </w:r>
          </w:p>
        </w:tc>
        <w:tc>
          <w:tcPr>
            <w:tcW w:type="dxa" w:w="324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BABOK v3</w:t>
            </w:r>
          </w:p>
        </w:tc>
        <w:tc>
          <w:tcPr>
            <w:tcW w:type="dxa" w:w="1440"/>
            <w:tcBorders>
              <w:top w:val="single" w:color="D0DDE8" w:sz="1"/>
              <w:left w:val="single" w:color="D0DDE8" w:sz="1"/>
              <w:bottom w:val="single" w:color="D0DDE8" w:sz="1"/>
              <w:right w:val="single" w:color="D0DDE8" w:sz="1"/>
            </w:tcBorders>
            <w:shd w:fill="F0F6F5"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4A6278"/>
                <w:sz w:val="18"/>
                <w:szCs w:val="18"/>
              </w:rPr>
              <w:t xml:space="preserve">Next Review</w:t>
            </w:r>
          </w:p>
        </w:tc>
        <w:tc>
          <w:tcPr>
            <w:tcW w:type="dxa" w:w="324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Pending Objectives Approval</w:t>
            </w:r>
          </w:p>
        </w:tc>
      </w:tr>
    </w:tbl>
    <w:p>
      <w:pPr>
        <w:spacing w:before="200" w:after="80"/>
      </w:pPr>
    </w:p>
    <w:p>
      <w:pPr>
        <w:pBdr>
          <w:bottom w:val="single" w:color="006B5F" w:sz="4" w:space="1"/>
        </w:pBdr>
        <w:spacing w:before="120" w:after="120"/>
      </w:pPr>
    </w:p>
    <w:p>
      <w:pPr>
        <w:pStyle w:val="Heading2"/>
        <w:spacing w:before="240" w:after="80"/>
      </w:pPr>
      <w:r>
        <w:rPr>
          <w:rFonts w:ascii="Arial" w:cs="Arial" w:eastAsia="Arial" w:hAnsi="Arial"/>
          <w:b/>
          <w:bCs/>
          <w:color w:val="00897B"/>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rPr>
          <w:tblHeader/>
        </w:trPr>
        <w:tc>
          <w:tcPr>
            <w:tcW w:type="dxa" w:w="12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Version</w:t>
            </w:r>
          </w:p>
        </w:tc>
        <w:tc>
          <w:tcPr>
            <w:tcW w:type="dxa" w:w="16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Date</w:t>
            </w:r>
          </w:p>
        </w:tc>
        <w:tc>
          <w:tcPr>
            <w:tcW w:type="dxa" w:w="18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Author</w:t>
            </w:r>
          </w:p>
        </w:tc>
        <w:tc>
          <w:tcPr>
            <w:tcW w:type="dxa" w:w="476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Change Description</w:t>
            </w:r>
          </w:p>
        </w:tc>
      </w:tr>
      <w:tr>
        <w:tc>
          <w:tcPr>
            <w:tcW w:type="dxa" w:w="1200"/>
            <w:tcBorders>
              <w:top w:val="single" w:color="D0DDE8" w:sz="1"/>
              <w:left w:val="single" w:color="D0DDE8" w:sz="1"/>
              <w:bottom w:val="single" w:color="D0DDE8" w:sz="1"/>
              <w:right w:val="single" w:color="D0DDE8"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0.1</w:t>
            </w:r>
          </w:p>
        </w:tc>
        <w:tc>
          <w:tcPr>
            <w:tcW w:type="dxa" w:w="1600"/>
            <w:tcBorders>
              <w:top w:val="single" w:color="D0DDE8" w:sz="1"/>
              <w:left w:val="single" w:color="D0DDE8" w:sz="1"/>
              <w:bottom w:val="single" w:color="D0DDE8" w:sz="1"/>
              <w:right w:val="single" w:color="D0DDE8"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07 Mar 2026</w:t>
            </w:r>
          </w:p>
        </w:tc>
        <w:tc>
          <w:tcPr>
            <w:tcW w:type="dxa" w:w="1800"/>
            <w:tcBorders>
              <w:top w:val="single" w:color="D0DDE8" w:sz="1"/>
              <w:left w:val="single" w:color="D0DDE8" w:sz="1"/>
              <w:bottom w:val="single" w:color="D0DDE8" w:sz="1"/>
              <w:right w:val="single" w:color="D0DDE8"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Hadi Mercer</w:t>
            </w:r>
          </w:p>
        </w:tc>
        <w:tc>
          <w:tcPr>
            <w:tcW w:type="dxa" w:w="4760"/>
            <w:tcBorders>
              <w:top w:val="single" w:color="D0DDE8" w:sz="1"/>
              <w:left w:val="single" w:color="D0DDE8" w:sz="1"/>
              <w:bottom w:val="single" w:color="D0DDE8" w:sz="1"/>
              <w:right w:val="single" w:color="D0DDE8" w:sz="1"/>
            </w:tcBorders>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Initial draft — Sections 1–7. Objectives, Stakeholders, Scope, and full Functional Requirements.</w:t>
            </w:r>
          </w:p>
        </w:tc>
      </w:tr>
    </w:tbl>
    <w:p>
      <w:r>
        <w:br w:type="page"/>
      </w:r>
    </w:p>
    <w:p>
      <w:pPr>
        <w:pStyle w:val="Heading1"/>
        <w:spacing w:before="320" w:after="120"/>
      </w:pPr>
      <w:r>
        <w:rPr>
          <w:rFonts w:ascii="Arial" w:cs="Arial" w:eastAsia="Arial" w:hAnsi="Arial"/>
          <w:b/>
          <w:bCs/>
          <w:color w:val="0D3D36"/>
          <w:sz w:val="32"/>
          <w:szCs w:val="32"/>
        </w:rPr>
        <w:t xml:space="preserve">1. Executive Summary</w:t>
      </w:r>
    </w:p>
    <w:p>
      <w:pPr>
        <w:pBdr>
          <w:bottom w:val="single" w:color="006B5F" w:sz="4" w:space="1"/>
        </w:pBdr>
        <w:spacing w:before="120" w:after="120"/>
      </w:pPr>
    </w:p>
    <w:p>
      <w:pPr>
        <w:spacing w:before="60" w:after="80"/>
        <w:jc w:val="left"/>
      </w:pPr>
      <w:r>
        <w:rPr>
          <w:rFonts w:ascii="Arial" w:cs="Arial" w:eastAsia="Arial" w:hAnsi="Arial"/>
          <w:b w:val="false"/>
          <w:bCs w:val="false"/>
          <w:i w:val="false"/>
          <w:iCs w:val="false"/>
          <w:color w:val="1A2535"/>
          <w:sz w:val="22"/>
          <w:szCs w:val="22"/>
        </w:rPr>
        <w:t xml:space="preserve">Organisations that collect business text — customer feedback, employee survey responses, support tickets, NPS comments — routinely underuse it. Text is gathered, filed, and summarised manually by whoever ran the survey or managed the queue. The resulting analysis is slow, inconsistent, and disconnected from prior cycles. There is no structured way to know whether sentiment is improving, which themes are emerging, or whether an action taken last quarter actually changed anything.</w:t>
      </w:r>
    </w:p>
    <w:p>
      <w:pPr>
        <w:spacing w:before="60" w:after="80"/>
        <w:jc w:val="left"/>
      </w:pPr>
      <w:r>
        <w:rPr>
          <w:rFonts w:ascii="Arial" w:cs="Arial" w:eastAsia="Arial" w:hAnsi="Arial"/>
          <w:b w:val="false"/>
          <w:bCs w:val="false"/>
          <w:i w:val="false"/>
          <w:iCs w:val="false"/>
          <w:color w:val="1A2535"/>
          <w:sz w:val="22"/>
          <w:szCs w:val="22"/>
        </w:rPr>
        <w:t xml:space="preserve">Lens is a domain-agnostic batch sentiment analysis platform that addresses this gap. It accepts any business text, runs it through a structured NLP pipeline powered by the OpenAI API, and returns a visual analysis covering sentiment breakdown, recurring themes, sentiment over time, and anomaly flags. It is deliberately framed to serve CX teams analysing customer feedback, HR teams analysing employee surveys, and operations teams analysing support tickets — the same system, the same pipeline, a different audience and domain label.</w:t>
      </w:r>
    </w:p>
    <w:p>
      <w:pPr>
        <w:spacing w:before="60" w:after="80"/>
        <w:jc w:val="left"/>
      </w:pPr>
      <w:r>
        <w:rPr>
          <w:rFonts w:ascii="Arial" w:cs="Arial" w:eastAsia="Arial" w:hAnsi="Arial"/>
          <w:b w:val="false"/>
          <w:bCs w:val="false"/>
          <w:i w:val="false"/>
          <w:iCs w:val="false"/>
          <w:color w:val="1A2535"/>
          <w:sz w:val="22"/>
          <w:szCs w:val="22"/>
        </w:rPr>
        <w:t xml:space="preserve">Three design decisions distinguish Lens from a simple sentiment counter. First, context enrichment: the analyst supplies organisational and situational context before each run, which the pipeline injects into the OpenAI prompt to produce output that is specific to the business situation rather than generic. Second, named analysis series: the analyst groups related runs under a series name, creating a longitudinal thread across cycles. Third, prior-cycle injection: when a run belongs to a series with history, the previous run's summary and metrics are injected into the prompt, causing the model to produce output that explicitly references change, trend, and momentum rather than describing a single snapshot in isolation.</w:t>
      </w:r>
    </w:p>
    <w:p>
      <w:pPr>
        <w:spacing w:before="60" w:after="80"/>
        <w:jc w:val="left"/>
      </w:pPr>
      <w:r>
        <w:rPr>
          <w:rFonts w:ascii="Arial" w:cs="Arial" w:eastAsia="Arial" w:hAnsi="Arial"/>
          <w:b w:val="false"/>
          <w:bCs w:val="false"/>
          <w:i w:val="false"/>
          <w:iCs w:val="false"/>
          <w:color w:val="1A2535"/>
          <w:sz w:val="22"/>
          <w:szCs w:val="22"/>
        </w:rPr>
        <w:t xml:space="preserve">Lens is built for Streamlit deployment with a Python backend, PostgreSQL for structured result storage, and the OpenAI API for NLP. It is sized as a portfolio showcase — a complete, deployable, demonstrable tool that evidences structured BA thinking, domain-agnostic design strategy, and data model awareness.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8"/>
              <w:bottom w:val="single" w:color="B8860B" w:sz="2"/>
              <w:right w:val="single" w:color="B8860B" w:sz="2"/>
            </w:tcBorders>
            <w:shd w:fill="FFF8E8" w:val="clear"/>
            <w:tcMar>
              <w:top w:type="dxa" w:w="120"/>
              <w:left w:type="dxa" w:w="180"/>
              <w:bottom w:type="dxa" w:w="120"/>
              <w:right w:type="dxa" w:w="180"/>
            </w:tcMar>
          </w:tcPr>
          <w:p>
            <w:pPr>
              <w:spacing w:before="0" w:after="60"/>
            </w:pPr>
            <w:r>
              <w:rPr>
                <w:rFonts w:ascii="Arial" w:cs="Arial" w:eastAsia="Arial" w:hAnsi="Arial"/>
                <w:b/>
                <w:bCs/>
                <w:color w:val="B8860B"/>
                <w:sz w:val="20"/>
                <w:szCs w:val="20"/>
              </w:rPr>
              <w:t xml:space="preserve">Portfolio Narrative Thread</w:t>
            </w:r>
          </w:p>
          <w:p>
            <w:pPr>
              <w:spacing w:before="30" w:after="30"/>
            </w:pPr>
            <w:r>
              <w:rPr>
                <w:rFonts w:ascii="Arial" w:cs="Arial" w:eastAsia="Arial" w:hAnsi="Arial"/>
                <w:color w:val="4A3800"/>
                <w:sz w:val="20"/>
                <w:szCs w:val="20"/>
              </w:rPr>
              <w:t xml:space="preserve">Lens is Project S4 in the BA Portfolio 2026 series. It sits alongside Cadence (S1 — HR Process</w:t>
            </w:r>
          </w:p>
          <w:p>
            <w:pPr>
              <w:spacing w:before="30" w:after="30"/>
            </w:pPr>
            <w:r>
              <w:rPr>
                <w:rFonts w:ascii="Arial" w:cs="Arial" w:eastAsia="Arial" w:hAnsi="Arial"/>
                <w:color w:val="4A3800"/>
                <w:sz w:val="20"/>
                <w:szCs w:val="20"/>
              </w:rPr>
              <w:t xml:space="preserve">Automation Hub) as a complementary analytical capability. Where Cadence's WF4 Performance</w:t>
            </w:r>
          </w:p>
          <w:p>
            <w:pPr>
              <w:spacing w:before="30" w:after="30"/>
            </w:pPr>
            <w:r>
              <w:rPr>
                <w:rFonts w:ascii="Arial" w:cs="Arial" w:eastAsia="Arial" w:hAnsi="Arial"/>
                <w:color w:val="4A3800"/>
                <w:sz w:val="20"/>
                <w:szCs w:val="20"/>
              </w:rPr>
              <w:t xml:space="preserve">Management Cycle produces weekly 1:1 sentiment flags from structured manager input, Lens analyses</w:t>
            </w:r>
          </w:p>
          <w:p>
            <w:pPr>
              <w:spacing w:before="30" w:after="30"/>
            </w:pPr>
            <w:r>
              <w:rPr>
                <w:rFonts w:ascii="Arial" w:cs="Arial" w:eastAsia="Arial" w:hAnsi="Arial"/>
                <w:color w:val="4A3800"/>
                <w:sz w:val="20"/>
                <w:szCs w:val="20"/>
              </w:rPr>
              <w:t xml:space="preserve">unstructured text at batch scale — the kind of data that accumulates in annual engagement surveys,</w:t>
            </w:r>
          </w:p>
          <w:p>
            <w:pPr>
              <w:spacing w:before="30" w:after="30"/>
            </w:pPr>
            <w:r>
              <w:rPr>
                <w:rFonts w:ascii="Arial" w:cs="Arial" w:eastAsia="Arial" w:hAnsi="Arial"/>
                <w:color w:val="4A3800"/>
                <w:sz w:val="20"/>
                <w:szCs w:val="20"/>
              </w:rPr>
              <w:t xml:space="preserve">post-reorg pulse checks, and NPS comment fields that Cadence does not process. The two tools are</w:t>
            </w:r>
          </w:p>
          <w:p>
            <w:pPr>
              <w:spacing w:before="30" w:after="30"/>
            </w:pPr>
            <w:r>
              <w:rPr>
                <w:rFonts w:ascii="Arial" w:cs="Arial" w:eastAsia="Arial" w:hAnsi="Arial"/>
                <w:color w:val="4A3800"/>
                <w:sz w:val="20"/>
                <w:szCs w:val="20"/>
              </w:rPr>
              <w:t xml:space="preserve">not integrated in v1 but represent connected layers of the same people analytics story: Cadence</w:t>
            </w:r>
          </w:p>
          <w:p>
            <w:pPr>
              <w:spacing w:before="30" w:after="30"/>
            </w:pPr>
            <w:r>
              <w:rPr>
                <w:rFonts w:ascii="Arial" w:cs="Arial" w:eastAsia="Arial" w:hAnsi="Arial"/>
                <w:color w:val="4A3800"/>
                <w:sz w:val="20"/>
                <w:szCs w:val="20"/>
              </w:rPr>
              <w:t xml:space="preserve">tracks structured behavioural signals at individual level; Lens surfaces unstructured language</w:t>
            </w:r>
          </w:p>
          <w:p>
            <w:pPr>
              <w:spacing w:before="30" w:after="30"/>
            </w:pPr>
            <w:r>
              <w:rPr>
                <w:rFonts w:ascii="Arial" w:cs="Arial" w:eastAsia="Arial" w:hAnsi="Arial"/>
                <w:color w:val="4A3800"/>
                <w:sz w:val="20"/>
                <w:szCs w:val="20"/>
              </w:rPr>
              <w:t xml:space="preserve">patterns at organisational scale.</w:t>
            </w:r>
          </w:p>
        </w:tc>
      </w:tr>
    </w:tbl>
    <w:p>
      <w:r>
        <w:br w:type="page"/>
      </w:r>
    </w:p>
    <w:p>
      <w:pPr>
        <w:pStyle w:val="Heading1"/>
        <w:spacing w:before="320" w:after="120"/>
      </w:pPr>
      <w:r>
        <w:rPr>
          <w:rFonts w:ascii="Arial" w:cs="Arial" w:eastAsia="Arial" w:hAnsi="Arial"/>
          <w:b/>
          <w:bCs/>
          <w:color w:val="0D3D36"/>
          <w:sz w:val="32"/>
          <w:szCs w:val="32"/>
        </w:rPr>
        <w:t xml:space="preserve">2. Objectives</w:t>
      </w:r>
    </w:p>
    <w:p>
      <w:pPr>
        <w:pBdr>
          <w:bottom w:val="single" w:color="006B5F" w:sz="4" w:space="1"/>
        </w:pBdr>
        <w:spacing w:before="120" w:after="120"/>
      </w:pPr>
    </w:p>
    <w:p>
      <w:pPr>
        <w:spacing w:before="60" w:after="80"/>
        <w:jc w:val="left"/>
      </w:pPr>
      <w:r>
        <w:rPr>
          <w:rFonts w:ascii="Arial" w:cs="Arial" w:eastAsia="Arial" w:hAnsi="Arial"/>
          <w:b w:val="false"/>
          <w:bCs w:val="false"/>
          <w:i w:val="false"/>
          <w:iCs w:val="false"/>
          <w:color w:val="1A2535"/>
          <w:sz w:val="22"/>
          <w:szCs w:val="22"/>
        </w:rPr>
        <w:t xml:space="preserve">Lens has four primary objectives — one per capability group. Each objective follows the BABOK v3 structure: a measurable outcome statement, a named primary beneficiary whose problem the objective addresses, a success indicator that defines what "done" looks like, and a measurement method that makes the success indicator verifiable. Functional requirements in subsequent sections trace back to these objectives.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00"/>
        <w:gridCol w:w="2200"/>
        <w:gridCol w:w="1800"/>
        <w:gridCol w:w="2040"/>
      </w:tblGrid>
      <w:tr>
        <w:trPr>
          <w:tblHeader/>
        </w:trPr>
        <w:tc>
          <w:tcPr>
            <w:tcW w:type="dxa" w:w="72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ID</w:t>
            </w:r>
          </w:p>
        </w:tc>
        <w:tc>
          <w:tcPr>
            <w:tcW w:type="dxa" w:w="26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Workflow &amp; Objective Statement</w:t>
            </w:r>
          </w:p>
        </w:tc>
        <w:tc>
          <w:tcPr>
            <w:tcW w:type="dxa" w:w="22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Success Indicator</w:t>
            </w:r>
          </w:p>
        </w:tc>
        <w:tc>
          <w:tcPr>
            <w:tcW w:type="dxa" w:w="18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Measurement Method</w:t>
            </w:r>
          </w:p>
        </w:tc>
        <w:tc>
          <w:tcPr>
            <w:tcW w:type="dxa" w:w="204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Primary Beneficiary</w:t>
            </w:r>
          </w:p>
        </w:tc>
      </w:tr>
      <w:tr>
        <w:tc>
          <w:tcPr>
            <w:tcW w:type="dxa" w:w="72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18"/>
                <w:szCs w:val="18"/>
              </w:rPr>
              <w:t xml:space="preserve">OBJ-01</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60" w:after="40"/>
            </w:pPr>
            <w:r>
              <w:rPr>
                <w:rFonts w:ascii="Arial" w:cs="Arial" w:eastAsia="Arial" w:hAnsi="Arial"/>
                <w:b/>
                <w:bCs/>
                <w:color w:val="1A2535"/>
                <w:sz w:val="20"/>
                <w:szCs w:val="20"/>
              </w:rPr>
              <w:t xml:space="preserve">Batch Ingestion &amp; Validated Pipeline Execution</w:t>
            </w:r>
          </w:p>
          <w:p>
            <w:pPr>
              <w:spacing w:before="0" w:after="60"/>
            </w:pPr>
            <w:r>
              <w:rPr>
                <w:rFonts w:ascii="Arial" w:cs="Arial" w:eastAsia="Arial" w:hAnsi="Arial"/>
                <w:color w:val="1A2535"/>
                <w:sz w:val="20"/>
                <w:szCs w:val="20"/>
              </w:rPr>
              <w:t xml:space="preserve">Provide a reliable, validated ingestion mechanism that accepts business text in any domain context, confirms data quality before processing, and completes a full NLP pipeline run without manual intervention.</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A batch of up to 10,000 records produces a complete analysis result — sentiment scores, themes, summary, and anomaly flags — within 5 minutes of pipeline trigger, with zero manual steps between upload and result display. Validation errors surface before the pipeline runs, not during.</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Time elapsed from pipeline trigger to result display, measured across 10 consecutive test runs. Target: ≤5 minutes in all 10 runs. Validation error rate: 100% of malformed batches flagged at preview step, not at pipeline execution.</w:t>
            </w:r>
          </w:p>
        </w:tc>
        <w:tc>
          <w:tcPr>
            <w:tcW w:type="dxa" w:w="204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A2535"/>
                <w:sz w:val="20"/>
                <w:szCs w:val="20"/>
              </w:rPr>
              <w:t xml:space="preserve">Analyst</w:t>
            </w:r>
          </w:p>
        </w:tc>
      </w:tr>
      <w:tr>
        <w:tc>
          <w:tcPr>
            <w:tcW w:type="dxa" w:w="72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18"/>
                <w:szCs w:val="18"/>
              </w:rPr>
              <w:t xml:space="preserve">OBJ-02</w:t>
            </w:r>
          </w:p>
        </w:tc>
        <w:tc>
          <w:tcPr>
            <w:tcW w:type="dxa" w:w="26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60" w:after="40"/>
            </w:pPr>
            <w:r>
              <w:rPr>
                <w:rFonts w:ascii="Arial" w:cs="Arial" w:eastAsia="Arial" w:hAnsi="Arial"/>
                <w:b/>
                <w:bCs/>
                <w:color w:val="1A2535"/>
                <w:sz w:val="20"/>
                <w:szCs w:val="20"/>
              </w:rPr>
              <w:t xml:space="preserve">Structured NLP Output with Domain Context Enrichment</w:t>
            </w:r>
          </w:p>
          <w:p>
            <w:pPr>
              <w:spacing w:before="0" w:after="60"/>
            </w:pPr>
            <w:r>
              <w:rPr>
                <w:rFonts w:ascii="Arial" w:cs="Arial" w:eastAsia="Arial" w:hAnsi="Arial"/>
                <w:color w:val="1A2535"/>
                <w:sz w:val="20"/>
                <w:szCs w:val="20"/>
              </w:rPr>
              <w:t xml:space="preserve">Produce analytically meaningful NLP output — sentiment breakdown, recurring themes, executive summary, and anomaly flags — that is sharpened by analyst-supplied organisational and batch context, making output relevant to the specific business situation rather than generic.</w:t>
            </w:r>
          </w:p>
        </w:tc>
        <w:tc>
          <w:tcPr>
            <w:tcW w:type="dxa" w:w="22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Analysis results that include a populated context profile produce executive summaries that explicitly reference the organisation, department, and situational context supplied. Theme labels are specific (e.g. "onboarding friction" not "process issues"). Anomaly explanations reference context where available.</w:t>
            </w:r>
          </w:p>
        </w:tc>
        <w:tc>
          <w:tcPr>
            <w:tcW w:type="dxa" w:w="18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Qualitative review of 5 analysis runs: analyst or reviewer assesses whether the executive summary and theme labels reflect the supplied context. Target: ≥4 of 5 runs judged as context-aware by reviewer. Binary pass/fail per run.</w:t>
            </w:r>
          </w:p>
        </w:tc>
        <w:tc>
          <w:tcPr>
            <w:tcW w:type="dxa" w:w="204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A2535"/>
                <w:sz w:val="20"/>
                <w:szCs w:val="20"/>
              </w:rPr>
              <w:t xml:space="preserve">Analyst</w:t>
            </w:r>
          </w:p>
        </w:tc>
      </w:tr>
      <w:tr>
        <w:tc>
          <w:tcPr>
            <w:tcW w:type="dxa" w:w="72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18"/>
                <w:szCs w:val="18"/>
              </w:rPr>
              <w:t xml:space="preserve">OBJ-03</w:t>
            </w:r>
          </w:p>
        </w:tc>
        <w:tc>
          <w:tcPr>
            <w:tcW w:type="dxa" w:w="2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60" w:after="40"/>
            </w:pPr>
            <w:r>
              <w:rPr>
                <w:rFonts w:ascii="Arial" w:cs="Arial" w:eastAsia="Arial" w:hAnsi="Arial"/>
                <w:b/>
                <w:bCs/>
                <w:color w:val="1A2535"/>
                <w:sz w:val="20"/>
                <w:szCs w:val="20"/>
              </w:rPr>
              <w:t xml:space="preserve">Longitudinal Intelligence via Named Analysis Series</w:t>
            </w:r>
          </w:p>
          <w:p>
            <w:pPr>
              <w:spacing w:before="0" w:after="60"/>
            </w:pPr>
            <w:r>
              <w:rPr>
                <w:rFonts w:ascii="Arial" w:cs="Arial" w:eastAsia="Arial" w:hAnsi="Arial"/>
                <w:color w:val="1A2535"/>
                <w:sz w:val="20"/>
                <w:szCs w:val="20"/>
              </w:rPr>
              <w:t xml:space="preserve">Enable analysts to track sentiment and theme movement over time by grouping related analysis runs into named series, with each new run receiving a prior-cycle summary injection that causes the model to produce output explicitly referencing change, trend, and momentum across cycles.</w:t>
            </w:r>
          </w:p>
        </w:tc>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When a run is assigned to a series with at least one prior completed run, the generated executive summary contains explicit comparative language — referencing directional change in sentiment, emerging or resolved themes, or momentum — in ≥90% of such runs. The prior-cycle context is retrievable and displayed alongside the current result.</w:t>
            </w:r>
          </w:p>
        </w:tc>
        <w:tc>
          <w:tcPr>
            <w:tcW w:type="dxa" w:w="18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Review of 10 series-linked analysis runs: count the proportion whose executive summary contains comparative language relative to the prior cycle. Target: ≥9 of 10 runs. Manual review by analyst against a defined rubric (does the summary mention change, trend, or momentum?).</w:t>
            </w:r>
          </w:p>
        </w:tc>
        <w:tc>
          <w:tcPr>
            <w:tcW w:type="dxa" w:w="204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A2535"/>
                <w:sz w:val="20"/>
                <w:szCs w:val="20"/>
              </w:rPr>
              <w:t xml:space="preserve">Analyst / Admin</w:t>
            </w:r>
          </w:p>
        </w:tc>
      </w:tr>
      <w:tr>
        <w:tc>
          <w:tcPr>
            <w:tcW w:type="dxa" w:w="72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18"/>
                <w:szCs w:val="18"/>
              </w:rPr>
              <w:t xml:space="preserve">OBJ-04</w:t>
            </w:r>
          </w:p>
        </w:tc>
        <w:tc>
          <w:tcPr>
            <w:tcW w:type="dxa" w:w="26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60" w:after="40"/>
            </w:pPr>
            <w:r>
              <w:rPr>
                <w:rFonts w:ascii="Arial" w:cs="Arial" w:eastAsia="Arial" w:hAnsi="Arial"/>
                <w:b/>
                <w:bCs/>
                <w:color w:val="1A2535"/>
                <w:sz w:val="20"/>
                <w:szCs w:val="20"/>
              </w:rPr>
              <w:t xml:space="preserve">Persistent Storage, History Browsing, and Export</w:t>
            </w:r>
          </w:p>
          <w:p>
            <w:pPr>
              <w:spacing w:before="0" w:after="60"/>
            </w:pPr>
            <w:r>
              <w:rPr>
                <w:rFonts w:ascii="Arial" w:cs="Arial" w:eastAsia="Arial" w:hAnsi="Arial"/>
                <w:color w:val="1A2535"/>
                <w:sz w:val="20"/>
                <w:szCs w:val="20"/>
              </w:rPr>
              <w:t xml:space="preserve">Ensure every completed analysis result is stored in a structured, retrievable format that supports history browsing by series, date, and domain — and that analysts can export per-record results for downstream use without re-running the pipeline.</w:t>
            </w:r>
          </w:p>
        </w:tc>
        <w:tc>
          <w:tcPr>
            <w:tcW w:type="dxa" w:w="22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Every completed analysis run is retrievable from the history browser within 2 seconds of page load, with correct series grouping and metadata. CSV export produces a complete, correctly formatted file containing per-record sentiment scores and theme assignments for 100% of records in the batch.</w:t>
            </w:r>
          </w:p>
        </w:tc>
        <w:tc>
          <w:tcPr>
            <w:tcW w:type="dxa" w:w="18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Test 20 stored analyses across 3 series: verify retrieval time, series grouping accuracy, and metadata completeness. Test CSV export for 5 batches of varying sizes: verify record count, column completeness, and file integrity. Target: 100% pass on all checks.</w:t>
            </w:r>
          </w:p>
        </w:tc>
        <w:tc>
          <w:tcPr>
            <w:tcW w:type="dxa" w:w="204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1A2535"/>
                <w:sz w:val="20"/>
                <w:szCs w:val="20"/>
              </w:rPr>
              <w:t xml:space="preserve">Analyst / Admin</w:t>
            </w:r>
          </w:p>
        </w:tc>
      </w:tr>
    </w:tbl>
    <w:p>
      <w:pPr>
        <w:spacing w:before="60" w:after="60"/>
      </w:pPr>
    </w:p>
    <w:p>
      <w:pPr>
        <w:spacing w:before="60" w:after="80"/>
        <w:jc w:val="left"/>
      </w:pPr>
      <w:r>
        <w:rPr>
          <w:rFonts w:ascii="Arial" w:cs="Arial" w:eastAsia="Arial" w:hAnsi="Arial"/>
          <w:b w:val="false"/>
          <w:bCs w:val="false"/>
          <w:i/>
          <w:iCs/>
          <w:color w:val="4A6278"/>
          <w:sz w:val="20"/>
          <w:szCs w:val="20"/>
        </w:rPr>
        <w:t xml:space="preserve">The four objectives are sequentially dependent in the pipeline. OBJ-01 produces the validated, staged batch that OBJ-02 consumes for NLP execution. OBJ-02 produces the structured result that OBJ-03 uses for longitudinal injection in subsequent series runs. OBJ-01 and OBJ-02 together produce the stored output that OBJ-04 serves from history. This dependency chain is the defining architectural characteristic of Lens.</w:t>
      </w:r>
    </w:p>
    <w:p>
      <w:r>
        <w:br w:type="page"/>
      </w:r>
    </w:p>
    <w:p>
      <w:pPr>
        <w:pStyle w:val="Heading1"/>
        <w:spacing w:before="320" w:after="120"/>
      </w:pPr>
      <w:r>
        <w:rPr>
          <w:rFonts w:ascii="Arial" w:cs="Arial" w:eastAsia="Arial" w:hAnsi="Arial"/>
          <w:b/>
          <w:bCs/>
          <w:color w:val="0D3D36"/>
          <w:sz w:val="32"/>
          <w:szCs w:val="32"/>
        </w:rPr>
        <w:t xml:space="preserve">3. Stakeholder Register</w:t>
      </w:r>
    </w:p>
    <w:p>
      <w:pPr>
        <w:pBdr>
          <w:bottom w:val="single" w:color="006B5F" w:sz="4" w:space="1"/>
        </w:pBdr>
        <w:spacing w:before="120" w:after="120"/>
      </w:pPr>
    </w:p>
    <w:p>
      <w:pPr>
        <w:spacing w:before="60" w:after="80"/>
        <w:jc w:val="left"/>
      </w:pPr>
      <w:r>
        <w:rPr>
          <w:rFonts w:ascii="Arial" w:cs="Arial" w:eastAsia="Arial" w:hAnsi="Arial"/>
          <w:b w:val="false"/>
          <w:bCs w:val="false"/>
          <w:i w:val="false"/>
          <w:iCs w:val="false"/>
          <w:color w:val="1A2535"/>
          <w:sz w:val="22"/>
          <w:szCs w:val="22"/>
        </w:rPr>
        <w:t xml:space="preserve">Lens serves three functional stakeholders and one portfolio stakeholder. The domain-agnostic design strategy means the Analyst role maps to a different job title depending on the demo context — CX Manager for customer feedback analysis, HR Business Partner for employee survey analysis, Ops Lead for support ticket analysis — but the functional interactions are identical across all three framings. Role-based access control is not implemented in v1; a future phase note is included in the Out of Scope section.</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400"/>
        <w:gridCol w:w="1000"/>
        <w:gridCol w:w="3460"/>
      </w:tblGrid>
      <w:tr>
        <w:trPr>
          <w:tblHeader/>
        </w:trPr>
        <w:tc>
          <w:tcPr>
            <w:tcW w:type="dxa" w:w="11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Role</w:t>
            </w:r>
          </w:p>
        </w:tc>
        <w:tc>
          <w:tcPr>
            <w:tcW w:type="dxa" w:w="14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Stakeholder</w:t>
            </w:r>
          </w:p>
        </w:tc>
        <w:tc>
          <w:tcPr>
            <w:tcW w:type="dxa" w:w="24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Primary Interest</w:t>
            </w:r>
          </w:p>
        </w:tc>
        <w:tc>
          <w:tcPr>
            <w:tcW w:type="dxa" w:w="10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Influence</w:t>
            </w:r>
          </w:p>
        </w:tc>
        <w:tc>
          <w:tcPr>
            <w:tcW w:type="dxa" w:w="346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Workflow Interaction</w:t>
            </w:r>
          </w:p>
        </w:tc>
      </w:tr>
      <w:tr>
        <w:tc>
          <w:tcPr>
            <w:tcW w:type="dxa" w:w="11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20"/>
                <w:szCs w:val="20"/>
              </w:rPr>
              <w:t xml:space="preserve">Analyst</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CX Manager / HR Business Partner / Ops Lead</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Accurate, context-aware analysis output that reflects the specific business situation. Fast turnaround from upload to result. Ability to track how sentiment and themes change across cycles. Export for downstream reporting.</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A2535"/>
                <w:sz w:val="20"/>
                <w:szCs w:val="20"/>
              </w:rPr>
              <w:t xml:space="preserve">HIGH
Primary user. Data quality and context enrichment depend entirely on Analyst input quality.</w:t>
            </w:r>
          </w:p>
        </w:tc>
        <w:tc>
          <w:tcPr>
            <w:tcW w:type="dxa" w:w="34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Uploads batch text. Assigns domain label and source context. Enters context profile. Links runs to named series. Reviews all four dashboard panels. Exports results CSV. Browses analysis history.</w:t>
            </w:r>
          </w:p>
        </w:tc>
      </w:tr>
      <w:tr>
        <w:tc>
          <w:tcPr>
            <w:tcW w:type="dxa" w:w="11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20"/>
                <w:szCs w:val="20"/>
              </w:rPr>
              <w:t xml:space="preserve">Admin</w:t>
            </w:r>
          </w:p>
        </w:tc>
        <w:tc>
          <w:tcPr>
            <w:tcW w:type="dxa" w:w="14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Department Head / HR Lead / Ops Manager</w:t>
            </w:r>
          </w:p>
        </w:tc>
        <w:tc>
          <w:tcPr>
            <w:tcW w:type="dxa" w:w="24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Visibility of historical analysis results across series. Ability to review anomaly flags and executive summaries without re-running the pipeline. Assurance that stored results are accurate and series-grouped correctly.</w:t>
            </w:r>
          </w:p>
        </w:tc>
        <w:tc>
          <w:tcPr>
            <w:tcW w:type="dxa" w:w="1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A2535"/>
                <w:sz w:val="20"/>
                <w:szCs w:val="20"/>
              </w:rPr>
              <w:t xml:space="preserve">MEDIUM
Read access to stored results. No pipeline trigger capability in v1.</w:t>
            </w:r>
          </w:p>
        </w:tc>
        <w:tc>
          <w:tcPr>
            <w:tcW w:type="dxa" w:w="34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Browses stored analysis history. Filters by series, date, and domain. Views anomaly flag panels. Reviews executive summaries across series for trend awareness.</w:t>
            </w:r>
          </w:p>
        </w:tc>
      </w:tr>
      <w:tr>
        <w:tc>
          <w:tcPr>
            <w:tcW w:type="dxa" w:w="11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20"/>
                <w:szCs w:val="20"/>
              </w:rPr>
              <w:t xml:space="preserve">OpenAI API</w:t>
            </w:r>
          </w:p>
        </w:tc>
        <w:tc>
          <w:tcPr>
            <w:tcW w:type="dxa" w:w="1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External NLP Service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Not a human stakeholder. Included as an architectural dependency. Reliability, response latency, and structured output compliance are system design concerns, not stakeholder interests.</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A2535"/>
                <w:sz w:val="20"/>
                <w:szCs w:val="20"/>
              </w:rPr>
              <w:t xml:space="preserve">EXTERNAL
Non-negotiable dependency. Scope risk if API behaviour changes.</w:t>
            </w:r>
          </w:p>
        </w:tc>
        <w:tc>
          <w:tcPr>
            <w:tcW w:type="dxa" w:w="34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Receives per-record sentiment prompts (UC-04). Returns structured sentiment + confidence scores. Receives batch-level theme extraction prompt (UC-05). Returns theme list with frequency and sentiment polarity. Receives executive summary prompt (UC-06). Returns narrative text.</w:t>
            </w:r>
          </w:p>
        </w:tc>
      </w:tr>
      <w:tr>
        <w:tc>
          <w:tcPr>
            <w:tcW w:type="dxa" w:w="11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20"/>
                <w:szCs w:val="20"/>
              </w:rPr>
              <w:t xml:space="preserve">Portfolio Reviewer</w:t>
            </w:r>
          </w:p>
        </w:tc>
        <w:tc>
          <w:tcPr>
            <w:tcW w:type="dxa" w:w="14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BA Hiring Manager / Technical Interviewer</w:t>
            </w:r>
          </w:p>
        </w:tc>
        <w:tc>
          <w:tcPr>
            <w:tcW w:type="dxa" w:w="24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Evidence of structured requirements thinking, BABOK v3 methodology, domain-agnostic design, data model awareness, and ability to scope a build-ready project. The domain-agnostic framing is a deliberate portfolio strategy — this tool must be credibly demoable as a CX, HR, or Ops tool.</w:t>
            </w:r>
          </w:p>
        </w:tc>
        <w:tc>
          <w:tcPr>
            <w:tcW w:type="dxa" w:w="1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center"/>
            </w:pPr>
            <w:r>
              <w:rPr>
                <w:rFonts w:ascii="Arial" w:cs="Arial" w:eastAsia="Arial" w:hAnsi="Arial"/>
                <w:b w:val="false"/>
                <w:bCs w:val="false"/>
                <w:i w:val="false"/>
                <w:iCs w:val="false"/>
                <w:color w:val="1A2535"/>
                <w:sz w:val="20"/>
                <w:szCs w:val="20"/>
              </w:rPr>
              <w:t xml:space="preserve">HIGH
Evaluates the portfolio artefact. Determines hiring outcome.</w:t>
            </w:r>
          </w:p>
        </w:tc>
        <w:tc>
          <w:tcPr>
            <w:tcW w:type="dxa" w:w="34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Reviews all portfolio artefacts — FRD, Use Case Diagram, Data Flow Diagram. Evaluates traceability from objectives through requirements to data model. May request a live demo in any of the three domain framings (CX, HR, Ops).</w:t>
            </w:r>
          </w:p>
        </w:tc>
      </w:tr>
    </w:tbl>
    <w:p>
      <w:pPr>
        <w:spacing w:before="60" w:after="40"/>
      </w:pPr>
    </w:p>
    <w:p>
      <w:pPr>
        <w:spacing w:before="60" w:after="80"/>
        <w:jc w:val="left"/>
      </w:pPr>
      <w:r>
        <w:rPr>
          <w:rFonts w:ascii="Arial" w:cs="Arial" w:eastAsia="Arial" w:hAnsi="Arial"/>
          <w:b w:val="false"/>
          <w:bCs w:val="false"/>
          <w:i/>
          <w:iCs/>
          <w:color w:val="4A6278"/>
          <w:sz w:val="20"/>
          <w:szCs w:val="20"/>
        </w:rPr>
        <w:t xml:space="preserve">Influence level reflects each stakeholder's ability to affect output quality and system configuration, not seniority. The Analyst carries the highest functional influence because data quality, context profile completeness, and series naming discipline directly determine the quality of NLP output. A poorly labelled batch with no context profile produces generically useful output. A well-labelled batch with a complete context profile assigned to a series with prior history produces analytically specific, longitudinally intelligent output.</w:t>
      </w:r>
    </w:p>
    <w:p>
      <w:r>
        <w:br w:type="page"/>
      </w:r>
    </w:p>
    <w:p>
      <w:pPr>
        <w:pStyle w:val="Heading1"/>
        <w:spacing w:before="320" w:after="120"/>
      </w:pPr>
      <w:r>
        <w:rPr>
          <w:rFonts w:ascii="Arial" w:cs="Arial" w:eastAsia="Arial" w:hAnsi="Arial"/>
          <w:b/>
          <w:bCs/>
          <w:color w:val="0D3D36"/>
          <w:sz w:val="32"/>
          <w:szCs w:val="32"/>
        </w:rPr>
        <w:t xml:space="preserve">4. Scope</w:t>
      </w:r>
    </w:p>
    <w:p>
      <w:pPr>
        <w:pBdr>
          <w:bottom w:val="single" w:color="006B5F" w:sz="4" w:space="1"/>
        </w:pBdr>
        <w:spacing w:before="120" w:after="120"/>
      </w:pPr>
    </w:p>
    <w:p>
      <w:pPr>
        <w:pStyle w:val="Heading2"/>
        <w:spacing w:before="240" w:after="80"/>
      </w:pPr>
      <w:r>
        <w:rPr>
          <w:rFonts w:ascii="Arial" w:cs="Arial" w:eastAsia="Arial" w:hAnsi="Arial"/>
          <w:b/>
          <w:bCs/>
          <w:color w:val="00897B"/>
          <w:sz w:val="26"/>
          <w:szCs w:val="26"/>
        </w:rPr>
        <w:t xml:space="preserve">4.1 In Scope</w:t>
      </w:r>
    </w:p>
    <w:p>
      <w:pPr>
        <w:spacing w:before="60" w:after="80"/>
        <w:jc w:val="left"/>
      </w:pPr>
      <w:r>
        <w:rPr>
          <w:rFonts w:ascii="Arial" w:cs="Arial" w:eastAsia="Arial" w:hAnsi="Arial"/>
          <w:b w:val="false"/>
          <w:bCs w:val="false"/>
          <w:i w:val="false"/>
          <w:iCs w:val="false"/>
          <w:color w:val="1A2535"/>
          <w:sz w:val="22"/>
          <w:szCs w:val="22"/>
        </w:rPr>
        <w:t xml:space="preserve">Lens v1 encompasses four capability groups and the infrastructure required to connect them as a cohesive analysis platform. The nine in-scope capabilities are: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Capability</w:t>
            </w:r>
          </w:p>
        </w:tc>
        <w:tc>
          <w:tcPr>
            <w:tcW w:type="dxa" w:w="716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Scope Summary</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20"/>
                <w:szCs w:val="20"/>
              </w:rPr>
              <w:t xml:space="preserve">Batch Text Ingestion</w:t>
            </w:r>
          </w:p>
        </w:tc>
        <w:tc>
          <w:tcPr>
            <w:tcW w:type="dxa" w:w="7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CSV upload or text paste. Supports up to 10,000 records per batch. UTF-8 encoding. Required column: text body. Optional column: timestamp (enables time-series panel). Schema validation, malformed row flagging, 5-row preview, and analyst confirmation gate before pipeline trigger.</w:t>
            </w:r>
          </w:p>
        </w:tc>
      </w:tr>
      <w:tr>
        <w:tc>
          <w:tcPr>
            <w:tcW w:type="dxa" w:w="22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20"/>
                <w:szCs w:val="20"/>
              </w:rPr>
              <w:t xml:space="preserve">Context Profile Entry</w:t>
            </w:r>
          </w:p>
        </w:tc>
        <w:tc>
          <w:tcPr>
            <w:tcW w:type="dxa" w:w="71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Per-run structured input: organisation name, industry, department/team, reporting period, situational notes (free text, max 500 characters). Optional but prompted. Stored with each analysis record. Injected into OpenAI system prompt to contextualise all NLP output.</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20"/>
                <w:szCs w:val="20"/>
              </w:rPr>
              <w:t xml:space="preserve">Named Analysis Series</w:t>
            </w:r>
          </w:p>
        </w:tc>
        <w:tc>
          <w:tcPr>
            <w:tcW w:type="dxa" w:w="7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Analyst-assigned series name at batch label step. Autocomplete from existing series names stored in database. Each run assigned a sequence number within its series. Prior run summary automatically retrieved and injected into NLP prompt when series history exists.</w:t>
            </w:r>
          </w:p>
        </w:tc>
      </w:tr>
      <w:tr>
        <w:tc>
          <w:tcPr>
            <w:tcW w:type="dxa" w:w="22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20"/>
                <w:szCs w:val="20"/>
              </w:rPr>
              <w:t xml:space="preserve">NLP Pipeline</w:t>
            </w:r>
          </w:p>
        </w:tc>
        <w:tc>
          <w:tcPr>
            <w:tcW w:type="dxa" w:w="71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Per-record: sentiment label (positive / neutral / negative) + confidence score (0–1) via OpenAI API. Batch-level: top 5–8 recurring themes with frequency, dominant sentiment, and representative quotes. Executive summary: 2–3 sentence plain-language narrative. Anomaly detection: records ±2σ from batch mean flagged; time-series spikes flagged if timestamps present.</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20"/>
                <w:szCs w:val="20"/>
              </w:rPr>
              <w:t xml:space="preserve">Longitudinal Summary Injection</w:t>
            </w:r>
          </w:p>
        </w:tc>
        <w:tc>
          <w:tcPr>
            <w:tcW w:type="dxa" w:w="7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When a run belongs to a series with prior history, the most recent prior run's executive summary, sentiment split, and top themes are retrieved from PostgreSQL and injected into the OpenAI system prompt. The model produces comparative output referencing directional change, emerging themes, and resolved issues.</w:t>
            </w:r>
          </w:p>
        </w:tc>
      </w:tr>
      <w:tr>
        <w:tc>
          <w:tcPr>
            <w:tcW w:type="dxa" w:w="22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20"/>
                <w:szCs w:val="20"/>
              </w:rPr>
              <w:t xml:space="preserve">Results Dashboard</w:t>
            </w:r>
          </w:p>
        </w:tc>
        <w:tc>
          <w:tcPr>
            <w:tcW w:type="dxa" w:w="71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Four panels: (1) Sentiment breakdown — donut chart + per-record histogram. (2) Theme heatmap — theme × sentiment grid with hover quotes. (3) Sentiment over time — line chart, rendered only when timestamp column present, anomaly flags as highlighted points. (4) Anomaly flags — filtered record list sortable by severity.</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20"/>
                <w:szCs w:val="20"/>
              </w:rPr>
              <w:t xml:space="preserve">Persistent Storage &amp; History</w:t>
            </w:r>
          </w:p>
        </w:tc>
        <w:tc>
          <w:tcPr>
            <w:tcW w:type="dxa" w:w="7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All completed analysis results stored in PostgreSQL with structured fields: analysis_id, series_name, run_sequence, sentiment_split, top_themes (JSON), executive_summary, anomaly_count, context_profile (JSON), batch_metadata. History browser with filter by series, date range, and domain tag. Results retrievable without re-running pipeline.</w:t>
            </w:r>
          </w:p>
        </w:tc>
      </w:tr>
      <w:tr>
        <w:tc>
          <w:tcPr>
            <w:tcW w:type="dxa" w:w="22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20"/>
                <w:szCs w:val="20"/>
              </w:rPr>
              <w:t xml:space="preserve">CSV Export</w:t>
            </w:r>
          </w:p>
        </w:tc>
        <w:tc>
          <w:tcPr>
            <w:tcW w:type="dxa" w:w="71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Per-record export: record_id, text body, sentiment_label, confidence_score, theme_assignments. Downloadable as CSV. No external system — file download only.</w:t>
            </w:r>
          </w:p>
        </w:tc>
      </w:tr>
      <w:tr>
        <w:tc>
          <w:tcPr>
            <w:tcW w:type="dxa" w:w="2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20"/>
                <w:szCs w:val="20"/>
              </w:rPr>
              <w:t xml:space="preserve">Demo Dataset</w:t>
            </w:r>
          </w:p>
        </w:tc>
        <w:tc>
          <w:tcPr>
            <w:tcW w:type="dxa" w:w="71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Three pre-loaded synthetic batches representing CX (NPS comments), HR (employee survey responses), and Ops (support ticket notes) framings. Each assigned to a named series with 2–3 prior runs to demonstrate longitudinal output. Functional on Streamlit Cloud deployment without live data upload.</w:t>
            </w:r>
          </w:p>
        </w:tc>
      </w:tr>
    </w:tbl>
    <w:p>
      <w:pPr>
        <w:spacing w:before="80" w:after="40"/>
      </w:pPr>
    </w:p>
    <w:p>
      <w:pPr>
        <w:pStyle w:val="Heading2"/>
        <w:spacing w:before="240" w:after="80"/>
      </w:pPr>
      <w:r>
        <w:rPr>
          <w:rFonts w:ascii="Arial" w:cs="Arial" w:eastAsia="Arial" w:hAnsi="Arial"/>
          <w:b/>
          <w:bCs/>
          <w:color w:val="00897B"/>
          <w:sz w:val="26"/>
          <w:szCs w:val="26"/>
        </w:rPr>
        <w:t xml:space="preserve">4.2 Out of Scope</w:t>
      </w:r>
    </w:p>
    <w:p>
      <w:pPr>
        <w:spacing w:before="60" w:after="80"/>
        <w:jc w:val="left"/>
      </w:pPr>
      <w:r>
        <w:rPr>
          <w:rFonts w:ascii="Arial" w:cs="Arial" w:eastAsia="Arial" w:hAnsi="Arial"/>
          <w:b w:val="false"/>
          <w:bCs w:val="false"/>
          <w:i w:val="false"/>
          <w:iCs w:val="false"/>
          <w:color w:val="1A2535"/>
          <w:sz w:val="22"/>
          <w:szCs w:val="22"/>
        </w:rPr>
        <w:t xml:space="preserve">The following items are explicitly excluded from Lens v1. Exclusions are deliberate scope decisions that protect build quality and maintain a demonstrable, deployable product within the portfolio timeline.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Exclusion</w:t>
            </w:r>
          </w:p>
        </w:tc>
        <w:tc>
          <w:tcPr>
            <w:tcW w:type="dxa" w:w="456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Rationale</w:t>
            </w:r>
          </w:p>
        </w:tc>
        <w:tc>
          <w:tcPr>
            <w:tcW w:type="dxa" w:w="24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Future Phase</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8B2020"/>
                <w:sz w:val="20"/>
                <w:szCs w:val="20"/>
              </w:rPr>
              <w:t xml:space="preserve">User authentication and role-based access control</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No multi-user auth in v1. Single-session Streamlit deployment is sufficient for portfolio demonstration. Adding auth introduces Supabase or similar dependency that extends build timeline without adding analytical showcase value.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4A6278"/>
                <w:sz w:val="20"/>
                <w:szCs w:val="20"/>
              </w:rPr>
              <w:t xml:space="preserve">Phase 2 — if deployed for real-world use with multiple analysts and admins.</w:t>
            </w:r>
          </w:p>
        </w:tc>
      </w:tr>
      <w:tr>
        <w:tc>
          <w:tcPr>
            <w:tcW w:type="dxa" w:w="24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8B2020"/>
                <w:sz w:val="20"/>
                <w:szCs w:val="20"/>
              </w:rPr>
              <w:t xml:space="preserve">Real-time or streaming text input</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Lens is a batch analysis tool by design. Real-time streaming requires a fundamentally different pipeline architecture (event queue, incremental NLP calls). Out of scope and out of framing for this project.</w:t>
            </w:r>
          </w:p>
        </w:tc>
        <w:tc>
          <w:tcPr>
            <w:tcW w:type="dxa" w:w="24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4A6278"/>
                <w:sz w:val="20"/>
                <w:szCs w:val="20"/>
              </w:rPr>
              <w:t xml:space="preserve">Not planned. Separate product concept.</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8B2020"/>
                <w:sz w:val="20"/>
                <w:szCs w:val="20"/>
              </w:rPr>
              <w:t xml:space="preserve">Direct API integrations (Salesforce, Zendesk, HRIS, etc.)</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Live API ingestion requires credentials, data processing agreements, and vendor-specific schema mapping — none available in a portfolio deployment context. CSV upload achieves the same analytical demonstration without these dependencies.</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4A6278"/>
                <w:sz w:val="20"/>
                <w:szCs w:val="20"/>
              </w:rPr>
              <w:t xml:space="preserve">Phase 2 — when a target production environment is defined.</w:t>
            </w:r>
          </w:p>
        </w:tc>
      </w:tr>
      <w:tr>
        <w:tc>
          <w:tcPr>
            <w:tcW w:type="dxa" w:w="24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8B2020"/>
                <w:sz w:val="20"/>
                <w:szCs w:val="20"/>
              </w:rPr>
              <w:t xml:space="preserve">Multi-user collaboration and shared workspaces</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Lens v1 is a single-analyst tool. Concurrent editing, comment threads, and shared analysis views are out of scope. History browser provides sufficient read access for Admin review.</w:t>
            </w:r>
          </w:p>
        </w:tc>
        <w:tc>
          <w:tcPr>
            <w:tcW w:type="dxa" w:w="24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4A6278"/>
                <w:sz w:val="20"/>
                <w:szCs w:val="20"/>
              </w:rPr>
              <w:t xml:space="preserve">Phase 2.</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8B2020"/>
                <w:sz w:val="20"/>
                <w:szCs w:val="20"/>
              </w:rPr>
              <w:t xml:space="preserve">Custom NLP model fine-tuning</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Lens uses OpenAI API with structured prompting. Fine-tuned models require training data, compute budget, and model management infrastructure unavailable in a portfolio context. Prompt engineering is the appropriate technique at this scope level.</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4A6278"/>
                <w:sz w:val="20"/>
                <w:szCs w:val="20"/>
              </w:rPr>
              <w:t xml:space="preserve">Not planned for portfolio. Possible in production deployment.</w:t>
            </w:r>
          </w:p>
        </w:tc>
      </w:tr>
      <w:tr>
        <w:tc>
          <w:tcPr>
            <w:tcW w:type="dxa" w:w="24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8B2020"/>
                <w:sz w:val="20"/>
                <w:szCs w:val="20"/>
              </w:rPr>
              <w:t xml:space="preserve">Automated scheduled runs</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Pipeline is manually triggered per run. Scheduled or automated batch processing requires a job scheduler, background worker, and monitoring infrastructure that exceeds v1 scope.</w:t>
            </w:r>
          </w:p>
        </w:tc>
        <w:tc>
          <w:tcPr>
            <w:tcW w:type="dxa" w:w="24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4A6278"/>
                <w:sz w:val="20"/>
                <w:szCs w:val="20"/>
              </w:rPr>
              <w:t xml:space="preserve">Phase 2.</w:t>
            </w:r>
          </w:p>
        </w:tc>
      </w:tr>
      <w:tr>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8B2020"/>
                <w:sz w:val="20"/>
                <w:szCs w:val="20"/>
              </w:rPr>
              <w:t xml:space="preserve">Email or push notifications</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20"/>
                <w:szCs w:val="20"/>
              </w:rPr>
              <w:t xml:space="preserve">No notification system in v1. Results are viewed in-app. Notifications require an email service integration that extends scope without portfolio demonstration value.</w:t>
            </w:r>
          </w:p>
        </w:tc>
        <w:tc>
          <w:tcPr>
            <w:tcW w:type="dxa" w:w="24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4A6278"/>
                <w:sz w:val="20"/>
                <w:szCs w:val="20"/>
              </w:rPr>
              <w:t xml:space="preserve">Phase 2.</w:t>
            </w:r>
          </w:p>
        </w:tc>
      </w:tr>
    </w:tbl>
    <w:p>
      <w:r>
        <w:br w:type="page"/>
      </w:r>
    </w:p>
    <w:p>
      <w:pPr>
        <w:pStyle w:val="Heading1"/>
        <w:spacing w:before="320" w:after="120"/>
      </w:pPr>
      <w:r>
        <w:rPr>
          <w:rFonts w:ascii="Arial" w:cs="Arial" w:eastAsia="Arial" w:hAnsi="Arial"/>
          <w:b/>
          <w:bCs/>
          <w:color w:val="0D3D36"/>
          <w:sz w:val="32"/>
          <w:szCs w:val="32"/>
        </w:rPr>
        <w:t xml:space="preserve">5. Functional Requirements</w:t>
      </w:r>
    </w:p>
    <w:p>
      <w:pPr>
        <w:pBdr>
          <w:bottom w:val="single" w:color="006B5F" w:sz="4" w:space="1"/>
        </w:pBdr>
        <w:spacing w:before="120" w:after="120"/>
      </w:pPr>
    </w:p>
    <w:p>
      <w:pPr>
        <w:spacing w:before="60" w:after="80"/>
        <w:jc w:val="left"/>
      </w:pPr>
      <w:r>
        <w:rPr>
          <w:rFonts w:ascii="Arial" w:cs="Arial" w:eastAsia="Arial" w:hAnsi="Arial"/>
          <w:b w:val="false"/>
          <w:bCs w:val="false"/>
          <w:i w:val="false"/>
          <w:iCs w:val="false"/>
          <w:color w:val="1A2535"/>
          <w:sz w:val="22"/>
          <w:szCs w:val="22"/>
        </w:rPr>
        <w:t xml:space="preserve">Requirements are organised by capability group, tracing directly to the objectives defined in Section 2. Priority levels follow MoSCoW notation: MUST (non-negotiable for v1), SHOULD (high value, included if timeline allows), COULD (future consideration). All MUST requirements are in scope for v1 build.</w:t>
      </w:r>
    </w:p>
    <w:p>
      <w:pPr>
        <w:spacing w:before="60" w:after="20"/>
      </w:pPr>
    </w:p>
    <w:p>
      <w:pPr>
        <w:pStyle w:val="Heading2"/>
        <w:spacing w:before="240" w:after="80"/>
      </w:pPr>
      <w:r>
        <w:rPr>
          <w:rFonts w:ascii="Arial" w:cs="Arial" w:eastAsia="Arial" w:hAnsi="Arial"/>
          <w:b/>
          <w:bCs/>
          <w:color w:val="00897B"/>
          <w:sz w:val="26"/>
          <w:szCs w:val="26"/>
        </w:rPr>
        <w:t xml:space="preserve">5.1  Batch Ingestion &amp; Validated Pipeline Execution  —  OBJ-01</w:t>
      </w:r>
    </w:p>
    <w:p>
      <w:pPr>
        <w:spacing w:before="2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900"/>
        <w:gridCol w:w="1000"/>
        <w:gridCol w:w="2000"/>
      </w:tblGrid>
      <w:tr>
        <w:trPr>
          <w:tblHeader/>
        </w:trPr>
        <w:tc>
          <w:tcPr>
            <w:tcW w:type="dxa" w:w="9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ID</w:t>
            </w:r>
          </w:p>
        </w:tc>
        <w:tc>
          <w:tcPr>
            <w:tcW w:type="dxa" w:w="456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Requirement Statement</w:t>
            </w:r>
          </w:p>
        </w:tc>
        <w:tc>
          <w:tcPr>
            <w:tcW w:type="dxa" w:w="9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Priority</w:t>
            </w:r>
          </w:p>
        </w:tc>
        <w:tc>
          <w:tcPr>
            <w:tcW w:type="dxa" w:w="10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Obj. Trace</w:t>
            </w:r>
          </w:p>
        </w:tc>
        <w:tc>
          <w:tcPr>
            <w:tcW w:type="dxa" w:w="20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Notes / Constraints</w:t>
            </w:r>
          </w:p>
        </w:tc>
      </w:tr>
      <w:tr>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FR-01.01</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accept a CSV file upload or direct text paste as the batch input method. CSV files must be UTF-8 encoded. Maximum batch size is 10,000 records.</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OBJ-01</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File size limit: 10MB. Encoding errors surface at upload, not at pipeline trigger.</w:t>
            </w:r>
          </w:p>
        </w:tc>
      </w:tr>
      <w:tr>
        <w:tc>
          <w:tcPr>
            <w:tcW w:type="dxa" w:w="9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FR-01.02</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validate the uploaded batch for: (a) presence of a required text column, (b) UTF-8 encoding compliance, (c) record count within the 10,000 row limit, (d) absence of fully empty rows in the text column.</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OBJ-01</w:t>
            </w:r>
          </w:p>
        </w:tc>
        <w:tc>
          <w:tcPr>
            <w:tcW w:type="dxa" w:w="2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Validation runs before preview is shown. Partial batches (some empty rows) are flagged but not blocked.</w:t>
            </w:r>
          </w:p>
        </w:tc>
      </w:tr>
      <w:tr>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FR-01.03</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display a preview panel showing: (a) the first 5 records from the batch, (b) total valid record count, (c) count of flagged/rejected rows, and (d) detected column names. The analyst must confirm before pipeline trigger.</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OBJ-01</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Confirmation is a required UI gate. Pipeline cannot be triggered without analyst confirmation.</w:t>
            </w:r>
          </w:p>
        </w:tc>
      </w:tr>
      <w:tr>
        <w:tc>
          <w:tcPr>
            <w:tcW w:type="dxa" w:w="9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FR-01.04</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accept an optional timestamp column in the uploaded CSV. If detected, the system shall enable the Sentiment Over Time panel in the results dashboard. If absent, the panel is hidden and no error is raised.</w:t>
            </w:r>
          </w:p>
        </w:tc>
        <w:tc>
          <w:tcPr>
            <w:tcW w:type="dxa" w:w="900"/>
            <w:tcBorders>
              <w:top w:val="single" w:color="D0DDE8" w:sz="1"/>
              <w:left w:val="single" w:color="D0DDE8" w:sz="1"/>
              <w:bottom w:val="single" w:color="D0DDE8" w:sz="1"/>
              <w:right w:val="single" w:color="D0DDE8" w:sz="1"/>
            </w:tcBorders>
            <w:shd w:fill="EAF4EA" w:val="clear"/>
            <w:tcMar>
              <w:top w:type="dxa" w:w="80"/>
              <w:left w:type="dxa" w:w="120"/>
              <w:bottom w:type="dxa" w:w="80"/>
              <w:right w:type="dxa" w:w="120"/>
            </w:tcMar>
            <w:vAlign w:val="center"/>
          </w:tcPr>
          <w:p>
            <w:pPr>
              <w:spacing w:before="40" w:after="40"/>
              <w:jc w:val="center"/>
            </w:pPr>
            <w:r>
              <w:rPr>
                <w:rFonts w:ascii="Arial" w:cs="Arial" w:eastAsia="Arial" w:hAnsi="Arial"/>
                <w:b/>
                <w:bCs/>
                <w:color w:val="1B5E20"/>
                <w:sz w:val="18"/>
                <w:szCs w:val="18"/>
              </w:rPr>
              <w:t xml:space="preserve">SHOULD</w:t>
            </w:r>
          </w:p>
        </w:tc>
        <w:tc>
          <w:tcPr>
            <w:tcW w:type="dxa" w:w="1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OBJ-01</w:t>
            </w:r>
          </w:p>
        </w:tc>
        <w:tc>
          <w:tcPr>
            <w:tcW w:type="dxa" w:w="2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Timestamp format: ISO 8601 or YYYY-MM-DD. Auto-detected by column name hint ("date", "timestamp", "created_at").</w:t>
            </w:r>
          </w:p>
        </w:tc>
      </w:tr>
      <w:tr>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FR-01.05</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require the analyst to assign a human-readable source label to each batch before pipeline trigger (e.g. "NPS Q1 2026", "Exit Survey March"). The label is stored with the analysis result and displayed on all dashboard panels and history entries.</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OBJ-01</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Free text, max 80 characters. Cannot be empty.</w:t>
            </w:r>
          </w:p>
        </w:tc>
      </w:tr>
      <w:tr>
        <w:tc>
          <w:tcPr>
            <w:tcW w:type="dxa" w:w="9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FR-01.06</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display a pipeline progress indicator during NLP execution, showing at minimum: (a) records processed vs total, and (b) current pipeline stage (e.g. "Running sentiment analysis… 240/500 records").</w:t>
            </w:r>
          </w:p>
        </w:tc>
        <w:tc>
          <w:tcPr>
            <w:tcW w:type="dxa" w:w="900"/>
            <w:tcBorders>
              <w:top w:val="single" w:color="D0DDE8" w:sz="1"/>
              <w:left w:val="single" w:color="D0DDE8" w:sz="1"/>
              <w:bottom w:val="single" w:color="D0DDE8" w:sz="1"/>
              <w:right w:val="single" w:color="D0DDE8" w:sz="1"/>
            </w:tcBorders>
            <w:shd w:fill="EAF4EA" w:val="clear"/>
            <w:tcMar>
              <w:top w:type="dxa" w:w="80"/>
              <w:left w:type="dxa" w:w="120"/>
              <w:bottom w:type="dxa" w:w="80"/>
              <w:right w:type="dxa" w:w="120"/>
            </w:tcMar>
            <w:vAlign w:val="center"/>
          </w:tcPr>
          <w:p>
            <w:pPr>
              <w:spacing w:before="40" w:after="40"/>
              <w:jc w:val="center"/>
            </w:pPr>
            <w:r>
              <w:rPr>
                <w:rFonts w:ascii="Arial" w:cs="Arial" w:eastAsia="Arial" w:hAnsi="Arial"/>
                <w:b/>
                <w:bCs/>
                <w:color w:val="1B5E20"/>
                <w:sz w:val="18"/>
                <w:szCs w:val="18"/>
              </w:rPr>
              <w:t xml:space="preserve">SHOULD</w:t>
            </w:r>
          </w:p>
        </w:tc>
        <w:tc>
          <w:tcPr>
            <w:tcW w:type="dxa" w:w="1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OBJ-01</w:t>
            </w:r>
          </w:p>
        </w:tc>
        <w:tc>
          <w:tcPr>
            <w:tcW w:type="dxa" w:w="2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Streamlit progress bar component. Updates per API call batch.</w:t>
            </w:r>
          </w:p>
        </w:tc>
      </w:tr>
    </w:tbl>
    <w:p>
      <w:pPr>
        <w:spacing w:before="80" w:after="20"/>
      </w:pPr>
    </w:p>
    <w:p>
      <w:pPr>
        <w:pStyle w:val="Heading2"/>
        <w:spacing w:before="240" w:after="80"/>
      </w:pPr>
      <w:r>
        <w:rPr>
          <w:rFonts w:ascii="Arial" w:cs="Arial" w:eastAsia="Arial" w:hAnsi="Arial"/>
          <w:b/>
          <w:bCs/>
          <w:color w:val="00897B"/>
          <w:sz w:val="26"/>
          <w:szCs w:val="26"/>
        </w:rPr>
        <w:t xml:space="preserve">5.2  Structured NLP Output with Domain Context Enrichment  —  OBJ-02</w:t>
      </w:r>
    </w:p>
    <w:p>
      <w:pPr>
        <w:spacing w:before="2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900"/>
        <w:gridCol w:w="1000"/>
        <w:gridCol w:w="2000"/>
      </w:tblGrid>
      <w:tr>
        <w:trPr>
          <w:tblHeader/>
        </w:trPr>
        <w:tc>
          <w:tcPr>
            <w:tcW w:type="dxa" w:w="9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ID</w:t>
            </w:r>
          </w:p>
        </w:tc>
        <w:tc>
          <w:tcPr>
            <w:tcW w:type="dxa" w:w="456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Requirement Statement</w:t>
            </w:r>
          </w:p>
        </w:tc>
        <w:tc>
          <w:tcPr>
            <w:tcW w:type="dxa" w:w="9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Priority</w:t>
            </w:r>
          </w:p>
        </w:tc>
        <w:tc>
          <w:tcPr>
            <w:tcW w:type="dxa" w:w="10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Obj. Trace</w:t>
            </w:r>
          </w:p>
        </w:tc>
        <w:tc>
          <w:tcPr>
            <w:tcW w:type="dxa" w:w="20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Notes / Constraints</w:t>
            </w:r>
          </w:p>
        </w:tc>
      </w:tr>
      <w:tr>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FR-02.01</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provide a Context Profile form with the following fields: (a) Organisation name (text, max 100 chars), (b) Industry (text, max 80 chars), (c) Department or team name (text, max 100 chars), (d) Reporting period (text, max 60 chars), (e) Situational notes (free text, max 500 chars). All fields optional.</w:t>
            </w:r>
          </w:p>
        </w:tc>
        <w:tc>
          <w:tcPr>
            <w:tcW w:type="dxa" w:w="900"/>
            <w:tcBorders>
              <w:top w:val="single" w:color="D0DDE8" w:sz="1"/>
              <w:left w:val="single" w:color="D0DDE8" w:sz="1"/>
              <w:bottom w:val="single" w:color="D0DDE8" w:sz="1"/>
              <w:right w:val="single" w:color="D0DDE8" w:sz="1"/>
            </w:tcBorders>
            <w:shd w:fill="EAF4EA" w:val="clear"/>
            <w:tcMar>
              <w:top w:type="dxa" w:w="80"/>
              <w:left w:type="dxa" w:w="120"/>
              <w:bottom w:type="dxa" w:w="80"/>
              <w:right w:type="dxa" w:w="120"/>
            </w:tcMar>
            <w:vAlign w:val="center"/>
          </w:tcPr>
          <w:p>
            <w:pPr>
              <w:spacing w:before="40" w:after="40"/>
              <w:jc w:val="center"/>
            </w:pPr>
            <w:r>
              <w:rPr>
                <w:rFonts w:ascii="Arial" w:cs="Arial" w:eastAsia="Arial" w:hAnsi="Arial"/>
                <w:b/>
                <w:bCs/>
                <w:color w:val="1B5E20"/>
                <w:sz w:val="18"/>
                <w:szCs w:val="18"/>
              </w:rPr>
              <w:t xml:space="preserve">SHOULD</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OBJ-02</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Form displayed between batch label step and pipeline trigger. Skippable. Prompted but not mandatory.</w:t>
            </w:r>
          </w:p>
        </w:tc>
      </w:tr>
      <w:tr>
        <w:tc>
          <w:tcPr>
            <w:tcW w:type="dxa" w:w="9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FR-02.02</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inject the populated context profile as a structured block in the OpenAI system prompt, preceding all record-level and batch-level NLP calls. If no context profile is supplied, the system prompt shall use a domain-agnostic default framing.</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OBJ-02</w:t>
            </w:r>
          </w:p>
        </w:tc>
        <w:tc>
          <w:tcPr>
            <w:tcW w:type="dxa" w:w="2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Prompt engineering responsibility. Context block format: "Organisation: [X]. Industry: [Y]. Department: [Z]. Period: [W]. Context: [notes]."</w:t>
            </w:r>
          </w:p>
        </w:tc>
      </w:tr>
      <w:tr>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FR-02.03</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send each text record to the OpenAI API with a structured prompt requesting: (a) a sentiment label — positive, neutral, or negative, (b) a confidence score between 0.0 and 1.0, (c) a one-sentence reasoning note. The response must be parsed as structured JSON.</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OBJ-02</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Malformed API responses trigger a retry (max 2 retries). Records that fail after retries are flagged as unscored in the result.</w:t>
            </w:r>
          </w:p>
        </w:tc>
      </w:tr>
      <w:tr>
        <w:tc>
          <w:tcPr>
            <w:tcW w:type="dxa" w:w="9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FR-02.04</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send a batch-level prompt to the OpenAI API requesting identification of the top 5–8 recurring themes across all records. Each theme must include: (a) theme label, (b) estimated frequency (number of records), (c) dominant sentiment polarity, (d) 1–2 representative example quotes drawn directly from batch records.</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OBJ-02</w:t>
            </w:r>
          </w:p>
        </w:tc>
        <w:tc>
          <w:tcPr>
            <w:tcW w:type="dxa" w:w="2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Theme extraction is a single API call after all per-record sentiment calls complete.</w:t>
            </w:r>
          </w:p>
        </w:tc>
      </w:tr>
      <w:tr>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FR-02.05</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request a 2–3 sentence executive summary from the OpenAI API after sentiment and theme results are assembled. The summary prompt shall include: (a) the context profile block, (b) the sentiment split percentages, (c) the top 3 themes. The summary shall be stored and displayed as the dashboard header.</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OBJ-02</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If context profile is empty, the summary prompt uses batch label and domain tag as minimal context.</w:t>
            </w:r>
          </w:p>
        </w:tc>
      </w:tr>
      <w:tr>
        <w:tc>
          <w:tcPr>
            <w:tcW w:type="dxa" w:w="9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FR-02.06</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flag records as sentiment anomalies when their confidence-weighted sentiment score deviates by more than 2 standard deviations from the batch mean. Flagged records must be stored with their deviation value and surfaced in the Anomaly Flags dashboard panel.</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OBJ-02</w:t>
            </w:r>
          </w:p>
        </w:tc>
        <w:tc>
          <w:tcPr>
            <w:tcW w:type="dxa" w:w="2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Anomaly detection runs as a post-processing step after all per-record scores are returned.</w:t>
            </w:r>
          </w:p>
        </w:tc>
      </w:tr>
      <w:tr>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FR-02.07</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When a timestamp column is present, the system shall detect sentiment spikes — defined as a change in the 7-day rolling average sentiment score of more than 15 percentage points in a single period — and flag these as time-series anomalies in the Anomaly Flags panel.</w:t>
            </w:r>
          </w:p>
        </w:tc>
        <w:tc>
          <w:tcPr>
            <w:tcW w:type="dxa" w:w="900"/>
            <w:tcBorders>
              <w:top w:val="single" w:color="D0DDE8" w:sz="1"/>
              <w:left w:val="single" w:color="D0DDE8" w:sz="1"/>
              <w:bottom w:val="single" w:color="D0DDE8" w:sz="1"/>
              <w:right w:val="single" w:color="D0DDE8" w:sz="1"/>
            </w:tcBorders>
            <w:shd w:fill="EAF4EA" w:val="clear"/>
            <w:tcMar>
              <w:top w:type="dxa" w:w="80"/>
              <w:left w:type="dxa" w:w="120"/>
              <w:bottom w:type="dxa" w:w="80"/>
              <w:right w:type="dxa" w:w="120"/>
            </w:tcMar>
            <w:vAlign w:val="center"/>
          </w:tcPr>
          <w:p>
            <w:pPr>
              <w:spacing w:before="40" w:after="40"/>
              <w:jc w:val="center"/>
            </w:pPr>
            <w:r>
              <w:rPr>
                <w:rFonts w:ascii="Arial" w:cs="Arial" w:eastAsia="Arial" w:hAnsi="Arial"/>
                <w:b/>
                <w:bCs/>
                <w:color w:val="1B5E20"/>
                <w:sz w:val="18"/>
                <w:szCs w:val="18"/>
              </w:rPr>
              <w:t xml:space="preserve">SHOULD</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OBJ-02</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Spike detection only when timestamp column is present and batch contains ≥14 records across ≥2 time periods.</w:t>
            </w:r>
          </w:p>
        </w:tc>
      </w:tr>
    </w:tbl>
    <w:p>
      <w:pPr>
        <w:spacing w:before="80" w:after="20"/>
      </w:pPr>
    </w:p>
    <w:p>
      <w:pPr>
        <w:pStyle w:val="Heading2"/>
        <w:spacing w:before="240" w:after="80"/>
      </w:pPr>
      <w:r>
        <w:rPr>
          <w:rFonts w:ascii="Arial" w:cs="Arial" w:eastAsia="Arial" w:hAnsi="Arial"/>
          <w:b/>
          <w:bCs/>
          <w:color w:val="00897B"/>
          <w:sz w:val="26"/>
          <w:szCs w:val="26"/>
        </w:rPr>
        <w:t xml:space="preserve">5.3  Longitudinal Intelligence via Named Analysis Series  —  OBJ-03</w:t>
      </w:r>
    </w:p>
    <w:p>
      <w:pPr>
        <w:spacing w:before="2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900"/>
        <w:gridCol w:w="1000"/>
        <w:gridCol w:w="2000"/>
      </w:tblGrid>
      <w:tr>
        <w:trPr>
          <w:tblHeader/>
        </w:trPr>
        <w:tc>
          <w:tcPr>
            <w:tcW w:type="dxa" w:w="9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ID</w:t>
            </w:r>
          </w:p>
        </w:tc>
        <w:tc>
          <w:tcPr>
            <w:tcW w:type="dxa" w:w="456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Requirement Statement</w:t>
            </w:r>
          </w:p>
        </w:tc>
        <w:tc>
          <w:tcPr>
            <w:tcW w:type="dxa" w:w="9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Priority</w:t>
            </w:r>
          </w:p>
        </w:tc>
        <w:tc>
          <w:tcPr>
            <w:tcW w:type="dxa" w:w="10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Obj. Trace</w:t>
            </w:r>
          </w:p>
        </w:tc>
        <w:tc>
          <w:tcPr>
            <w:tcW w:type="dxa" w:w="20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Notes / Constraints</w:t>
            </w:r>
          </w:p>
        </w:tc>
      </w:tr>
      <w:tr>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FR-03.01</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provide a Series Name field at the batch label step, with autocomplete suggestions drawn from existing series names stored in the database. The field is optional but prompted. If populated, the run is assigned to the named series and given a sequence number (run 1, run 2, etc.).</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OBJ-03</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Autocomplete from series_name values in the analysis_results table. New series names are accepted as free text (max 100 chars).</w:t>
            </w:r>
          </w:p>
        </w:tc>
      </w:tr>
      <w:tr>
        <w:tc>
          <w:tcPr>
            <w:tcW w:type="dxa" w:w="9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FR-03.02</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Before triggering the NLP pipeline, the system shall query the database for the most recently completed run in the same series. If a prior run exists, the system shall retrieve: (a) the prior run's executive summary, (b) the prior run's sentiment split (positive %, neutral %, negative %), (c) the prior run's top 5 themes.</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OBJ-03</w:t>
            </w:r>
          </w:p>
        </w:tc>
        <w:tc>
          <w:tcPr>
            <w:tcW w:type="dxa" w:w="2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If no prior run exists in the series (first run), the longitudinal injection step is skipped and the pipeline proceeds without prior-cycle context.</w:t>
            </w:r>
          </w:p>
        </w:tc>
      </w:tr>
      <w:tr>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FR-03.03</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inject the retrieved prior-cycle data as a structured block in the OpenAI system prompt, labelled as "Previous cycle summary", positioned after the context profile block and before the current batch instructions. The model shall be explicitly instructed to reference change, trend, and momentum in its output.</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OBJ-03</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Prompt block format: "Previous cycle ([label], run [N]): Sentiment split: [X%] positive, [Y%] neutral, [Z%] negative. Top themes: [list]. Summary: [text]."</w:t>
            </w:r>
          </w:p>
        </w:tc>
      </w:tr>
      <w:tr>
        <w:tc>
          <w:tcPr>
            <w:tcW w:type="dxa" w:w="9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FR-03.04</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generated executive summary for a series-linked run shall contain explicit comparative language. Acceptable indicators include: directional sentiment change, named emerging or resolved themes, or explicit mention of trend or momentum. The system shall not enforce this programmatically — it is a prompt design responsibility.</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OBJ-03</w:t>
            </w:r>
          </w:p>
        </w:tc>
        <w:tc>
          <w:tcPr>
            <w:tcW w:type="dxa" w:w="2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Verified through OBJ-03 measurement method (qualitative review of 10 runs). Prompt must instruct the model to compare, not merely describe.</w:t>
            </w:r>
          </w:p>
        </w:tc>
      </w:tr>
      <w:tr>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FR-03.05</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results dashboard shall display a "Series Context" panel when the analysis run belongs to a series. The panel shall show: (a) series name, (b) run number within the series, (c) the prior run's executive summary (read-only), (d) a side-by-side sentiment split comparison (current vs prior).</w:t>
            </w:r>
          </w:p>
        </w:tc>
        <w:tc>
          <w:tcPr>
            <w:tcW w:type="dxa" w:w="900"/>
            <w:tcBorders>
              <w:top w:val="single" w:color="D0DDE8" w:sz="1"/>
              <w:left w:val="single" w:color="D0DDE8" w:sz="1"/>
              <w:bottom w:val="single" w:color="D0DDE8" w:sz="1"/>
              <w:right w:val="single" w:color="D0DDE8" w:sz="1"/>
            </w:tcBorders>
            <w:shd w:fill="EAF4EA" w:val="clear"/>
            <w:tcMar>
              <w:top w:type="dxa" w:w="80"/>
              <w:left w:type="dxa" w:w="120"/>
              <w:bottom w:type="dxa" w:w="80"/>
              <w:right w:type="dxa" w:w="120"/>
            </w:tcMar>
            <w:vAlign w:val="center"/>
          </w:tcPr>
          <w:p>
            <w:pPr>
              <w:spacing w:before="40" w:after="40"/>
              <w:jc w:val="center"/>
            </w:pPr>
            <w:r>
              <w:rPr>
                <w:rFonts w:ascii="Arial" w:cs="Arial" w:eastAsia="Arial" w:hAnsi="Arial"/>
                <w:b/>
                <w:bCs/>
                <w:color w:val="1B5E20"/>
                <w:sz w:val="18"/>
                <w:szCs w:val="18"/>
              </w:rPr>
              <w:t xml:space="preserve">SHOULD</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OBJ-03</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Panel is hidden for standalone runs (not assigned to a series). Side-by-side comparison uses simple horizontal bar components.</w:t>
            </w:r>
          </w:p>
        </w:tc>
      </w:tr>
      <w:tr>
        <w:tc>
          <w:tcPr>
            <w:tcW w:type="dxa" w:w="9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FR-03.06</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history browser shall support filtering and grouping by series name, displaying all runs within a series in sequence-number order. Selecting a series shall display a mini trend chart showing sentiment split across all completed runs in that series.</w:t>
            </w:r>
          </w:p>
        </w:tc>
        <w:tc>
          <w:tcPr>
            <w:tcW w:type="dxa" w:w="900"/>
            <w:tcBorders>
              <w:top w:val="single" w:color="D0DDE8" w:sz="1"/>
              <w:left w:val="single" w:color="D0DDE8" w:sz="1"/>
              <w:bottom w:val="single" w:color="D0DDE8" w:sz="1"/>
              <w:right w:val="single" w:color="D0DDE8" w:sz="1"/>
            </w:tcBorders>
            <w:shd w:fill="EAF4EA" w:val="clear"/>
            <w:tcMar>
              <w:top w:type="dxa" w:w="80"/>
              <w:left w:type="dxa" w:w="120"/>
              <w:bottom w:type="dxa" w:w="80"/>
              <w:right w:type="dxa" w:w="120"/>
            </w:tcMar>
            <w:vAlign w:val="center"/>
          </w:tcPr>
          <w:p>
            <w:pPr>
              <w:spacing w:before="40" w:after="40"/>
              <w:jc w:val="center"/>
            </w:pPr>
            <w:r>
              <w:rPr>
                <w:rFonts w:ascii="Arial" w:cs="Arial" w:eastAsia="Arial" w:hAnsi="Arial"/>
                <w:b/>
                <w:bCs/>
                <w:color w:val="1B5E20"/>
                <w:sz w:val="18"/>
                <w:szCs w:val="18"/>
              </w:rPr>
              <w:t xml:space="preserve">SHOULD</w:t>
            </w:r>
          </w:p>
        </w:tc>
        <w:tc>
          <w:tcPr>
            <w:tcW w:type="dxa" w:w="1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OBJ-03</w:t>
            </w:r>
          </w:p>
        </w:tc>
        <w:tc>
          <w:tcPr>
            <w:tcW w:type="dxa" w:w="2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Mini trend chart: stacked bar or line chart. Rendered using Streamlit native chart components.</w:t>
            </w:r>
          </w:p>
        </w:tc>
      </w:tr>
    </w:tbl>
    <w:p>
      <w:pPr>
        <w:spacing w:before="80" w:after="20"/>
      </w:pPr>
    </w:p>
    <w:p>
      <w:pPr>
        <w:pStyle w:val="Heading2"/>
        <w:spacing w:before="240" w:after="80"/>
      </w:pPr>
      <w:r>
        <w:rPr>
          <w:rFonts w:ascii="Arial" w:cs="Arial" w:eastAsia="Arial" w:hAnsi="Arial"/>
          <w:b/>
          <w:bCs/>
          <w:color w:val="00897B"/>
          <w:sz w:val="26"/>
          <w:szCs w:val="26"/>
        </w:rPr>
        <w:t xml:space="preserve">5.4  Persistent Storage, History Browsing, and Export  —  OBJ-04</w:t>
      </w:r>
    </w:p>
    <w:p>
      <w:pPr>
        <w:spacing w:before="20"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900"/>
        <w:gridCol w:w="1000"/>
        <w:gridCol w:w="2000"/>
      </w:tblGrid>
      <w:tr>
        <w:trPr>
          <w:tblHeader/>
        </w:trPr>
        <w:tc>
          <w:tcPr>
            <w:tcW w:type="dxa" w:w="9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ID</w:t>
            </w:r>
          </w:p>
        </w:tc>
        <w:tc>
          <w:tcPr>
            <w:tcW w:type="dxa" w:w="456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Requirement Statement</w:t>
            </w:r>
          </w:p>
        </w:tc>
        <w:tc>
          <w:tcPr>
            <w:tcW w:type="dxa" w:w="9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center"/>
            </w:pPr>
            <w:r>
              <w:rPr>
                <w:rFonts w:ascii="Arial" w:cs="Arial" w:eastAsia="Arial" w:hAnsi="Arial"/>
                <w:b/>
                <w:bCs/>
                <w:color w:val="FFFFFF"/>
                <w:sz w:val="18"/>
                <w:szCs w:val="18"/>
              </w:rPr>
              <w:t xml:space="preserve">Priority</w:t>
            </w:r>
          </w:p>
        </w:tc>
        <w:tc>
          <w:tcPr>
            <w:tcW w:type="dxa" w:w="10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Obj. Trace</w:t>
            </w:r>
          </w:p>
        </w:tc>
        <w:tc>
          <w:tcPr>
            <w:tcW w:type="dxa" w:w="20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Notes / Constraints</w:t>
            </w:r>
          </w:p>
        </w:tc>
      </w:tr>
      <w:tr>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FR-04.01</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On pipeline completion, the system shall write a complete analysis result record to the PostgreSQL database. The record shall include: analysis_id (UUID), series_name, run_sequence, batch_label, domain_tag, context_profile (JSON), sentiment_split (JSON), top_themes (JSON), executive_summary (text), anomaly_count (integer), per_record_results (JSON array), created_at (timestamptz).</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OBJ-04</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Write is atomic. If the write fails, the system displays an error and retains the result in Streamlit session state for manual retry.</w:t>
            </w:r>
          </w:p>
        </w:tc>
      </w:tr>
      <w:tr>
        <w:tc>
          <w:tcPr>
            <w:tcW w:type="dxa" w:w="9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FR-04.02</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history browser shall display all stored analysis results in reverse chronological order by default. The analyst shall be able to filter by: (a) series name, (b) date range, (c) domain tag. Selecting a result shall re-display the full dashboard for that run without re-triggering the pipeline.</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OBJ-04</w:t>
            </w:r>
          </w:p>
        </w:tc>
        <w:tc>
          <w:tcPr>
            <w:tcW w:type="dxa" w:w="2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History browser is a separate Streamlit page. Result retrieval latency target: ≤2 seconds from selection to dashboard display.</w:t>
            </w:r>
          </w:p>
        </w:tc>
      </w:tr>
      <w:tr>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FR-04.03</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provide a CSV export function that produces a file containing one row per record with columns: record_id, text_body, sentiment_label, confidence_score, theme_assignments (semicolon-separated). The export shall be available for both current and historical analysis runs.</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OBJ-04</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File download via Streamlit download_button component. Filename format: [batch_label]_[analysis_id_short]_export.csv.</w:t>
            </w:r>
          </w:p>
        </w:tc>
      </w:tr>
      <w:tr>
        <w:tc>
          <w:tcPr>
            <w:tcW w:type="dxa" w:w="9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FR-04.04</w:t>
            </w:r>
          </w:p>
        </w:tc>
        <w:tc>
          <w:tcPr>
            <w:tcW w:type="dxa" w:w="45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store the per_record_results, top_themes, and context_profile fields as structured JSON within PostgreSQL, not as free-text blobs. These fields must be queryable for the longitudinal summary injection (FR-03.02) and series trend display (FR-03.06).</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OBJ-04</w:t>
            </w:r>
          </w:p>
        </w:tc>
        <w:tc>
          <w:tcPr>
            <w:tcW w:type="dxa" w:w="20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PostgreSQL JSONB column type. Indexed on series_name and created_at for history query performance.</w:t>
            </w:r>
          </w:p>
        </w:tc>
      </w:tr>
      <w:tr>
        <w:tc>
          <w:tcPr>
            <w:tcW w:type="dxa" w:w="9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bCs/>
                <w:i w:val="false"/>
                <w:iCs w:val="false"/>
                <w:color w:val="00897B"/>
                <w:sz w:val="18"/>
                <w:szCs w:val="18"/>
              </w:rPr>
              <w:t xml:space="preserve">FR-04.05</w:t>
            </w:r>
          </w:p>
        </w:tc>
        <w:tc>
          <w:tcPr>
            <w:tcW w:type="dxa" w:w="45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1A2535"/>
                <w:sz w:val="20"/>
                <w:szCs w:val="20"/>
              </w:rPr>
              <w:t xml:space="preserve">The system shall surface a demo dataset on first launch if no analysis results exist in the database. The demo dataset shall include 3 pre-loaded series (CX, HR, Ops), each with 2–3 completed runs, demonstrating longitudinal output and all four dashboard panels.</w:t>
            </w:r>
          </w:p>
        </w:tc>
        <w:tc>
          <w:tcPr>
            <w:tcW w:type="dxa" w:w="900"/>
            <w:tcBorders>
              <w:top w:val="single" w:color="D0DDE8" w:sz="1"/>
              <w:left w:val="single" w:color="D0DDE8" w:sz="1"/>
              <w:bottom w:val="single" w:color="D0DDE8" w:sz="1"/>
              <w:right w:val="single" w:color="D0DDE8" w:sz="1"/>
            </w:tcBorders>
            <w:shd w:fill="FEECEC" w:val="clear"/>
            <w:tcMar>
              <w:top w:type="dxa" w:w="80"/>
              <w:left w:type="dxa" w:w="120"/>
              <w:bottom w:type="dxa" w:w="80"/>
              <w:right w:type="dxa" w:w="120"/>
            </w:tcMar>
            <w:vAlign w:val="center"/>
          </w:tcPr>
          <w:p>
            <w:pPr>
              <w:spacing w:before="40" w:after="40"/>
              <w:jc w:val="center"/>
            </w:pPr>
            <w:r>
              <w:rPr>
                <w:rFonts w:ascii="Arial" w:cs="Arial" w:eastAsia="Arial" w:hAnsi="Arial"/>
                <w:b/>
                <w:bCs/>
                <w:color w:val="B71C1C"/>
                <w:sz w:val="18"/>
                <w:szCs w:val="18"/>
              </w:rPr>
              <w:t xml:space="preserve">MUST</w:t>
            </w:r>
          </w:p>
        </w:tc>
        <w:tc>
          <w:tcPr>
            <w:tcW w:type="dxa" w:w="1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iCs/>
                <w:color w:val="4A6278"/>
                <w:sz w:val="18"/>
                <w:szCs w:val="18"/>
              </w:rPr>
              <w:t xml:space="preserve">OBJ-04</w:t>
            </w:r>
          </w:p>
        </w:tc>
        <w:tc>
          <w:tcPr>
            <w:tcW w:type="dxa" w:w="20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center"/>
          </w:tcPr>
          <w:p>
            <w:pPr>
              <w:spacing w:before="40" w:after="40"/>
              <w:jc w:val="left"/>
            </w:pPr>
            <w:r>
              <w:rPr>
                <w:rFonts w:ascii="Arial" w:cs="Arial" w:eastAsia="Arial" w:hAnsi="Arial"/>
                <w:b w:val="false"/>
                <w:bCs w:val="false"/>
                <w:i w:val="false"/>
                <w:iCs w:val="false"/>
                <w:color w:val="4A6278"/>
                <w:sz w:val="18"/>
                <w:szCs w:val="18"/>
              </w:rPr>
              <w:t xml:space="preserve">Demo data seeded via a SQL seed script run at deployment. Visible immediately on Streamlit Cloud deployment without requiring the reviewer to upload data.</w:t>
            </w:r>
          </w:p>
        </w:tc>
      </w:tr>
    </w:tbl>
    <w:p>
      <w:r>
        <w:br w:type="page"/>
      </w:r>
    </w:p>
    <w:p>
      <w:pPr>
        <w:pStyle w:val="Heading1"/>
        <w:spacing w:before="320" w:after="120"/>
      </w:pPr>
      <w:r>
        <w:rPr>
          <w:rFonts w:ascii="Arial" w:cs="Arial" w:eastAsia="Arial" w:hAnsi="Arial"/>
          <w:b/>
          <w:bCs/>
          <w:color w:val="0D3D36"/>
          <w:sz w:val="32"/>
          <w:szCs w:val="32"/>
        </w:rPr>
        <w:t xml:space="preserve">6. Preliminary Data Model</w:t>
      </w:r>
    </w:p>
    <w:p>
      <w:pPr>
        <w:pBdr>
          <w:bottom w:val="single" w:color="006B5F" w:sz="4" w:space="1"/>
        </w:pBdr>
        <w:spacing w:before="120" w:after="120"/>
      </w:pPr>
    </w:p>
    <w:p>
      <w:pPr>
        <w:spacing w:before="60" w:after="80"/>
        <w:jc w:val="left"/>
      </w:pPr>
      <w:r>
        <w:rPr>
          <w:rFonts w:ascii="Arial" w:cs="Arial" w:eastAsia="Arial" w:hAnsi="Arial"/>
          <w:b w:val="false"/>
          <w:bCs w:val="false"/>
          <w:i w:val="false"/>
          <w:iCs w:val="false"/>
          <w:color w:val="1A2535"/>
          <w:sz w:val="22"/>
          <w:szCs w:val="22"/>
        </w:rPr>
        <w:t xml:space="preserve">The following table describes the five primary database tables for Lens v1. This is a preliminary model sufficient to guide build — it is not a final ERD. All tables reside in a single PostgreSQL schema. The UML Class Diagram artefact (Lens_UML_001) provides the full relational view with cardinality and field-level detail.</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1600"/>
        <w:gridCol w:w="1760"/>
      </w:tblGrid>
      <w:tr>
        <w:trPr>
          <w:tblHeader/>
        </w:trPr>
        <w:tc>
          <w:tcPr>
            <w:tcW w:type="dxa" w:w="16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Table</w:t>
            </w:r>
          </w:p>
        </w:tc>
        <w:tc>
          <w:tcPr>
            <w:tcW w:type="dxa" w:w="32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Key Columns</w:t>
            </w:r>
          </w:p>
        </w:tc>
        <w:tc>
          <w:tcPr>
            <w:tcW w:type="dxa" w:w="12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Primary Key</w:t>
            </w:r>
          </w:p>
        </w:tc>
        <w:tc>
          <w:tcPr>
            <w:tcW w:type="dxa" w:w="160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Foreign Keys</w:t>
            </w:r>
          </w:p>
        </w:tc>
        <w:tc>
          <w:tcPr>
            <w:tcW w:type="dxa" w:w="1760"/>
            <w:tcBorders>
              <w:top w:val="single" w:color="0D3D36" w:sz="1"/>
              <w:left w:val="single" w:color="0D3D36" w:sz="1"/>
              <w:bottom w:val="single" w:color="0D3D36" w:sz="1"/>
              <w:right w:val="single" w:color="0D3D36" w:sz="1"/>
            </w:tcBorders>
            <w:shd w:fill="0D3D36" w:val="clear"/>
            <w:tcMar>
              <w:top w:type="dxa" w:w="80"/>
              <w:left w:type="dxa" w:w="120"/>
              <w:bottom w:type="dxa" w:w="80"/>
              <w:right w:type="dxa" w:w="120"/>
            </w:tcMar>
            <w:vAlign w:val="center"/>
          </w:tcPr>
          <w:p>
            <w:pPr>
              <w:spacing w:before="60" w:after="60"/>
              <w:jc w:val="left"/>
            </w:pPr>
            <w:r>
              <w:rPr>
                <w:rFonts w:ascii="Arial" w:cs="Arial" w:eastAsia="Arial" w:hAnsi="Arial"/>
                <w:b/>
                <w:bCs/>
                <w:color w:val="FFFFFF"/>
                <w:sz w:val="18"/>
                <w:szCs w:val="18"/>
              </w:rPr>
              <w:t xml:space="preserve">Notes</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18"/>
                <w:szCs w:val="18"/>
              </w:rPr>
              <w:t xml:space="preserve">analysis_results</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18"/>
                <w:szCs w:val="18"/>
              </w:rPr>
              <w:t xml:space="preserve">analysis_id, series_name, run_sequence, batch_label, domain_tag, record_count, sentiment_split (JSONB), top_themes (JSONB), executive_summary, anomaly_count, context_profile (JSONB), per_record_results (JSONB), created_at</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B8860B"/>
                <w:sz w:val="18"/>
                <w:szCs w:val="18"/>
              </w:rPr>
              <w:t xml:space="preserve">analysis_id (UUID)</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6278"/>
                <w:sz w:val="18"/>
                <w:szCs w:val="18"/>
              </w:rPr>
              <w:t xml:space="preserve">—</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4A6278"/>
                <w:sz w:val="18"/>
                <w:szCs w:val="18"/>
              </w:rPr>
              <w:t xml:space="preserve">Core result store. Indexed on series_name + created_at for longitudinal query.</w:t>
            </w:r>
          </w:p>
        </w:tc>
      </w:tr>
      <w:tr>
        <w:tc>
          <w:tcPr>
            <w:tcW w:type="dxa" w:w="16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18"/>
                <w:szCs w:val="18"/>
              </w:rPr>
              <w:t xml:space="preserve">series_index</w:t>
            </w:r>
          </w:p>
        </w:tc>
        <w:tc>
          <w:tcPr>
            <w:tcW w:type="dxa" w:w="32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18"/>
                <w:szCs w:val="18"/>
              </w:rPr>
              <w:t xml:space="preserve">series_id, series_name, run_count, last_run_at, domain_tag, created_at</w:t>
            </w:r>
          </w:p>
        </w:tc>
        <w:tc>
          <w:tcPr>
            <w:tcW w:type="dxa" w:w="12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B8860B"/>
                <w:sz w:val="18"/>
                <w:szCs w:val="18"/>
              </w:rPr>
              <w:t xml:space="preserve">series_id (UUID)</w:t>
            </w:r>
          </w:p>
        </w:tc>
        <w:tc>
          <w:tcPr>
            <w:tcW w:type="dxa" w:w="16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6278"/>
                <w:sz w:val="18"/>
                <w:szCs w:val="18"/>
              </w:rPr>
              <w:t xml:space="preserve">—</w:t>
            </w:r>
          </w:p>
        </w:tc>
        <w:tc>
          <w:tcPr>
            <w:tcW w:type="dxa" w:w="17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4A6278"/>
                <w:sz w:val="18"/>
                <w:szCs w:val="18"/>
              </w:rPr>
              <w:t xml:space="preserve">Lightweight series registry. series_name unique. Enables autocomplete and series browser.</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18"/>
                <w:szCs w:val="18"/>
              </w:rPr>
              <w:t xml:space="preserve">batch_records</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18"/>
                <w:szCs w:val="18"/>
              </w:rPr>
              <w:t xml:space="preserve">record_id, analysis_id, sequence_number, text_body, sentiment_label, confidence_score, deviation_from_mean, is_anomaly, theme_assignments (JSONB), created_at</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B8860B"/>
                <w:sz w:val="18"/>
                <w:szCs w:val="18"/>
              </w:rPr>
              <w:t xml:space="preserve">record_id (UUID)</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6278"/>
                <w:sz w:val="18"/>
                <w:szCs w:val="18"/>
              </w:rPr>
              <w:t xml:space="preserve">analysis_id → analysis_results</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4A6278"/>
                <w:sz w:val="18"/>
                <w:szCs w:val="18"/>
              </w:rPr>
              <w:t xml:space="preserve">Per-record detail table. Populated from per_record_results JSONB for query flexibility.</w:t>
            </w:r>
          </w:p>
        </w:tc>
      </w:tr>
      <w:tr>
        <w:tc>
          <w:tcPr>
            <w:tcW w:type="dxa" w:w="16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18"/>
                <w:szCs w:val="18"/>
              </w:rPr>
              <w:t xml:space="preserve">context_profiles</w:t>
            </w:r>
          </w:p>
        </w:tc>
        <w:tc>
          <w:tcPr>
            <w:tcW w:type="dxa" w:w="32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18"/>
                <w:szCs w:val="18"/>
              </w:rPr>
              <w:t xml:space="preserve">profile_id, analysis_id, org_name, industry, department, reporting_period, situational_notes, created_at</w:t>
            </w:r>
          </w:p>
        </w:tc>
        <w:tc>
          <w:tcPr>
            <w:tcW w:type="dxa" w:w="12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B8860B"/>
                <w:sz w:val="18"/>
                <w:szCs w:val="18"/>
              </w:rPr>
              <w:t xml:space="preserve">profile_id (UUID)</w:t>
            </w:r>
          </w:p>
        </w:tc>
        <w:tc>
          <w:tcPr>
            <w:tcW w:type="dxa" w:w="160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6278"/>
                <w:sz w:val="18"/>
                <w:szCs w:val="18"/>
              </w:rPr>
              <w:t xml:space="preserve">analysis_id → analysis_results</w:t>
            </w:r>
          </w:p>
        </w:tc>
        <w:tc>
          <w:tcPr>
            <w:tcW w:type="dxa" w:w="1760"/>
            <w:tcBorders>
              <w:top w:val="single" w:color="D0DDE8" w:sz="1"/>
              <w:left w:val="single" w:color="D0DDE8" w:sz="1"/>
              <w:bottom w:val="single" w:color="D0DDE8" w:sz="1"/>
              <w:right w:val="single" w:color="D0DDE8" w:sz="1"/>
            </w:tcBorders>
            <w:shd w:fill="F4F9F8"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4A6278"/>
                <w:sz w:val="18"/>
                <w:szCs w:val="18"/>
              </w:rPr>
              <w:t xml:space="preserve">Separated from main result for cleaner schema. Nullable — not all runs will have a context profile.</w:t>
            </w:r>
          </w:p>
        </w:tc>
      </w:tr>
      <w:tr>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00897B"/>
                <w:sz w:val="18"/>
                <w:szCs w:val="18"/>
              </w:rPr>
              <w:t xml:space="preserve">pipeline_run_log</w:t>
            </w:r>
          </w:p>
        </w:tc>
        <w:tc>
          <w:tcPr>
            <w:tcW w:type="dxa" w:w="3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1A2535"/>
                <w:sz w:val="18"/>
                <w:szCs w:val="18"/>
              </w:rPr>
              <w:t xml:space="preserve">log_id, analysis_id, triggered_at, status (SUCCESS / PARTIAL / FAILED), records_submitted, records_scored, records_failed, api_call_count, duration_seconds, error_detail</w:t>
            </w:r>
          </w:p>
        </w:tc>
        <w:tc>
          <w:tcPr>
            <w:tcW w:type="dxa" w:w="12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bCs/>
                <w:i w:val="false"/>
                <w:iCs w:val="false"/>
                <w:color w:val="B8860B"/>
                <w:sz w:val="18"/>
                <w:szCs w:val="18"/>
              </w:rPr>
              <w:t xml:space="preserve">log_id (UUID)</w:t>
            </w:r>
          </w:p>
        </w:tc>
        <w:tc>
          <w:tcPr>
            <w:tcW w:type="dxa" w:w="160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val="false"/>
                <w:iCs w:val="false"/>
                <w:color w:val="4A6278"/>
                <w:sz w:val="18"/>
                <w:szCs w:val="18"/>
              </w:rPr>
              <w:t xml:space="preserve">analysis_id → analysis_results</w:t>
            </w:r>
          </w:p>
        </w:tc>
        <w:tc>
          <w:tcPr>
            <w:tcW w:type="dxa" w:w="1760"/>
            <w:tcBorders>
              <w:top w:val="single" w:color="D0DDE8" w:sz="1"/>
              <w:left w:val="single" w:color="D0DDE8" w:sz="1"/>
              <w:bottom w:val="single" w:color="D0DDE8" w:sz="1"/>
              <w:right w:val="single" w:color="D0DDE8" w:sz="1"/>
            </w:tcBorders>
            <w:shd w:fill="FFFFFF" w:val="clear"/>
            <w:tcMar>
              <w:top w:type="dxa" w:w="80"/>
              <w:left w:type="dxa" w:w="120"/>
              <w:bottom w:type="dxa" w:w="80"/>
              <w:right w:type="dxa" w:w="120"/>
            </w:tcMar>
            <w:vAlign w:val="top"/>
          </w:tcPr>
          <w:p>
            <w:pPr>
              <w:spacing w:before="40" w:after="40"/>
              <w:jc w:val="left"/>
            </w:pPr>
            <w:r>
              <w:rPr>
                <w:rFonts w:ascii="Arial" w:cs="Arial" w:eastAsia="Arial" w:hAnsi="Arial"/>
                <w:b w:val="false"/>
                <w:bCs w:val="false"/>
                <w:i/>
                <w:iCs/>
                <w:color w:val="4A6278"/>
                <w:sz w:val="18"/>
                <w:szCs w:val="18"/>
              </w:rPr>
              <w:t xml:space="preserve">Audit log for every pipeline execution. Retained permanently. Supports debugging and portfolio demo of run history.</w:t>
            </w:r>
          </w:p>
        </w:tc>
      </w:tr>
    </w:tbl>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6"/>
              <w:left w:val="single" w:color="00897B" w:sz="8"/>
              <w:bottom w:val="single" w:color="00897B" w:sz="2"/>
              <w:right w:val="single" w:color="00897B" w:sz="2"/>
            </w:tcBorders>
            <w:shd w:fill="E6F4F2" w:val="clear"/>
            <w:tcMar>
              <w:top w:type="dxa" w:w="120"/>
              <w:left w:type="dxa" w:w="180"/>
              <w:bottom w:type="dxa" w:w="120"/>
              <w:right w:type="dxa" w:w="180"/>
            </w:tcMar>
          </w:tcPr>
          <w:p>
            <w:pPr>
              <w:spacing w:before="0" w:after="60"/>
            </w:pPr>
            <w:r>
              <w:rPr>
                <w:rFonts w:ascii="Arial" w:cs="Arial" w:eastAsia="Arial" w:hAnsi="Arial"/>
                <w:b/>
                <w:bCs/>
                <w:color w:val="B8860B"/>
                <w:sz w:val="20"/>
                <w:szCs w:val="20"/>
              </w:rPr>
              <w:t xml:space="preserve">Design Notes — Structured JSON Fields</w:t>
            </w:r>
          </w:p>
          <w:p>
            <w:pPr>
              <w:spacing w:before="30" w:after="30"/>
            </w:pPr>
            <w:r>
              <w:rPr>
                <w:rFonts w:ascii="Arial" w:cs="Arial" w:eastAsia="Arial" w:hAnsi="Arial"/>
                <w:color w:val="4A3800"/>
                <w:sz w:val="20"/>
                <w:szCs w:val="20"/>
              </w:rPr>
              <w:t xml:space="preserve">Three tables use PostgreSQL JSONB columns (analysis_results.top_themes, analysis_results.context_profile,</w:t>
            </w:r>
          </w:p>
          <w:p>
            <w:pPr>
              <w:spacing w:before="30" w:after="30"/>
            </w:pPr>
            <w:r>
              <w:rPr>
                <w:rFonts w:ascii="Arial" w:cs="Arial" w:eastAsia="Arial" w:hAnsi="Arial"/>
                <w:color w:val="4A3800"/>
                <w:sz w:val="20"/>
                <w:szCs w:val="20"/>
              </w:rPr>
              <w:t xml:space="preserve">analysis_results.per_record_results, batch_records.theme_assignments). JSONB is chosen over normalised</w:t>
            </w:r>
          </w:p>
          <w:p>
            <w:pPr>
              <w:spacing w:before="30" w:after="30"/>
            </w:pPr>
            <w:r>
              <w:rPr>
                <w:rFonts w:ascii="Arial" w:cs="Arial" w:eastAsia="Arial" w:hAnsi="Arial"/>
                <w:color w:val="4A3800"/>
                <w:sz w:val="20"/>
                <w:szCs w:val="20"/>
              </w:rPr>
              <w:t xml:space="preserve">child tables for these fields because: (a) the structure of themes and context varies by run, (b) the</w:t>
            </w:r>
          </w:p>
          <w:p>
            <w:pPr>
              <w:spacing w:before="30" w:after="30"/>
            </w:pPr>
            <w:r>
              <w:rPr>
                <w:rFonts w:ascii="Arial" w:cs="Arial" w:eastAsia="Arial" w:hAnsi="Arial"/>
                <w:color w:val="4A3800"/>
                <w:sz w:val="20"/>
                <w:szCs w:val="20"/>
              </w:rPr>
              <w:t xml:space="preserve">longitudinal injection query (FR-03.02) reads these fields as a single retrieval, not a join, and</w:t>
            </w:r>
          </w:p>
          <w:p>
            <w:pPr>
              <w:spacing w:before="30" w:after="30"/>
            </w:pPr>
            <w:r>
              <w:rPr>
                <w:rFonts w:ascii="Arial" w:cs="Arial" w:eastAsia="Arial" w:hAnsi="Arial"/>
                <w:color w:val="4A3800"/>
                <w:sz w:val="20"/>
                <w:szCs w:val="20"/>
              </w:rPr>
              <w:t xml:space="preserve">(c) Streamlit's rendering layer consumes JSON directly without ORM mapping overhead. The batch_records</w:t>
            </w:r>
          </w:p>
          <w:p>
            <w:pPr>
              <w:spacing w:before="30" w:after="30"/>
            </w:pPr>
            <w:r>
              <w:rPr>
                <w:rFonts w:ascii="Arial" w:cs="Arial" w:eastAsia="Arial" w:hAnsi="Arial"/>
                <w:color w:val="4A3800"/>
                <w:sz w:val="20"/>
                <w:szCs w:val="20"/>
              </w:rPr>
              <w:t xml:space="preserve">table provides a normalised per-record view for export and query flexibility.</w:t>
            </w:r>
          </w:p>
        </w:tc>
      </w:tr>
    </w:tbl>
    <w:p>
      <w:r>
        <w:br w:type="page"/>
      </w:r>
    </w:p>
    <w:p>
      <w:pPr>
        <w:pStyle w:val="Heading1"/>
        <w:spacing w:before="320" w:after="120"/>
      </w:pPr>
      <w:r>
        <w:rPr>
          <w:rFonts w:ascii="Arial" w:cs="Arial" w:eastAsia="Arial" w:hAnsi="Arial"/>
          <w:b/>
          <w:bCs/>
          <w:color w:val="0D3D36"/>
          <w:sz w:val="32"/>
          <w:szCs w:val="32"/>
        </w:rPr>
        <w:t xml:space="preserve">7. Assumptions &amp; Constraints</w:t>
      </w:r>
    </w:p>
    <w:p>
      <w:pPr>
        <w:pBdr>
          <w:bottom w:val="single" w:color="006B5F" w:sz="4" w:space="1"/>
        </w:pBdr>
        <w:spacing w:before="120" w:after="120"/>
      </w:pPr>
    </w:p>
    <w:p>
      <w:pPr>
        <w:pStyle w:val="Heading2"/>
        <w:spacing w:before="240" w:after="80"/>
      </w:pPr>
      <w:r>
        <w:rPr>
          <w:rFonts w:ascii="Arial" w:cs="Arial" w:eastAsia="Arial" w:hAnsi="Arial"/>
          <w:b/>
          <w:bCs/>
          <w:color w:val="00897B"/>
          <w:sz w:val="26"/>
          <w:szCs w:val="26"/>
        </w:rPr>
        <w:t xml:space="preserve">7.1 Assumptions</w:t>
      </w:r>
    </w:p>
    <w:p>
      <w:pPr>
        <w:spacing w:before="20" w:after="20"/>
      </w:pPr>
    </w:p>
    <w:p>
      <w:pPr>
        <w:pStyle w:val="ListParagraph"/>
        <w:numPr>
          <w:ilvl w:val="0"/>
          <w:numId w:val="2"/>
        </w:numPr>
        <w:spacing w:before="40" w:after="40"/>
      </w:pPr>
      <w:r>
        <w:rPr>
          <w:rFonts w:ascii="Arial" w:cs="Arial" w:eastAsia="Arial" w:hAnsi="Arial"/>
          <w:b w:val="false"/>
          <w:bCs w:val="false"/>
          <w:color w:val="1A2535"/>
          <w:sz w:val="22"/>
          <w:szCs w:val="22"/>
        </w:rPr>
        <w:t xml:space="preserve">The OpenAI API returns well-formed JSON responses for structured prompts in ≥95% of calls. A retry mechanism (max 2 retries per record) handles the remainder.</w:t>
      </w:r>
    </w:p>
    <w:p>
      <w:pPr>
        <w:pStyle w:val="ListParagraph"/>
        <w:numPr>
          <w:ilvl w:val="0"/>
          <w:numId w:val="2"/>
        </w:numPr>
        <w:spacing w:before="40" w:after="40"/>
      </w:pPr>
      <w:r>
        <w:rPr>
          <w:rFonts w:ascii="Arial" w:cs="Arial" w:eastAsia="Arial" w:hAnsi="Arial"/>
          <w:b w:val="false"/>
          <w:bCs w:val="false"/>
          <w:color w:val="1A2535"/>
          <w:sz w:val="22"/>
          <w:szCs w:val="22"/>
        </w:rPr>
        <w:t xml:space="preserve">The Analyst has access to a CSV export of their source data or can paste text directly. No live system integration is required.</w:t>
      </w:r>
    </w:p>
    <w:p>
      <w:pPr>
        <w:pStyle w:val="ListParagraph"/>
        <w:numPr>
          <w:ilvl w:val="0"/>
          <w:numId w:val="2"/>
        </w:numPr>
        <w:spacing w:before="40" w:after="40"/>
      </w:pPr>
      <w:r>
        <w:rPr>
          <w:rFonts w:ascii="Arial" w:cs="Arial" w:eastAsia="Arial" w:hAnsi="Arial"/>
          <w:b w:val="false"/>
          <w:bCs w:val="false"/>
          <w:color w:val="1A2535"/>
          <w:sz w:val="22"/>
          <w:szCs w:val="22"/>
        </w:rPr>
        <w:t xml:space="preserve">Streamlit Cloud provides sufficient compute and memory for batches up to 10,000 records. Batches larger than this are outside the designed scope and will be rejected at upload.</w:t>
      </w:r>
    </w:p>
    <w:p>
      <w:pPr>
        <w:pStyle w:val="ListParagraph"/>
        <w:numPr>
          <w:ilvl w:val="0"/>
          <w:numId w:val="2"/>
        </w:numPr>
        <w:spacing w:before="40" w:after="40"/>
      </w:pPr>
      <w:r>
        <w:rPr>
          <w:rFonts w:ascii="Arial" w:cs="Arial" w:eastAsia="Arial" w:hAnsi="Arial"/>
          <w:b w:val="false"/>
          <w:bCs w:val="false"/>
          <w:color w:val="1A2535"/>
          <w:sz w:val="22"/>
          <w:szCs w:val="22"/>
        </w:rPr>
        <w:t xml:space="preserve">PostgreSQL is provisioned via Supabase (free tier) for portfolio deployment. Connection pooling is not required at expected portfolio demo traffic levels.</w:t>
      </w:r>
    </w:p>
    <w:p>
      <w:pPr>
        <w:pStyle w:val="ListParagraph"/>
        <w:numPr>
          <w:ilvl w:val="0"/>
          <w:numId w:val="2"/>
        </w:numPr>
        <w:spacing w:before="40" w:after="40"/>
      </w:pPr>
      <w:r>
        <w:rPr>
          <w:rFonts w:ascii="Arial" w:cs="Arial" w:eastAsia="Arial" w:hAnsi="Arial"/>
          <w:b w:val="false"/>
          <w:bCs w:val="false"/>
          <w:color w:val="1A2535"/>
          <w:sz w:val="22"/>
          <w:szCs w:val="22"/>
        </w:rPr>
        <w:t xml:space="preserve">The domain-agnostic framing is a deliberate portfolio strategy. The system does not enforce a specific domain — it accepts any business text and applies the same pipeline regardless of source type.</w:t>
      </w:r>
    </w:p>
    <w:p>
      <w:pPr>
        <w:pStyle w:val="ListParagraph"/>
        <w:numPr>
          <w:ilvl w:val="0"/>
          <w:numId w:val="2"/>
        </w:numPr>
        <w:spacing w:before="40" w:after="40"/>
      </w:pPr>
      <w:r>
        <w:rPr>
          <w:rFonts w:ascii="Arial" w:cs="Arial" w:eastAsia="Arial" w:hAnsi="Arial"/>
          <w:b w:val="false"/>
          <w:bCs w:val="false"/>
          <w:color w:val="1A2535"/>
          <w:sz w:val="22"/>
          <w:szCs w:val="22"/>
        </w:rPr>
        <w:t xml:space="preserve">The prior-cycle summary injection relies on OpenAI producing comparative language when instructed to do so via the system prompt. This is a prompt engineering assumption, not a guaranteed model behaviour. The OBJ-03 measurement method accounts for this by targeting ≥90%, not 100%.</w:t>
      </w:r>
    </w:p>
    <w:p>
      <w:pPr>
        <w:spacing w:before="60" w:after="20"/>
      </w:pPr>
    </w:p>
    <w:p>
      <w:pPr>
        <w:pStyle w:val="Heading2"/>
        <w:spacing w:before="240" w:after="80"/>
      </w:pPr>
      <w:r>
        <w:rPr>
          <w:rFonts w:ascii="Arial" w:cs="Arial" w:eastAsia="Arial" w:hAnsi="Arial"/>
          <w:b/>
          <w:bCs/>
          <w:color w:val="00897B"/>
          <w:sz w:val="26"/>
          <w:szCs w:val="26"/>
        </w:rPr>
        <w:t xml:space="preserve">7.2 Constraints</w:t>
      </w:r>
    </w:p>
    <w:p>
      <w:pPr>
        <w:spacing w:before="20" w:after="20"/>
      </w:pPr>
    </w:p>
    <w:p>
      <w:pPr>
        <w:pStyle w:val="ListParagraph"/>
        <w:numPr>
          <w:ilvl w:val="0"/>
          <w:numId w:val="2"/>
        </w:numPr>
        <w:spacing w:before="40" w:after="40"/>
      </w:pPr>
      <w:r>
        <w:rPr>
          <w:rFonts w:ascii="Arial" w:cs="Arial" w:eastAsia="Arial" w:hAnsi="Arial"/>
          <w:b w:val="false"/>
          <w:bCs w:val="false"/>
          <w:color w:val="1A2535"/>
          <w:sz w:val="22"/>
          <w:szCs w:val="22"/>
        </w:rPr>
        <w:t xml:space="preserve">OpenAI API rate limits apply. Large batches (&gt;1,000 records) may require request throttling. Pipeline execution time may exceed the 5-minute OBJ-01 target for very large batches at free-tier rate limits.</w:t>
      </w:r>
    </w:p>
    <w:p>
      <w:pPr>
        <w:pStyle w:val="ListParagraph"/>
        <w:numPr>
          <w:ilvl w:val="0"/>
          <w:numId w:val="2"/>
        </w:numPr>
        <w:spacing w:before="40" w:after="40"/>
      </w:pPr>
      <w:r>
        <w:rPr>
          <w:rFonts w:ascii="Arial" w:cs="Arial" w:eastAsia="Arial" w:hAnsi="Arial"/>
          <w:b w:val="false"/>
          <w:bCs w:val="false"/>
          <w:color w:val="1A2535"/>
          <w:sz w:val="22"/>
          <w:szCs w:val="22"/>
        </w:rPr>
        <w:t xml:space="preserve">Streamlit Cloud free tier has session timeout behaviour. Long-running pipeline executions must complete within the session window. Batches exceeding 5,000 records are flagged with an estimated processing time warning.</w:t>
      </w:r>
    </w:p>
    <w:p>
      <w:pPr>
        <w:pStyle w:val="ListParagraph"/>
        <w:numPr>
          <w:ilvl w:val="0"/>
          <w:numId w:val="2"/>
        </w:numPr>
        <w:spacing w:before="40" w:after="40"/>
      </w:pPr>
      <w:r>
        <w:rPr>
          <w:rFonts w:ascii="Arial" w:cs="Arial" w:eastAsia="Arial" w:hAnsi="Arial"/>
          <w:b w:val="false"/>
          <w:bCs w:val="false"/>
          <w:color w:val="1A2535"/>
          <w:sz w:val="22"/>
          <w:szCs w:val="22"/>
        </w:rPr>
        <w:t xml:space="preserve">The OpenAI API is a paid external service. Portfolio deployment uses a development API key. Real-world deployment requires a production key with appropriate spend controls.</w:t>
      </w:r>
    </w:p>
    <w:p>
      <w:pPr>
        <w:pStyle w:val="ListParagraph"/>
        <w:numPr>
          <w:ilvl w:val="0"/>
          <w:numId w:val="2"/>
        </w:numPr>
        <w:spacing w:before="40" w:after="40"/>
      </w:pPr>
      <w:r>
        <w:rPr>
          <w:rFonts w:ascii="Arial" w:cs="Arial" w:eastAsia="Arial" w:hAnsi="Arial"/>
          <w:b w:val="false"/>
          <w:bCs w:val="false"/>
          <w:color w:val="1A2535"/>
          <w:sz w:val="22"/>
          <w:szCs w:val="22"/>
        </w:rPr>
        <w:t xml:space="preserve">No user authentication in v1. The Streamlit deployment is publicly accessible. Sensitive text data should not be uploaded to the portfolio deployment instance.</w:t>
      </w:r>
    </w:p>
    <w:p>
      <w:pPr>
        <w:pStyle w:val="ListParagraph"/>
        <w:numPr>
          <w:ilvl w:val="0"/>
          <w:numId w:val="2"/>
        </w:numPr>
        <w:spacing w:before="40" w:after="40"/>
      </w:pPr>
      <w:r>
        <w:rPr>
          <w:rFonts w:ascii="Arial" w:cs="Arial" w:eastAsia="Arial" w:hAnsi="Arial"/>
          <w:b w:val="false"/>
          <w:bCs w:val="false"/>
          <w:color w:val="1A2535"/>
          <w:sz w:val="22"/>
          <w:szCs w:val="22"/>
        </w:rPr>
        <w:t xml:space="preserve">Lens does not store raw text records permanently. The text_body field in batch_records is stored only to support CSV export. A data retention policy for production deployment is out of scope for v1.</w:t>
      </w:r>
    </w:p>
    <w:p>
      <w:pPr>
        <w:spacing w:before="80" w:after="20"/>
      </w:pPr>
    </w:p>
    <w:p>
      <w:pPr>
        <w:pBdr>
          <w:bottom w:val="single" w:color="006B5F" w:sz="4" w:space="1"/>
        </w:pBdr>
        <w:spacing w:before="120" w:after="120"/>
      </w:pPr>
    </w:p>
    <w:p>
      <w:pPr>
        <w:spacing w:before="60" w:after="80"/>
        <w:jc w:val="center"/>
      </w:pPr>
      <w:r>
        <w:rPr>
          <w:rFonts w:ascii="Arial" w:cs="Arial" w:eastAsia="Arial" w:hAnsi="Arial"/>
          <w:b w:val="false"/>
          <w:bCs w:val="false"/>
          <w:i w:val="false"/>
          <w:iCs w:val="false"/>
          <w:color w:val="4A6278"/>
          <w:sz w:val="18"/>
          <w:szCs w:val="18"/>
        </w:rPr>
        <w:t xml:space="preserve">Document ID: Lens_FRD_001  |  Version: 0.1 — DRAFT  |  Author: Hadi Mercer  |  BA Portfolio 2026 — Project S4</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5F" w:sz="4" w:space="1"/>
      </w:pBdr>
      <w:tabs>
        <w:tab w:val="right" w:pos="9026"/>
      </w:tabs>
      <w:spacing w:before="0" w:after="0"/>
    </w:pPr>
    <w:r>
      <w:rPr>
        <w:rFonts w:ascii="Arial" w:cs="Arial" w:eastAsia="Arial" w:hAnsi="Arial"/>
        <w:color w:val="4A6278"/>
        <w:sz w:val="16"/>
        <w:szCs w:val="16"/>
      </w:rPr>
      <w:t xml:space="preserve">BA Portfolio 2026 — Project S4  |  DRAFT v0.1  |  Hadi Mercer</w:t>
    </w:r>
    <w:r>
      <w:rPr>
        <w:rFonts w:ascii="Arial" w:cs="Arial" w:eastAsia="Arial" w:hAnsi="Arial"/>
        <w:color w:val="4A6278"/>
        <w:sz w:val="16"/>
        <w:szCs w:val="16"/>
      </w:rPr>
      <w:t xml:space="preserve">	Page </w:t>
    </w:r>
    <w:r>
      <w:rPr>
        <w:rFonts w:ascii="Arial" w:cs="Arial" w:eastAsia="Arial" w:hAnsi="Arial"/>
        <w:color w:val="4A62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5F" w:sz="4" w:space="1"/>
      </w:pBdr>
      <w:tabs>
        <w:tab w:val="right" w:pos="9026"/>
      </w:tabs>
      <w:spacing w:before="0" w:after="0"/>
    </w:pPr>
    <w:r>
      <w:rPr>
        <w:rFonts w:ascii="Arial" w:cs="Arial" w:eastAsia="Arial" w:hAnsi="Arial"/>
        <w:b/>
        <w:bCs/>
        <w:color w:val="0D3D36"/>
        <w:sz w:val="18"/>
        <w:szCs w:val="18"/>
      </w:rPr>
      <w:t xml:space="preserve">Lens — Batch Sentiment Engine</w:t>
    </w:r>
    <w:r>
      <w:rPr>
        <w:rFonts w:ascii="Arial" w:cs="Arial" w:eastAsia="Arial" w:hAnsi="Arial"/>
        <w:color w:val="4A6278"/>
        <w:sz w:val="16"/>
        <w:szCs w:val="16"/>
      </w:rPr>
      <w:t xml:space="preserve">	Functional Requirements Document  |  Lens_FRD_001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2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3D36"/>
      <w:sz w:val="36"/>
      <w:szCs w:val="36"/>
    </w:rPr>
  </w:style>
  <w:style w:type="paragraph" w:styleId="Heading2">
    <w:name w:val="Heading 2"/>
    <w:basedOn w:val="Normal"/>
    <w:next w:val="Normal"/>
    <w:qFormat/>
    <w:pPr>
      <w:spacing w:before="240" w:after="80"/>
      <w:outlineLvl w:val="1"/>
    </w:pPr>
    <w:rPr>
      <w:rFonts w:ascii="Arial" w:cs="Arial" w:eastAsia="Arial" w:hAnsi="Arial"/>
      <w:b/>
      <w:bCs/>
      <w:color w:val="00897B"/>
      <w:sz w:val="28"/>
      <w:szCs w:val="28"/>
    </w:rPr>
  </w:style>
  <w:style w:type="paragraph" w:styleId="Heading3">
    <w:name w:val="Heading 3"/>
    <w:basedOn w:val="Normal"/>
    <w:next w:val="Normal"/>
    <w:qFormat/>
    <w:pPr>
      <w:spacing w:before="180" w:after="60"/>
      <w:outlineLvl w:val="2"/>
    </w:pPr>
    <w:rPr>
      <w:rFonts w:ascii="Arial" w:cs="Arial" w:eastAsia="Arial" w:hAnsi="Arial"/>
      <w:b/>
      <w:bCs/>
      <w:color w:val="2A50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2026-03-07T16:30:49.148Z</dcterms:created>
  <dcterms:modified xsi:type="dcterms:W3CDTF">2026-03-07T16:30:49.149Z</dcterms:modified>
</cp:coreProperties>
</file>

<file path=docProps/custom.xml><?xml version="1.0" encoding="utf-8"?>
<Properties xmlns="http://schemas.openxmlformats.org/officeDocument/2006/custom-properties" xmlns:vt="http://schemas.openxmlformats.org/officeDocument/2006/docPropsVTypes"/>
</file>