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r>
        <w:t xml:space="preserve"/>
      </w:r>
    </w:p>
    <w:p>
      <w:pPr>
        <w:spacing w:before="0" w:after="120"/>
        <w:jc w:val="center"/>
      </w:pPr>
      <w:r>
        <w:rPr>
          <w:rFonts w:ascii="Arial" w:cs="Arial" w:eastAsia="Arial" w:hAnsi="Arial"/>
          <w:b/>
          <w:bCs/>
          <w:color w:val="1F3864"/>
          <w:sz w:val="44"/>
          <w:szCs w:val="44"/>
        </w:rPr>
        <w:t xml:space="preserve">FUNCTIONAL REQUIREMENTS DOCUMENT</w:t>
      </w:r>
    </w:p>
    <w:p>
      <w:pPr>
        <w:spacing w:before="0" w:after="80"/>
        <w:jc w:val="center"/>
      </w:pPr>
      <w:r>
        <w:rPr>
          <w:rFonts w:ascii="Arial" w:cs="Arial" w:eastAsia="Arial" w:hAnsi="Arial"/>
          <w:color w:val="2E5FAC"/>
          <w:sz w:val="32"/>
          <w:szCs w:val="32"/>
        </w:rPr>
        <w:t xml:space="preserve">Compensation &amp; Market Benchmarking Dashboard</w:t>
      </w:r>
    </w:p>
    <w:p>
      <w:pPr>
        <w:spacing w:before="0" w:after="400"/>
        <w:jc w:val="center"/>
      </w:pPr>
      <w:r>
        <w:rPr>
          <w:rFonts w:ascii="Arial" w:cs="Arial" w:eastAsia="Arial" w:hAnsi="Arial"/>
          <w:i/>
          <w:iCs/>
          <w:color w:val="595959"/>
          <w:sz w:val="24"/>
          <w:szCs w:val="24"/>
        </w:rPr>
        <w:t xml:space="preserve">TechNova — Healthcare Technology</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18"/>
                <w:szCs w:val="18"/>
              </w:rPr>
              <w:t xml:space="preserve">Document ID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FRD-COMP-001</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18"/>
                <w:szCs w:val="18"/>
              </w:rPr>
              <w:t xml:space="preserve">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 — Draft for Review</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18"/>
                <w:szCs w:val="18"/>
              </w:rPr>
              <w:t xml:space="preserve">Project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Compensation &amp; Market Benchmarking Dashboard</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18"/>
                <w:szCs w:val="18"/>
              </w:rPr>
              <w:t xml:space="preserve">Company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TechNova (Fictional — Healthcare Technology Sector)</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18"/>
                <w:szCs w:val="18"/>
              </w:rPr>
              <w:t xml:space="preserve">Prepared By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Business Analyst — BA Portfolio Project 2</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18"/>
                <w:szCs w:val="18"/>
              </w:rPr>
              <w:t xml:space="preserve">Date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February 22, 2026</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18"/>
                <w:szCs w:val="18"/>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Planning Phase — Requirements Complete</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18"/>
                <w:szCs w:val="18"/>
              </w:rPr>
              <w:t xml:space="preserve">Methodology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BABOK v3 Aligned</w:t>
            </w:r>
          </w:p>
        </w:tc>
      </w:tr>
    </w:tbl>
    <w:p>
      <w:pPr>
        <w:spacing w:before="0" w:after="200"/>
      </w:pPr>
      <w:r>
        <w:t xml:space="preserve"/>
      </w:r>
    </w:p>
    <w:p>
      <w:pPr>
        <w:spacing w:before="0" w:after="60"/>
      </w:pPr>
      <w:r>
        <w:rPr>
          <w:rFonts w:ascii="Arial" w:cs="Arial" w:eastAsia="Arial" w:hAnsi="Arial"/>
          <w:b/>
          <w:bCs/>
          <w:color w:val="1D6E6E"/>
          <w:sz w:val="20"/>
          <w:szCs w:val="20"/>
        </w:rPr>
        <w:t xml:space="preserve">Portfolio Note</w:t>
      </w:r>
    </w:p>
    <w:p>
      <w:pPr>
        <w:spacing w:before="60" w:after="100"/>
        <w:jc w:val="left"/>
      </w:pPr>
      <w:r>
        <w:rPr>
          <w:rFonts w:ascii="Arial" w:cs="Arial" w:eastAsia="Arial" w:hAnsi="Arial"/>
          <w:b w:val="false"/>
          <w:bCs w:val="false"/>
          <w:color w:val="000000"/>
          <w:sz w:val="20"/>
          <w:szCs w:val="20"/>
        </w:rPr>
        <w:t xml:space="preserve">TechNova is a realistic fictional company created for portfolio demonstration purposes. All requirements, stakeholders, and organizational details are invented. The technical architecture, data pipeline, and analytical methods are designed to reflect real-world patterns applicable to any mid-market technology company (~2,000 employees) conducting compensation benchmarking against public-sector wage data.</w:t>
      </w:r>
    </w:p>
    <w:p>
      <w:pPr>
        <w:pageBreakBefore/>
      </w:pPr>
      <w:r>
        <w:rPr>
          <w:rFonts w:ascii="Arial" w:cs="Arial" w:eastAsia="Arial" w:hAnsi="Arial"/>
        </w:rPr>
        <w:t xml:space="preserve"/>
      </w:r>
    </w:p>
    <w:p>
      <w:pPr>
        <w:pStyle w:val="Heading1"/>
        <w:pBdr>
          <w:bottom w:val="single" w:color="2E5FAC" w:sz="6" w:space="4"/>
        </w:pBdr>
        <w:spacing w:before="400" w:after="160"/>
      </w:pPr>
      <w:r>
        <w:rPr>
          <w:rFonts w:ascii="Arial" w:cs="Arial" w:eastAsia="Arial" w:hAnsi="Arial"/>
          <w:b/>
          <w:bCs/>
          <w:color w:val="1F3864"/>
          <w:sz w:val="32"/>
          <w:szCs w:val="32"/>
        </w:rPr>
        <w:t xml:space="preserve">Table of Contents</w:t>
      </w:r>
    </w:p>
    <w:p>
      <w:pPr>
        <w:spacing w:before="0" w:after="80"/>
      </w:pPr>
      <w:r>
        <w:t xml:space="preserve"/>
      </w:r>
    </w:p>
    <w:p>
      <w:pPr>
        <w:tabs>
          <w:tab w:val="right" w:pos="9000"/>
        </w:tabs>
        <w:spacing w:before="60" w:after="60"/>
        <w:ind w:left="0"/>
      </w:pPr>
      <w:r>
        <w:rPr>
          <w:rFonts w:ascii="Arial" w:cs="Arial" w:eastAsia="Arial" w:hAnsi="Arial"/>
          <w:color w:val="000000"/>
          <w:sz w:val="20"/>
          <w:szCs w:val="20"/>
        </w:rPr>
        <w:t xml:space="preserve">1.  Problem Statement</w:t>
      </w:r>
    </w:p>
    <w:p>
      <w:pPr>
        <w:tabs>
          <w:tab w:val="right" w:pos="9000"/>
        </w:tabs>
        <w:spacing w:before="60" w:after="60"/>
        <w:ind w:left="0"/>
      </w:pPr>
      <w:r>
        <w:rPr>
          <w:rFonts w:ascii="Arial" w:cs="Arial" w:eastAsia="Arial" w:hAnsi="Arial"/>
          <w:color w:val="000000"/>
          <w:sz w:val="20"/>
          <w:szCs w:val="20"/>
        </w:rPr>
        <w:t xml:space="preserve">2.  Project Objectives</w:t>
      </w:r>
    </w:p>
    <w:p>
      <w:pPr>
        <w:tabs>
          <w:tab w:val="right" w:pos="9000"/>
        </w:tabs>
        <w:spacing w:before="60" w:after="60"/>
        <w:ind w:left="0"/>
      </w:pPr>
      <w:r>
        <w:rPr>
          <w:rFonts w:ascii="Arial" w:cs="Arial" w:eastAsia="Arial" w:hAnsi="Arial"/>
          <w:color w:val="000000"/>
          <w:sz w:val="20"/>
          <w:szCs w:val="20"/>
        </w:rPr>
        <w:t xml:space="preserve">3.  Stakeholder Map</w:t>
      </w:r>
    </w:p>
    <w:p>
      <w:pPr>
        <w:tabs>
          <w:tab w:val="right" w:pos="9000"/>
        </w:tabs>
        <w:spacing w:before="60" w:after="60"/>
        <w:ind w:left="0"/>
      </w:pPr>
      <w:r>
        <w:rPr>
          <w:rFonts w:ascii="Arial" w:cs="Arial" w:eastAsia="Arial" w:hAnsi="Arial"/>
          <w:color w:val="000000"/>
          <w:sz w:val="20"/>
          <w:szCs w:val="20"/>
        </w:rPr>
        <w:t xml:space="preserve">4.  Scope</w:t>
      </w:r>
    </w:p>
    <w:p>
      <w:pPr>
        <w:tabs>
          <w:tab w:val="right" w:pos="9000"/>
        </w:tabs>
        <w:spacing w:before="60" w:after="60"/>
        <w:ind w:left="0"/>
      </w:pPr>
      <w:r>
        <w:rPr>
          <w:rFonts w:ascii="Arial" w:cs="Arial" w:eastAsia="Arial" w:hAnsi="Arial"/>
          <w:color w:val="000000"/>
          <w:sz w:val="20"/>
          <w:szCs w:val="20"/>
        </w:rPr>
        <w:t xml:space="preserve">5.  Functional Requirements</w:t>
      </w:r>
    </w:p>
    <w:p>
      <w:pPr>
        <w:tabs>
          <w:tab w:val="right" w:pos="9000"/>
        </w:tabs>
        <w:spacing w:before="60" w:after="60"/>
        <w:ind w:left="0"/>
      </w:pPr>
      <w:r>
        <w:rPr>
          <w:rFonts w:ascii="Arial" w:cs="Arial" w:eastAsia="Arial" w:hAnsi="Arial"/>
          <w:color w:val="000000"/>
          <w:sz w:val="20"/>
          <w:szCs w:val="20"/>
        </w:rPr>
        <w:t xml:space="preserve">6.  Non-Functional Requirements</w:t>
      </w:r>
    </w:p>
    <w:p>
      <w:pPr>
        <w:tabs>
          <w:tab w:val="right" w:pos="9000"/>
        </w:tabs>
        <w:spacing w:before="60" w:after="60"/>
        <w:ind w:left="0"/>
      </w:pPr>
      <w:r>
        <w:rPr>
          <w:rFonts w:ascii="Arial" w:cs="Arial" w:eastAsia="Arial" w:hAnsi="Arial"/>
          <w:color w:val="000000"/>
          <w:sz w:val="20"/>
          <w:szCs w:val="20"/>
        </w:rPr>
        <w:t xml:space="preserve">7.  Constraints and Assumptions</w:t>
      </w:r>
    </w:p>
    <w:p>
      <w:pPr>
        <w:pageBreakBefore/>
      </w:pPr>
      <w:r>
        <w:rPr>
          <w:rFonts w:ascii="Arial" w:cs="Arial" w:eastAsia="Arial" w:hAnsi="Arial"/>
        </w:rPr>
        <w:t xml:space="preserve"/>
      </w:r>
    </w:p>
    <w:p>
      <w:pPr>
        <w:pStyle w:val="Heading1"/>
        <w:pBdr>
          <w:bottom w:val="single" w:color="2E5FAC" w:sz="6" w:space="4"/>
        </w:pBdr>
        <w:spacing w:before="400" w:after="160"/>
      </w:pPr>
      <w:r>
        <w:rPr>
          <w:rFonts w:ascii="Arial" w:cs="Arial" w:eastAsia="Arial" w:hAnsi="Arial"/>
          <w:b/>
          <w:bCs/>
          <w:color w:val="1F3864"/>
          <w:sz w:val="32"/>
          <w:szCs w:val="32"/>
        </w:rPr>
        <w:t xml:space="preserve">1.  Problem Statement</w:t>
      </w:r>
    </w:p>
    <w:p>
      <w:pPr>
        <w:spacing w:before="60" w:after="100"/>
        <w:jc w:val="left"/>
      </w:pPr>
      <w:r>
        <w:rPr>
          <w:rFonts w:ascii="Arial" w:cs="Arial" w:eastAsia="Arial" w:hAnsi="Arial"/>
          <w:b w:val="false"/>
          <w:bCs w:val="false"/>
          <w:color w:val="000000"/>
          <w:sz w:val="20"/>
          <w:szCs w:val="20"/>
        </w:rPr>
        <w:t xml:space="preserve">TechNova (~2,000 employees, 5+ US locations, healthcare technology sector) currently manages compensation benchmarking through a fragmented, calendar-driven process: annual or semi-annual survey purchases, manual job matching in Excel, and ad hoc offer decisions made between refresh cycles. There is no single source of truth for job-to-market matches, salary ranges, geographic differentials, or leveling standards.</w:t>
      </w:r>
    </w:p>
    <w:p>
      <w:pPr>
        <w:spacing w:before="0" w:after="80"/>
      </w:pPr>
      <w:r>
        <w:t xml:space="preserve"/>
      </w:r>
    </w:p>
    <w:p>
      <w:pPr>
        <w:spacing w:before="200" w:after="80"/>
      </w:pPr>
      <w:r>
        <w:rPr>
          <w:rFonts w:ascii="Arial" w:cs="Arial" w:eastAsia="Arial" w:hAnsi="Arial"/>
          <w:b/>
          <w:bCs/>
          <w:color w:val="1D6E6E"/>
          <w:sz w:val="22"/>
          <w:szCs w:val="22"/>
        </w:rPr>
        <w:t xml:space="preserve">Primary Failure Mode</w:t>
      </w:r>
    </w:p>
    <w:p>
      <w:pPr>
        <w:spacing w:before="60" w:after="100"/>
        <w:jc w:val="left"/>
      </w:pPr>
      <w:r>
        <w:rPr>
          <w:rFonts w:ascii="Arial" w:cs="Arial" w:eastAsia="Arial" w:hAnsi="Arial"/>
          <w:b w:val="false"/>
          <w:bCs w:val="false"/>
          <w:color w:val="000000"/>
          <w:sz w:val="20"/>
          <w:szCs w:val="20"/>
        </w:rPr>
        <w:t xml:space="preserve">The primary failure mode is slow, inconsistent offer decisions. Recruiters and hiring managers lack real-time, defensible market data at the moment of decision — forcing multi-loop approval cycles, introducing inconsistency across locations, and increasing offer decline rates in a competitive healthcare tech talent market where speed and precision directly affect hiring outcomes.</w:t>
      </w:r>
    </w:p>
    <w:p>
      <w:pPr>
        <w:spacing w:before="0" w:after="80"/>
      </w:pPr>
      <w:r>
        <w:t xml:space="preserve"/>
      </w:r>
    </w:p>
    <w:p>
      <w:pPr>
        <w:spacing w:before="200" w:after="80"/>
      </w:pPr>
      <w:r>
        <w:rPr>
          <w:rFonts w:ascii="Arial" w:cs="Arial" w:eastAsia="Arial" w:hAnsi="Arial"/>
          <w:b/>
          <w:bCs/>
          <w:color w:val="1D6E6E"/>
          <w:sz w:val="22"/>
          <w:szCs w:val="22"/>
        </w:rPr>
        <w:t xml:space="preserve">Secondary Risk Factors</w:t>
      </w:r>
    </w:p>
    <w:p>
      <w:pPr>
        <w:spacing w:before="60" w:after="100"/>
        <w:jc w:val="left"/>
      </w:pPr>
      <w:r>
        <w:rPr>
          <w:rFonts w:ascii="Arial" w:cs="Arial" w:eastAsia="Arial" w:hAnsi="Arial"/>
          <w:b w:val="false"/>
          <w:bCs w:val="false"/>
          <w:color w:val="000000"/>
          <w:sz w:val="20"/>
          <w:szCs w:val="20"/>
        </w:rPr>
        <w:t xml:space="preserve">Three secondary risks accumulate in the background:</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 Category</w:t>
            </w:r>
          </w:p>
        </w:tc>
        <w:tc>
          <w:tcPr>
            <w:tcW w:type="dxa" w:w="636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Internal Equity Erosion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Pay compression and inconsistent leveling create visible disparities, generating internal complaints and eroding trust in the People function.</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Pay Equity Exposure</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Without systematic monitoring, unexplained compensation gaps by demographic category accumulate undocumented and unaddressed.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Leadership Visibility Gap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reliable answer exists to 'Are we paying at the right market position?' between annual consultant refresh cycles.</w:t>
            </w:r>
          </w:p>
        </w:tc>
      </w:tr>
    </w:tbl>
    <w:p>
      <w:pPr>
        <w:spacing w:before="0" w:after="120"/>
      </w:pPr>
      <w:r>
        <w:t xml:space="preserve"/>
      </w:r>
    </w:p>
    <w:p>
      <w:pPr>
        <w:spacing w:before="200" w:after="80"/>
      </w:pPr>
      <w:r>
        <w:rPr>
          <w:rFonts w:ascii="Arial" w:cs="Arial" w:eastAsia="Arial" w:hAnsi="Arial"/>
          <w:b/>
          <w:bCs/>
          <w:color w:val="1D6E6E"/>
          <w:sz w:val="22"/>
          <w:szCs w:val="22"/>
        </w:rPr>
        <w:t xml:space="preserve">Cost of Inaction</w:t>
      </w:r>
    </w:p>
    <w:p>
      <w:pPr>
        <w:spacing w:before="60" w:after="100"/>
        <w:jc w:val="left"/>
      </w:pPr>
      <w:r>
        <w:rPr>
          <w:rFonts w:ascii="Arial" w:cs="Arial" w:eastAsia="Arial" w:hAnsi="Arial"/>
          <w:b w:val="false"/>
          <w:bCs w:val="false"/>
          <w:color w:val="000000"/>
          <w:sz w:val="20"/>
          <w:szCs w:val="20"/>
        </w:rPr>
        <w:t xml:space="preserve">The cost of inaction is measurable: slower time-to-fill, higher offer decline rates, exception-driven budget distortion, and growing compliance and reputational risk from undocumented pay decisions.</w:t>
      </w:r>
    </w:p>
    <w:p>
      <w:pPr>
        <w:pageBreakBefore/>
      </w:pPr>
      <w:r>
        <w:rPr>
          <w:rFonts w:ascii="Arial" w:cs="Arial" w:eastAsia="Arial" w:hAnsi="Arial"/>
        </w:rPr>
        <w:t xml:space="preserve"/>
      </w:r>
    </w:p>
    <w:p>
      <w:pPr>
        <w:pStyle w:val="Heading1"/>
        <w:pBdr>
          <w:bottom w:val="single" w:color="2E5FAC" w:sz="6" w:space="4"/>
        </w:pBdr>
        <w:spacing w:before="400" w:after="160"/>
      </w:pPr>
      <w:r>
        <w:rPr>
          <w:rFonts w:ascii="Arial" w:cs="Arial" w:eastAsia="Arial" w:hAnsi="Arial"/>
          <w:b/>
          <w:bCs/>
          <w:color w:val="1F3864"/>
          <w:sz w:val="32"/>
          <w:szCs w:val="32"/>
        </w:rPr>
        <w:t xml:space="preserve">2.  Project Objectives</w:t>
      </w:r>
    </w:p>
    <w:p>
      <w:pPr>
        <w:spacing w:before="60" w:after="100"/>
        <w:jc w:val="left"/>
      </w:pPr>
      <w:r>
        <w:rPr>
          <w:rFonts w:ascii="Arial" w:cs="Arial" w:eastAsia="Arial" w:hAnsi="Arial"/>
          <w:b w:val="false"/>
          <w:bCs w:val="false"/>
          <w:color w:val="000000"/>
          <w:sz w:val="20"/>
          <w:szCs w:val="20"/>
        </w:rPr>
        <w:t xml:space="preserve">Each objective is defined by an outcome, a measurable success indicator, and a primary beneficiary. Objectives are designed to be traceable to functional requirements in Section 5.</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8"/>
              <w:left w:val="single" w:color="2E5FAC" w:sz="8"/>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1F3864"/>
                <w:sz w:val="22"/>
                <w:szCs w:val="22"/>
              </w:rPr>
              <w:t xml:space="preserve">OBJ-01  —  </w:t>
            </w:r>
            <w:r>
              <w:rPr>
                <w:rFonts w:ascii="Arial" w:cs="Arial" w:eastAsia="Arial" w:hAnsi="Arial"/>
                <w:b/>
                <w:bCs/>
                <w:color w:val="2E5FAC"/>
                <w:sz w:val="22"/>
                <w:szCs w:val="22"/>
              </w:rPr>
              <w:t xml:space="preserve">Reduce Offer Decision Latency</w:t>
            </w:r>
          </w:p>
        </w:tc>
      </w:tr>
      <w:tr>
        <w:tc>
          <w:tcPr>
            <w:tcW w:type="dxa" w:w="9360"/>
            <w:tcBorders>
              <w:top w:val="single" w:color="CCCCCC" w:sz="1"/>
              <w:left w:val="single" w:color="2E5FAC" w:sz="8"/>
              <w:bottom w:val="single" w:color="CCCCCC" w:sz="1"/>
              <w:right w:val="single" w:color="CCCCCC" w:sz="1"/>
            </w:tcBorders>
            <w:shd w:fill="FFFFFF" w:val="clear"/>
            <w:tcMar>
              <w:top w:type="dxa" w:w="80"/>
              <w:left w:type="dxa" w:w="160"/>
              <w:bottom w:type="dxa" w:w="80"/>
              <w:right w:type="dxa" w:w="160"/>
            </w:tcMar>
          </w:tcPr>
          <w:p>
            <w:pPr>
              <w:spacing w:after="80"/>
            </w:pPr>
            <w:r>
              <w:rPr>
                <w:rFonts w:ascii="Arial" w:cs="Arial" w:eastAsia="Arial" w:hAnsi="Arial"/>
                <w:sz w:val="20"/>
                <w:szCs w:val="20"/>
              </w:rPr>
              <w:t xml:space="preserve">Enable recruiters and hiring managers to retrieve a defensible market range for any role, level, and US location in under 2 minutes, replacing a process that currently has no consistent timeline.</w:t>
            </w:r>
          </w:p>
          <w:p>
            <w:pPr>
              <w:spacing w:after="60"/>
            </w:pPr>
            <w:r>
              <w:rPr>
                <w:rFonts w:ascii="Arial" w:cs="Arial" w:eastAsia="Arial" w:hAnsi="Arial"/>
                <w:b/>
                <w:bCs/>
                <w:color w:val="1D6E6E"/>
                <w:sz w:val="18"/>
                <w:szCs w:val="18"/>
              </w:rPr>
              <w:t xml:space="preserve">Success Indicator: </w:t>
            </w:r>
            <w:r>
              <w:rPr>
                <w:rFonts w:ascii="Arial" w:cs="Arial" w:eastAsia="Arial" w:hAnsi="Arial"/>
                <w:i/>
                <w:iCs/>
                <w:color w:val="595959"/>
                <w:sz w:val="18"/>
                <w:szCs w:val="18"/>
              </w:rPr>
              <w:t xml:space="preserve">A recruiter can open the dashboard, filter to role + level + city, and see a BLS-anchored range without leaving the tool or waiting for approval.</w:t>
            </w:r>
          </w:p>
          <w:p>
            <w:r>
              <w:rPr>
                <w:rFonts w:ascii="Arial" w:cs="Arial" w:eastAsia="Arial" w:hAnsi="Arial"/>
                <w:b/>
                <w:bCs/>
                <w:color w:val="1D6E6E"/>
                <w:sz w:val="18"/>
                <w:szCs w:val="18"/>
              </w:rPr>
              <w:t xml:space="preserve">Primary Beneficiary: </w:t>
            </w:r>
            <w:r>
              <w:rPr>
                <w:rFonts w:ascii="Arial" w:cs="Arial" w:eastAsia="Arial" w:hAnsi="Arial"/>
                <w:color w:val="595959"/>
                <w:sz w:val="18"/>
                <w:szCs w:val="18"/>
              </w:rPr>
              <w:t xml:space="preserve">Recruiting / Talent Acquisition, Hiring Managers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8"/>
              <w:left w:val="single" w:color="2E5FAC" w:sz="8"/>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1F3864"/>
                <w:sz w:val="22"/>
                <w:szCs w:val="22"/>
              </w:rPr>
              <w:t xml:space="preserve">OBJ-02  —  </w:t>
            </w:r>
            <w:r>
              <w:rPr>
                <w:rFonts w:ascii="Arial" w:cs="Arial" w:eastAsia="Arial" w:hAnsi="Arial"/>
                <w:b/>
                <w:bCs/>
                <w:color w:val="2E5FAC"/>
                <w:sz w:val="22"/>
                <w:szCs w:val="22"/>
              </w:rPr>
              <w:t xml:space="preserve">Establish a Single Source of Truth for Market Benchmarking</w:t>
            </w:r>
          </w:p>
        </w:tc>
      </w:tr>
      <w:tr>
        <w:tc>
          <w:tcPr>
            <w:tcW w:type="dxa" w:w="9360"/>
            <w:tcBorders>
              <w:top w:val="single" w:color="CCCCCC" w:sz="1"/>
              <w:left w:val="single" w:color="2E5FAC" w:sz="8"/>
              <w:bottom w:val="single" w:color="CCCCCC" w:sz="1"/>
              <w:right w:val="single" w:color="CCCCCC" w:sz="1"/>
            </w:tcBorders>
            <w:shd w:fill="FFFFFF" w:val="clear"/>
            <w:tcMar>
              <w:top w:type="dxa" w:w="80"/>
              <w:left w:type="dxa" w:w="160"/>
              <w:bottom w:type="dxa" w:w="80"/>
              <w:right w:type="dxa" w:w="160"/>
            </w:tcMar>
          </w:tcPr>
          <w:p>
            <w:pPr>
              <w:spacing w:after="80"/>
            </w:pPr>
            <w:r>
              <w:rPr>
                <w:rFonts w:ascii="Arial" w:cs="Arial" w:eastAsia="Arial" w:hAnsi="Arial"/>
                <w:sz w:val="20"/>
                <w:szCs w:val="20"/>
              </w:rPr>
              <w:t xml:space="preserve">Replace ad hoc, survey-dependent benchmarking with a continuously refreshable data pipeline that pulls BLS OEWS data into a structured PostgreSQL database, aligned to TechNova's internal job families and levels.</w:t>
            </w:r>
          </w:p>
          <w:p>
            <w:pPr>
              <w:spacing w:after="60"/>
            </w:pPr>
            <w:r>
              <w:rPr>
                <w:rFonts w:ascii="Arial" w:cs="Arial" w:eastAsia="Arial" w:hAnsi="Arial"/>
                <w:b/>
                <w:bCs/>
                <w:color w:val="1D6E6E"/>
                <w:sz w:val="18"/>
                <w:szCs w:val="18"/>
              </w:rPr>
              <w:t xml:space="preserve">Success Indicator: </w:t>
            </w:r>
            <w:r>
              <w:rPr>
                <w:rFonts w:ascii="Arial" w:cs="Arial" w:eastAsia="Arial" w:hAnsi="Arial"/>
                <w:i/>
                <w:iCs/>
                <w:color w:val="595959"/>
                <w:sz w:val="18"/>
                <w:szCs w:val="18"/>
              </w:rPr>
              <w:t xml:space="preserve">One authoritative dataset backing every compensation decision, with a documented job-to-BLS-code mapping.</w:t>
            </w:r>
          </w:p>
          <w:p>
            <w:r>
              <w:rPr>
                <w:rFonts w:ascii="Arial" w:cs="Arial" w:eastAsia="Arial" w:hAnsi="Arial"/>
                <w:b/>
                <w:bCs/>
                <w:color w:val="1D6E6E"/>
                <w:sz w:val="18"/>
                <w:szCs w:val="18"/>
              </w:rPr>
              <w:t xml:space="preserve">Primary Beneficiary: </w:t>
            </w:r>
            <w:r>
              <w:rPr>
                <w:rFonts w:ascii="Arial" w:cs="Arial" w:eastAsia="Arial" w:hAnsi="Arial"/>
                <w:color w:val="595959"/>
                <w:sz w:val="18"/>
                <w:szCs w:val="18"/>
              </w:rPr>
              <w:t xml:space="preserve">Total Rewards / Compensation Analyst, HR Leadership</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8"/>
              <w:left w:val="single" w:color="2E5FAC" w:sz="8"/>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1F3864"/>
                <w:sz w:val="22"/>
                <w:szCs w:val="22"/>
              </w:rPr>
              <w:t xml:space="preserve">OBJ-03  —  </w:t>
            </w:r>
            <w:r>
              <w:rPr>
                <w:rFonts w:ascii="Arial" w:cs="Arial" w:eastAsia="Arial" w:hAnsi="Arial"/>
                <w:b/>
                <w:bCs/>
                <w:color w:val="2E5FAC"/>
                <w:sz w:val="22"/>
                <w:szCs w:val="22"/>
              </w:rPr>
              <w:t xml:space="preserve">Surface Internal Pay Gaps Against Market</w:t>
            </w:r>
          </w:p>
        </w:tc>
      </w:tr>
      <w:tr>
        <w:tc>
          <w:tcPr>
            <w:tcW w:type="dxa" w:w="9360"/>
            <w:tcBorders>
              <w:top w:val="single" w:color="CCCCCC" w:sz="1"/>
              <w:left w:val="single" w:color="2E5FAC" w:sz="8"/>
              <w:bottom w:val="single" w:color="CCCCCC" w:sz="1"/>
              <w:right w:val="single" w:color="CCCCCC" w:sz="1"/>
            </w:tcBorders>
            <w:shd w:fill="FFFFFF" w:val="clear"/>
            <w:tcMar>
              <w:top w:type="dxa" w:w="80"/>
              <w:left w:type="dxa" w:w="160"/>
              <w:bottom w:type="dxa" w:w="80"/>
              <w:right w:type="dxa" w:w="160"/>
            </w:tcMar>
          </w:tcPr>
          <w:p>
            <w:pPr>
              <w:spacing w:after="80"/>
            </w:pPr>
            <w:r>
              <w:rPr>
                <w:rFonts w:ascii="Arial" w:cs="Arial" w:eastAsia="Arial" w:hAnsi="Arial"/>
                <w:sz w:val="20"/>
                <w:szCs w:val="20"/>
              </w:rPr>
              <w:t xml:space="preserve">Enable HR and Total Rewards to compare internal salary data against BLS benchmarks by job family, and automatically flag roles where internal pay falls below the 25th percentile market threshold.</w:t>
            </w:r>
          </w:p>
          <w:p>
            <w:pPr>
              <w:spacing w:after="60"/>
            </w:pPr>
            <w:r>
              <w:rPr>
                <w:rFonts w:ascii="Arial" w:cs="Arial" w:eastAsia="Arial" w:hAnsi="Arial"/>
                <w:b/>
                <w:bCs/>
                <w:color w:val="1D6E6E"/>
                <w:sz w:val="18"/>
                <w:szCs w:val="18"/>
              </w:rPr>
              <w:t xml:space="preserve">Success Indicator: </w:t>
            </w:r>
            <w:r>
              <w:rPr>
                <w:rFonts w:ascii="Arial" w:cs="Arial" w:eastAsia="Arial" w:hAnsi="Arial"/>
                <w:i/>
                <w:iCs/>
                <w:color w:val="595959"/>
                <w:sz w:val="18"/>
                <w:szCs w:val="18"/>
              </w:rPr>
              <w:t xml:space="preserve">A flagging view in the dashboard that requires no manual calculation.</w:t>
            </w:r>
          </w:p>
          <w:p>
            <w:r>
              <w:rPr>
                <w:rFonts w:ascii="Arial" w:cs="Arial" w:eastAsia="Arial" w:hAnsi="Arial"/>
                <w:b/>
                <w:bCs/>
                <w:color w:val="1D6E6E"/>
                <w:sz w:val="18"/>
                <w:szCs w:val="18"/>
              </w:rPr>
              <w:t xml:space="preserve">Primary Beneficiary: </w:t>
            </w:r>
            <w:r>
              <w:rPr>
                <w:rFonts w:ascii="Arial" w:cs="Arial" w:eastAsia="Arial" w:hAnsi="Arial"/>
                <w:color w:val="595959"/>
                <w:sz w:val="18"/>
                <w:szCs w:val="18"/>
              </w:rPr>
              <w:t xml:space="preserve">Total Rewards, HRBP</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8"/>
              <w:left w:val="single" w:color="2E5FAC" w:sz="8"/>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1F3864"/>
                <w:sz w:val="22"/>
                <w:szCs w:val="22"/>
              </w:rPr>
              <w:t xml:space="preserve">OBJ-04  —  </w:t>
            </w:r>
            <w:r>
              <w:rPr>
                <w:rFonts w:ascii="Arial" w:cs="Arial" w:eastAsia="Arial" w:hAnsi="Arial"/>
                <w:b/>
                <w:bCs/>
                <w:color w:val="2E5FAC"/>
                <w:sz w:val="22"/>
                <w:szCs w:val="22"/>
              </w:rPr>
              <w:t xml:space="preserve">Create a Repeatable Pay Equity Monitoring Capability</w:t>
            </w:r>
          </w:p>
        </w:tc>
      </w:tr>
      <w:tr>
        <w:tc>
          <w:tcPr>
            <w:tcW w:type="dxa" w:w="9360"/>
            <w:tcBorders>
              <w:top w:val="single" w:color="CCCCCC" w:sz="1"/>
              <w:left w:val="single" w:color="2E5FAC" w:sz="8"/>
              <w:bottom w:val="single" w:color="CCCCCC" w:sz="1"/>
              <w:right w:val="single" w:color="CCCCCC" w:sz="1"/>
            </w:tcBorders>
            <w:shd w:fill="FFFFFF" w:val="clear"/>
            <w:tcMar>
              <w:top w:type="dxa" w:w="80"/>
              <w:left w:type="dxa" w:w="160"/>
              <w:bottom w:type="dxa" w:w="80"/>
              <w:right w:type="dxa" w:w="160"/>
            </w:tcMar>
          </w:tcPr>
          <w:p>
            <w:pPr>
              <w:spacing w:after="80"/>
            </w:pPr>
            <w:r>
              <w:rPr>
                <w:rFonts w:ascii="Arial" w:cs="Arial" w:eastAsia="Arial" w:hAnsi="Arial"/>
                <w:sz w:val="20"/>
                <w:szCs w:val="20"/>
              </w:rPr>
              <w:t xml:space="preserve">Deliver a pay equity analysis module that identifies statistically significant compensation gaps by demographic category, providing documentation that supports audit defensibility and proactive remediation.</w:t>
            </w:r>
          </w:p>
          <w:p>
            <w:pPr>
              <w:spacing w:after="60"/>
            </w:pPr>
            <w:r>
              <w:rPr>
                <w:rFonts w:ascii="Arial" w:cs="Arial" w:eastAsia="Arial" w:hAnsi="Arial"/>
                <w:b/>
                <w:bCs/>
                <w:color w:val="1D6E6E"/>
                <w:sz w:val="18"/>
                <w:szCs w:val="18"/>
              </w:rPr>
              <w:t xml:space="preserve">Success Indicator: </w:t>
            </w:r>
            <w:r>
              <w:rPr>
                <w:rFonts w:ascii="Arial" w:cs="Arial" w:eastAsia="Arial" w:hAnsi="Arial"/>
                <w:i/>
                <w:iCs/>
                <w:color w:val="595959"/>
                <w:sz w:val="18"/>
                <w:szCs w:val="18"/>
              </w:rPr>
              <w:t xml:space="preserve">The module produces a flagged output that HR can act on or escalate. Framed as a monitoring tool, not a legal compliance determination.</w:t>
            </w:r>
          </w:p>
          <w:p>
            <w:r>
              <w:rPr>
                <w:rFonts w:ascii="Arial" w:cs="Arial" w:eastAsia="Arial" w:hAnsi="Arial"/>
                <w:b/>
                <w:bCs/>
                <w:color w:val="1D6E6E"/>
                <w:sz w:val="18"/>
                <w:szCs w:val="18"/>
              </w:rPr>
              <w:t xml:space="preserve">Primary Beneficiary: </w:t>
            </w:r>
            <w:r>
              <w:rPr>
                <w:rFonts w:ascii="Arial" w:cs="Arial" w:eastAsia="Arial" w:hAnsi="Arial"/>
                <w:color w:val="595959"/>
                <w:sz w:val="18"/>
                <w:szCs w:val="18"/>
              </w:rPr>
              <w:t xml:space="preserve">CHRO, Total Rewards, Finance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8"/>
              <w:left w:val="single" w:color="2E5FAC" w:sz="8"/>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1F3864"/>
                <w:sz w:val="22"/>
                <w:szCs w:val="22"/>
              </w:rPr>
              <w:t xml:space="preserve">OBJ-05  —  </w:t>
            </w:r>
            <w:r>
              <w:rPr>
                <w:rFonts w:ascii="Arial" w:cs="Arial" w:eastAsia="Arial" w:hAnsi="Arial"/>
                <w:b/>
                <w:bCs/>
                <w:color w:val="2E5FAC"/>
                <w:sz w:val="22"/>
                <w:szCs w:val="22"/>
              </w:rPr>
              <w:t xml:space="preserve">Produce a Portfolio-Grade Full-Stack Deliverable</w:t>
            </w:r>
          </w:p>
        </w:tc>
      </w:tr>
      <w:tr>
        <w:tc>
          <w:tcPr>
            <w:tcW w:type="dxa" w:w="9360"/>
            <w:tcBorders>
              <w:top w:val="single" w:color="CCCCCC" w:sz="1"/>
              <w:left w:val="single" w:color="2E5FAC" w:sz="8"/>
              <w:bottom w:val="single" w:color="CCCCCC" w:sz="1"/>
              <w:right w:val="single" w:color="CCCCCC" w:sz="1"/>
            </w:tcBorders>
            <w:shd w:fill="FFFFFF" w:val="clear"/>
            <w:tcMar>
              <w:top w:type="dxa" w:w="80"/>
              <w:left w:type="dxa" w:w="160"/>
              <w:bottom w:type="dxa" w:w="80"/>
              <w:right w:type="dxa" w:w="160"/>
            </w:tcMar>
          </w:tcPr>
          <w:p>
            <w:pPr>
              <w:spacing w:after="80"/>
            </w:pPr>
            <w:r>
              <w:rPr>
                <w:rFonts w:ascii="Arial" w:cs="Arial" w:eastAsia="Arial" w:hAnsi="Arial"/>
                <w:sz w:val="20"/>
                <w:szCs w:val="20"/>
              </w:rPr>
              <w:t xml:space="preserve">Demonstrate end-to-end BA and technical capability through five integrated artifacts: a BABOK-aligned FRD, an OpenAPI/Swagger spec for the BLS integration, a UML sequence diagram, a populated PostgreSQL schema with data dictionary, and a published Power BI report.</w:t>
            </w:r>
          </w:p>
          <w:p>
            <w:pPr>
              <w:spacing w:after="60"/>
            </w:pPr>
            <w:r>
              <w:rPr>
                <w:rFonts w:ascii="Arial" w:cs="Arial" w:eastAsia="Arial" w:hAnsi="Arial"/>
                <w:b/>
                <w:bCs/>
                <w:color w:val="1D6E6E"/>
                <w:sz w:val="18"/>
                <w:szCs w:val="18"/>
              </w:rPr>
              <w:t xml:space="preserve">Success Indicator: </w:t>
            </w:r>
            <w:r>
              <w:rPr>
                <w:rFonts w:ascii="Arial" w:cs="Arial" w:eastAsia="Arial" w:hAnsi="Arial"/>
                <w:i/>
                <w:iCs/>
                <w:color w:val="595959"/>
                <w:sz w:val="18"/>
                <w:szCs w:val="18"/>
              </w:rPr>
              <w:t xml:space="preserve">All five artifacts present in portfolio with clear traceability from requirements to implementation.</w:t>
            </w:r>
          </w:p>
          <w:p>
            <w:r>
              <w:rPr>
                <w:rFonts w:ascii="Arial" w:cs="Arial" w:eastAsia="Arial" w:hAnsi="Arial"/>
                <w:b/>
                <w:bCs/>
                <w:color w:val="1D6E6E"/>
                <w:sz w:val="18"/>
                <w:szCs w:val="18"/>
              </w:rPr>
              <w:t xml:space="preserve">Primary Beneficiary: </w:t>
            </w:r>
            <w:r>
              <w:rPr>
                <w:rFonts w:ascii="Arial" w:cs="Arial" w:eastAsia="Arial" w:hAnsi="Arial"/>
                <w:color w:val="595959"/>
                <w:sz w:val="18"/>
                <w:szCs w:val="18"/>
              </w:rPr>
              <w:t xml:space="preserve">Project Owner / Portfolio</w:t>
            </w:r>
          </w:p>
        </w:tc>
      </w:tr>
    </w:tbl>
    <w:p>
      <w:pPr>
        <w:spacing w:before="0" w:after="120"/>
      </w:pPr>
      <w:r>
        <w:t xml:space="preserve"/>
      </w:r>
    </w:p>
    <w:p>
      <w:pPr>
        <w:pageBreakBefore/>
      </w:pPr>
      <w:r>
        <w:rPr>
          <w:rFonts w:ascii="Arial" w:cs="Arial" w:eastAsia="Arial" w:hAnsi="Arial"/>
        </w:rPr>
        <w:t xml:space="preserve"/>
      </w:r>
    </w:p>
    <w:p>
      <w:pPr>
        <w:pStyle w:val="Heading1"/>
        <w:pBdr>
          <w:bottom w:val="single" w:color="2E5FAC" w:sz="6" w:space="4"/>
        </w:pBdr>
        <w:spacing w:before="400" w:after="160"/>
      </w:pPr>
      <w:r>
        <w:rPr>
          <w:rFonts w:ascii="Arial" w:cs="Arial" w:eastAsia="Arial" w:hAnsi="Arial"/>
          <w:b/>
          <w:bCs/>
          <w:color w:val="1F3864"/>
          <w:sz w:val="32"/>
          <w:szCs w:val="32"/>
        </w:rPr>
        <w:t xml:space="preserve">3.  Stakeholder Map</w:t>
      </w:r>
    </w:p>
    <w:p>
      <w:pPr>
        <w:spacing w:before="60" w:after="100"/>
        <w:jc w:val="left"/>
      </w:pPr>
      <w:r>
        <w:rPr>
          <w:rFonts w:ascii="Arial" w:cs="Arial" w:eastAsia="Arial" w:hAnsi="Arial"/>
          <w:b w:val="false"/>
          <w:bCs w:val="false"/>
          <w:color w:val="000000"/>
          <w:sz w:val="20"/>
          <w:szCs w:val="20"/>
        </w:rPr>
        <w:t xml:space="preserve">Stakeholders are classified by Role, Interest, Influence, and Engagement Need. This framework distinguishes between users who consume data, contributors who supply data, approvers who must trust the system before acting on it, and risk owners who are exposed if the system is wrong.</w:t>
      </w:r>
    </w:p>
    <w:p>
      <w:pPr>
        <w:spacing w:before="0" w:after="80"/>
      </w:pPr>
      <w:r>
        <w:t xml:space="preserve"/>
      </w:r>
    </w:p>
    <w:p>
      <w:pPr>
        <w:pStyle w:val="Heading2"/>
        <w:spacing w:before="280" w:after="120"/>
      </w:pPr>
      <w:r>
        <w:rPr>
          <w:rFonts w:ascii="Arial" w:cs="Arial" w:eastAsia="Arial" w:hAnsi="Arial"/>
          <w:b/>
          <w:bCs/>
          <w:color w:val="2E5FAC"/>
          <w:sz w:val="26"/>
          <w:szCs w:val="26"/>
        </w:rPr>
        <w:t xml:space="preserve">3.1  Tier 1 — Primary Sponsor</w:t>
      </w:r>
    </w:p>
    <w:p>
      <w:pPr>
        <w:spacing w:before="200" w:after="80"/>
      </w:pPr>
      <w:r>
        <w:rPr>
          <w:rFonts w:ascii="Arial" w:cs="Arial" w:eastAsia="Arial" w:hAnsi="Arial"/>
          <w:b/>
          <w:bCs/>
          <w:color w:val="1D6E6E"/>
          <w:sz w:val="22"/>
          <w:szCs w:val="22"/>
        </w:rPr>
        <w:t xml:space="preserve">CHRO — Chief Human Resources Officer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Dimension</w:t>
            </w:r>
          </w:p>
        </w:tc>
        <w:tc>
          <w:tcPr>
            <w:tcW w:type="dxa" w:w="716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Interest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Needs confidence that TechNova's pay positioning supports retention and hiring goals, and that the organization has defensible documentation if pay equity is ever scrutinized.</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Influence</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Highest — controls budget, mandates usage, and sets HR priorities.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Engagement Need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Must see the dashboard as reducing organizational risk, not just adding a new tool. The executive summary view and pay equity flagging module are designed for this audience. Requires periodic briefing, not daily use.</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Risk if Disengaged</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Dashboard gets built and never institutionalized. Decisions continue ad hoc.</w:t>
            </w:r>
          </w:p>
        </w:tc>
      </w:tr>
    </w:tbl>
    <w:p>
      <w:pPr>
        <w:spacing w:before="0" w:after="120"/>
      </w:pPr>
      <w:r>
        <w:t xml:space="preserve"/>
      </w:r>
    </w:p>
    <w:p>
      <w:pPr>
        <w:pStyle w:val="Heading2"/>
        <w:spacing w:before="280" w:after="120"/>
      </w:pPr>
      <w:r>
        <w:rPr>
          <w:rFonts w:ascii="Arial" w:cs="Arial" w:eastAsia="Arial" w:hAnsi="Arial"/>
          <w:b/>
          <w:bCs/>
          <w:color w:val="2E5FAC"/>
          <w:sz w:val="26"/>
          <w:szCs w:val="26"/>
        </w:rPr>
        <w:t xml:space="preserve">3.2  Tier 2 — Primary Users</w:t>
      </w:r>
    </w:p>
    <w:p>
      <w:pPr>
        <w:spacing w:before="200" w:after="80"/>
      </w:pPr>
      <w:r>
        <w:rPr>
          <w:rFonts w:ascii="Arial" w:cs="Arial" w:eastAsia="Arial" w:hAnsi="Arial"/>
          <w:b/>
          <w:bCs/>
          <w:color w:val="1D6E6E"/>
          <w:sz w:val="22"/>
          <w:szCs w:val="22"/>
        </w:rPr>
        <w:t xml:space="preserve">Total Rewards / Compensation Analyst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Dimension</w:t>
            </w:r>
          </w:p>
        </w:tc>
        <w:tc>
          <w:tcPr>
            <w:tcW w:type="dxa" w:w="716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Interest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Owns the benchmarking methodology. Needs to trust the BLS-to-job-family mapping and validate that the pipeline is producing accurate, current data.</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Influence</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Medium-High — acts as internal gatekeeper for data credibility.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Engagement Need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Deeply involved in requirements validation, job code mapping decisions, and UAT. Effective subject matter expert (SME) and co-author of the data dictionary.</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Risk if Disengaged</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Methodology gets challenged and there is no internal champion to defend it.</w:t>
            </w:r>
          </w:p>
        </w:tc>
      </w:tr>
    </w:tbl>
    <w:p>
      <w:pPr>
        <w:spacing w:before="0" w:after="120"/>
      </w:pPr>
      <w:r>
        <w:t xml:space="preserve"/>
      </w:r>
    </w:p>
    <w:p>
      <w:pPr>
        <w:spacing w:before="200" w:after="80"/>
      </w:pPr>
      <w:r>
        <w:rPr>
          <w:rFonts w:ascii="Arial" w:cs="Arial" w:eastAsia="Arial" w:hAnsi="Arial"/>
          <w:b/>
          <w:bCs/>
          <w:color w:val="1D6E6E"/>
          <w:sz w:val="22"/>
          <w:szCs w:val="22"/>
        </w:rPr>
        <w:t xml:space="preserve">HRBP — HR Business Partner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Dimension</w:t>
            </w:r>
          </w:p>
        </w:tc>
        <w:tc>
          <w:tcPr>
            <w:tcW w:type="dxa" w:w="716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Interest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Handles internal pay complaints and leveling disputes. Needs fast access to market range by role, level, and city without manual calculation.</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Influence</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 influences adoption across business units.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Engagement Need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Key voice in defining filter UX and the flagging threshold logic. Must be included in UAT.</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Risk if Disengaged</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Dashboard gets used by Total Rewards only — never operationalized across HR.</w:t>
            </w:r>
          </w:p>
        </w:tc>
      </w:tr>
    </w:tbl>
    <w:p>
      <w:pPr>
        <w:spacing w:before="0" w:after="120"/>
      </w:pPr>
      <w:r>
        <w:t xml:space="preserve"/>
      </w:r>
    </w:p>
    <w:p>
      <w:pPr>
        <w:spacing w:before="200" w:after="80"/>
      </w:pPr>
      <w:r>
        <w:rPr>
          <w:rFonts w:ascii="Arial" w:cs="Arial" w:eastAsia="Arial" w:hAnsi="Arial"/>
          <w:b/>
          <w:bCs/>
          <w:color w:val="1D6E6E"/>
          <w:sz w:val="22"/>
          <w:szCs w:val="22"/>
        </w:rPr>
        <w:t xml:space="preserve">Recruiter / Talent Acquisition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Dimension</w:t>
            </w:r>
          </w:p>
        </w:tc>
        <w:tc>
          <w:tcPr>
            <w:tcW w:type="dxa" w:w="716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Interest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Front-line user. Needs a market range in under 2 minutes during an active offer conversation. Speed and clarity matter more than analytical depth.</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Influence</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Low-Medium — high-volume user whose adoption signals real-world utility.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Engagement Need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Should be included in UAT to validate the sub-2-minute use case against real recruiter workflow.</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Risk if Disengaged</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OBJ-01 (primary use case) never gets validated against real recruiter workflow.</w:t>
            </w:r>
          </w:p>
        </w:tc>
      </w:tr>
    </w:tbl>
    <w:p>
      <w:pPr>
        <w:spacing w:before="0" w:after="120"/>
      </w:pPr>
      <w:r>
        <w:t xml:space="preserve"/>
      </w:r>
    </w:p>
    <w:p>
      <w:pPr>
        <w:pStyle w:val="Heading2"/>
        <w:spacing w:before="280" w:after="120"/>
      </w:pPr>
      <w:r>
        <w:rPr>
          <w:rFonts w:ascii="Arial" w:cs="Arial" w:eastAsia="Arial" w:hAnsi="Arial"/>
          <w:b/>
          <w:bCs/>
          <w:color w:val="2E5FAC"/>
          <w:sz w:val="26"/>
          <w:szCs w:val="26"/>
        </w:rPr>
        <w:t xml:space="preserve">3.3  Tier 3 — Secondary Stakeholders</w:t>
      </w:r>
    </w:p>
    <w:p>
      <w:pPr>
        <w:spacing w:before="200" w:after="80"/>
      </w:pPr>
      <w:r>
        <w:rPr>
          <w:rFonts w:ascii="Arial" w:cs="Arial" w:eastAsia="Arial" w:hAnsi="Arial"/>
          <w:b/>
          <w:bCs/>
          <w:color w:val="1D6E6E"/>
          <w:sz w:val="22"/>
          <w:szCs w:val="22"/>
        </w:rPr>
        <w:t xml:space="preserve">Finance / FP&amp;A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Dimension</w:t>
            </w:r>
          </w:p>
        </w:tc>
        <w:tc>
          <w:tcPr>
            <w:tcW w:type="dxa" w:w="716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Interest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Wants visibility into compensation exceptions, budget drift, and whether pay ranges are being honored. More interested in aggregate trends than daily benchmarking.</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Influence</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Medium-High — controls budget approval and has veto power if the project looks like a compliance liability.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Engagement Need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Periodic reporting view. Needs assurance that the pay equity module is framed as monitoring, not a legal conclusion.</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Risk if Disengaged</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Budget resistance or late-stage scope challenges around the equity module.</w:t>
            </w:r>
          </w:p>
        </w:tc>
      </w:tr>
    </w:tbl>
    <w:p>
      <w:pPr>
        <w:spacing w:before="0" w:after="120"/>
      </w:pPr>
      <w:r>
        <w:t xml:space="preserve"/>
      </w:r>
    </w:p>
    <w:p>
      <w:pPr>
        <w:pStyle w:val="Heading2"/>
        <w:spacing w:before="280" w:after="120"/>
      </w:pPr>
      <w:r>
        <w:rPr>
          <w:rFonts w:ascii="Arial" w:cs="Arial" w:eastAsia="Arial" w:hAnsi="Arial"/>
          <w:b/>
          <w:bCs/>
          <w:color w:val="2E5FAC"/>
          <w:sz w:val="26"/>
          <w:szCs w:val="26"/>
        </w:rPr>
        <w:t xml:space="preserve">3.4  Tier 4 — External / System Stakeholders</w:t>
      </w:r>
    </w:p>
    <w:p>
      <w:pPr>
        <w:spacing w:before="200" w:after="80"/>
      </w:pPr>
      <w:r>
        <w:rPr>
          <w:rFonts w:ascii="Arial" w:cs="Arial" w:eastAsia="Arial" w:hAnsi="Arial"/>
          <w:b/>
          <w:bCs/>
          <w:color w:val="1D6E6E"/>
          <w:sz w:val="22"/>
          <w:szCs w:val="22"/>
        </w:rPr>
        <w:t xml:space="preserve">Bureau of Labor Statistics (BLS) — External Data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Dimension</w:t>
            </w:r>
          </w:p>
        </w:tc>
        <w:tc>
          <w:tcPr>
            <w:tcW w:type="dxa" w:w="716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Interest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None — this is a public API with no relationship to manage.</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Influence</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 dependency risk. API rate limits, schema changes, or data release schedules directly affect pipeline reliability.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Engagement Need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Documented in the OpenAPI/Swagger spec. Monitored via pipeline error handling and version tracking.</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Risk if Disengaged</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N/A — monitored as a technical dependency, not managed as a relationship.</w:t>
            </w:r>
          </w:p>
        </w:tc>
      </w:tr>
    </w:tbl>
    <w:p>
      <w:pPr>
        <w:spacing w:before="0" w:after="120"/>
      </w:pPr>
      <w:r>
        <w:t xml:space="preserve"/>
      </w:r>
    </w:p>
    <w:p>
      <w:pPr>
        <w:pStyle w:val="Heading2"/>
        <w:spacing w:before="280" w:after="120"/>
      </w:pPr>
      <w:r>
        <w:rPr>
          <w:rFonts w:ascii="Arial" w:cs="Arial" w:eastAsia="Arial" w:hAnsi="Arial"/>
          <w:b/>
          <w:bCs/>
          <w:color w:val="2E5FAC"/>
          <w:sz w:val="26"/>
          <w:szCs w:val="26"/>
        </w:rPr>
        <w:t xml:space="preserve">3.5  Stakeholder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1200"/>
        <w:gridCol w:w="3360"/>
      </w:tblGrid>
      <w:tr>
        <w:trPr>
          <w:tblHeader/>
        </w:trPr>
        <w:tc>
          <w:tcPr>
            <w:tcW w:type="dxa" w:w="200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Stakeholder</w:t>
            </w:r>
          </w:p>
        </w:tc>
        <w:tc>
          <w:tcPr>
            <w:tcW w:type="dxa" w:w="160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Influence</w:t>
            </w:r>
          </w:p>
        </w:tc>
        <w:tc>
          <w:tcPr>
            <w:tcW w:type="dxa" w:w="120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Interest</w:t>
            </w:r>
          </w:p>
        </w:tc>
        <w:tc>
          <w:tcPr>
            <w:tcW w:type="dxa" w:w="336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Engagement Strategy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CHRO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Sponsor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Manage closely</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Total Rewards Analyst</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SME / User</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Med-High</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Co-design + UAT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HRBP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UAT + feedback loops</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Recruiter / TA</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End User</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Low-Med</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UAT validation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Finance / FP&amp;A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Secondary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Keep satisfied</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BLS API</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External System</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Dependency</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N/A</w:t>
            </w:r>
          </w:p>
        </w:tc>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Monitor + document</w:t>
            </w:r>
          </w:p>
        </w:tc>
      </w:tr>
    </w:tbl>
    <w:p>
      <w:pPr>
        <w:pageBreakBefore/>
      </w:pPr>
      <w:r>
        <w:rPr>
          <w:rFonts w:ascii="Arial" w:cs="Arial" w:eastAsia="Arial" w:hAnsi="Arial"/>
        </w:rPr>
        <w:t xml:space="preserve"/>
      </w:r>
    </w:p>
    <w:p>
      <w:pPr>
        <w:pStyle w:val="Heading1"/>
        <w:pBdr>
          <w:bottom w:val="single" w:color="2E5FAC" w:sz="6" w:space="4"/>
        </w:pBdr>
        <w:spacing w:before="400" w:after="160"/>
      </w:pPr>
      <w:r>
        <w:rPr>
          <w:rFonts w:ascii="Arial" w:cs="Arial" w:eastAsia="Arial" w:hAnsi="Arial"/>
          <w:b/>
          <w:bCs/>
          <w:color w:val="1F3864"/>
          <w:sz w:val="32"/>
          <w:szCs w:val="32"/>
        </w:rPr>
        <w:t xml:space="preserve">4.  Scope</w:t>
      </w:r>
    </w:p>
    <w:p>
      <w:pPr>
        <w:pStyle w:val="Heading2"/>
        <w:spacing w:before="280" w:after="120"/>
      </w:pPr>
      <w:r>
        <w:rPr>
          <w:rFonts w:ascii="Arial" w:cs="Arial" w:eastAsia="Arial" w:hAnsi="Arial"/>
          <w:b/>
          <w:bCs/>
          <w:color w:val="2E5FAC"/>
          <w:sz w:val="26"/>
          <w:szCs w:val="26"/>
        </w:rPr>
        <w:t xml:space="preserve">4.1  In Scope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Capability</w:t>
            </w:r>
          </w:p>
        </w:tc>
        <w:tc>
          <w:tcPr>
            <w:tcW w:type="dxa" w:w="686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BLS Data Acquisition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Pull OEWS wage data (P10, P25, P50, P75, P90, annual mean) from the BLS public API for a defined set of healthcare tech-relevant SOC codes, filtered by US Metropolitan Statistical Area (MSA). Includes scheduled or manually triggered refresh.</w:t>
            </w:r>
          </w:p>
        </w:tc>
      </w:tr>
      <w:tr>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 Storage (PostgreSQL)</w:t>
            </w:r>
          </w:p>
        </w:tc>
        <w:tc>
          <w:tcPr>
            <w:tcW w:type="dxa" w:w="6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Design and populate a PostgreSQL database with three integrated layers: BLS market wage data, TechNova internal job grades/salary ranges, and a job-to-BLS SOC code crosswalk table.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Internal Data Ingestion (CSV)</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 CSV ingestion pipeline accepting TechNova internal job grade flat files, including schema validation before write and a documented CSV template with column definitions and example rows.</w:t>
            </w:r>
          </w:p>
        </w:tc>
      </w:tr>
      <w:tr>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Geographic Benchmarking</w:t>
            </w:r>
          </w:p>
        </w:tc>
        <w:tc>
          <w:tcPr>
            <w:tcW w:type="dxa" w:w="6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Market range comparisons across TechNova's 5+ US office locations using BLS MSA-level wage data, surfaced as a dashboard filter dimension.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Power BI Dashboard (Read-Only)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Published Power BI report enabling filter by job family, level, and location; side-by-side internal vs. market range view; percentile toggle (P25/P50/P75); below-market flags view; pay equity gap flags view; and a data freshness indicator.</w:t>
            </w:r>
          </w:p>
        </w:tc>
      </w:tr>
      <w:tr>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Below-Market Flagging</w:t>
            </w:r>
          </w:p>
        </w:tc>
        <w:tc>
          <w:tcPr>
            <w:tcW w:type="dxa" w:w="6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Automated identification of TechNova job grades where the internal midpoint falls below the BLS P25 for the matched SOC code and geography.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Pay Equity Analysis Module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Statistical analysis identifying compensation gaps by demographic category (gender, v1). Output flags gaps meeting a defined significance threshold. Framed as a monitoring tool only.</w:t>
            </w:r>
          </w:p>
        </w:tc>
      </w:tr>
      <w:tr>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 Dictionary</w:t>
            </w:r>
          </w:p>
        </w:tc>
        <w:tc>
          <w:tcPr>
            <w:tcW w:type="dxa" w:w="6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Complete documentation of every database table, column name, data type, nullable status, and plain-language business definition.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Portfolio Artifacts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BABOK-aligned FRD (this document), OpenAPI/Swagger spec for BLS integration, UML sequence diagram, data dictionary — all portfolio-packaged.</w:t>
            </w:r>
          </w:p>
        </w:tc>
      </w:tr>
    </w:tbl>
    <w:p>
      <w:pPr>
        <w:spacing w:before="0" w:after="120"/>
      </w:pPr>
      <w:r>
        <w:t xml:space="preserve"/>
      </w:r>
    </w:p>
    <w:p>
      <w:pPr>
        <w:pStyle w:val="Heading2"/>
        <w:spacing w:before="280" w:after="120"/>
      </w:pPr>
      <w:r>
        <w:rPr>
          <w:rFonts w:ascii="Arial" w:cs="Arial" w:eastAsia="Arial" w:hAnsi="Arial"/>
          <w:b/>
          <w:bCs/>
          <w:color w:val="2E5FAC"/>
          <w:sz w:val="26"/>
          <w:szCs w:val="26"/>
        </w:rPr>
        <w:t xml:space="preserve">4.2  Out of Scope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Excluded Item</w:t>
            </w:r>
          </w:p>
        </w:tc>
        <w:tc>
          <w:tcPr>
            <w:tcW w:type="dxa" w:w="616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Rationale / Future Phase Note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HRIS Integration (Workday, BambooHR, etc.)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Internal salary data loaded via CSV flat file for v1. Live HRIS sync is a Phase 2 consideration.</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Offer Letter Generation / Approval Workflow</w:t>
            </w:r>
          </w:p>
        </w:tc>
        <w:tc>
          <w:tcPr>
            <w:tcW w:type="dxa" w:w="6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This is a read-only reference dashboard — no write-back, approval routing, or workflow automation.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Multi-Currency / International Pay Ranges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TechNova US-only for this build. International expansion requires separate geo-differential modeling.</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Bonus, Equity, or Total Compensation Benchmarking</w:t>
            </w:r>
          </w:p>
        </w:tc>
        <w:tc>
          <w:tcPr>
            <w:tcW w:type="dxa" w:w="6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Base salary only. Total comp benchmarking requires additional data modeling — named future phase.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Commercial Survey Data (Radford, Mercer, etc.)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BLS OEWS is the sole market data source. Commercial survey integration is a Phase 2 enhancement.</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Manager Self-Service Compensation Actions</w:t>
            </w:r>
          </w:p>
        </w:tc>
        <w:tc>
          <w:tcPr>
            <w:tcW w:type="dxa" w:w="6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Read-only tool. No write-back, approval routing, or workflow automation.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Legal Compliance Determination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Pay equity module produces statistical flags only. Legal interpretation is explicitly excluded.</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Real-Time Internal Salary Sync</w:t>
            </w:r>
          </w:p>
        </w:tc>
        <w:tc>
          <w:tcPr>
            <w:tcW w:type="dxa" w:w="6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Internal data enters via periodic CSV upload. Live feed requires HRIS integration (Phase 2).</w:t>
            </w:r>
          </w:p>
        </w:tc>
      </w:tr>
    </w:tbl>
    <w:p>
      <w:pPr>
        <w:spacing w:before="0" w:after="120"/>
      </w:pPr>
      <w:r>
        <w:t xml:space="preserve"/>
      </w:r>
    </w:p>
    <w:p>
      <w:pPr>
        <w:pStyle w:val="Heading2"/>
        <w:spacing w:before="280" w:after="120"/>
      </w:pPr>
      <w:r>
        <w:rPr>
          <w:rFonts w:ascii="Arial" w:cs="Arial" w:eastAsia="Arial" w:hAnsi="Arial"/>
          <w:b/>
          <w:bCs/>
          <w:color w:val="2E5FAC"/>
          <w:sz w:val="26"/>
          <w:szCs w:val="26"/>
        </w:rPr>
        <w:t xml:space="preserve">4.3  System Boundary (Plain Language)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Inside the System</w:t>
            </w:r>
          </w:p>
        </w:tc>
        <w:tc>
          <w:tcPr>
            <w:tcW w:type="dxa" w:w="468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Outside the System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BLS API → Python ingestion pipeline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HRIS / Workday / BambooHR</w:t>
            </w:r>
          </w:p>
        </w:tc>
      </w:tr>
      <w:tr>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PostgreSQL (market + internal data)</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Offer management tools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Power BI dashboard (read-only)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Approval workflow systems</w:t>
            </w:r>
          </w:p>
        </w:tc>
      </w:tr>
      <w:tr>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Pay equity flagging module</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Legal compliance engine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 geographic differentials (MSA)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International pay modeling</w:t>
            </w:r>
          </w:p>
        </w:tc>
      </w:tr>
      <w:tr>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CSV ingestion + validation</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Commercial survey platforms</w:t>
            </w:r>
          </w:p>
        </w:tc>
      </w:tr>
    </w:tbl>
    <w:p>
      <w:pPr>
        <w:pageBreakBefore/>
      </w:pPr>
      <w:r>
        <w:rPr>
          <w:rFonts w:ascii="Arial" w:cs="Arial" w:eastAsia="Arial" w:hAnsi="Arial"/>
        </w:rPr>
        <w:t xml:space="preserve"/>
      </w:r>
    </w:p>
    <w:p>
      <w:pPr>
        <w:pStyle w:val="Heading1"/>
        <w:pBdr>
          <w:bottom w:val="single" w:color="2E5FAC" w:sz="6" w:space="4"/>
        </w:pBdr>
        <w:spacing w:before="400" w:after="160"/>
      </w:pPr>
      <w:r>
        <w:rPr>
          <w:rFonts w:ascii="Arial" w:cs="Arial" w:eastAsia="Arial" w:hAnsi="Arial"/>
          <w:b/>
          <w:bCs/>
          <w:color w:val="1F3864"/>
          <w:sz w:val="32"/>
          <w:szCs w:val="32"/>
        </w:rPr>
        <w:t xml:space="preserve">5.  Functional Requirements</w:t>
      </w:r>
    </w:p>
    <w:p>
      <w:pPr>
        <w:spacing w:before="60" w:after="100"/>
        <w:jc w:val="left"/>
      </w:pPr>
      <w:r>
        <w:rPr>
          <w:rFonts w:ascii="Arial" w:cs="Arial" w:eastAsia="Arial" w:hAnsi="Arial"/>
          <w:b w:val="false"/>
          <w:bCs w:val="false"/>
          <w:color w:val="000000"/>
          <w:sz w:val="20"/>
          <w:szCs w:val="20"/>
        </w:rPr>
        <w:t xml:space="preserve">Requirements are organized by functional area and follow the format: ID | Area | Priority (MoSCoW) / The system shall… / Traces to objective. All Must Have requirements define the v1 deliverable. Should Have requirements are targeted for v1 but may be deferred without blocking launch.</w:t>
      </w:r>
    </w:p>
    <w:p>
      <w:pPr>
        <w:spacing w:before="0" w:after="80"/>
      </w:pPr>
      <w:r>
        <w:t xml:space="preserve"/>
      </w:r>
    </w:p>
    <w:p>
      <w:pPr>
        <w:pStyle w:val="Heading2"/>
        <w:spacing w:before="280" w:after="120"/>
      </w:pPr>
      <w:r>
        <w:rPr>
          <w:rFonts w:ascii="Arial" w:cs="Arial" w:eastAsia="Arial" w:hAnsi="Arial"/>
          <w:b/>
          <w:bCs/>
          <w:color w:val="2E5FAC"/>
          <w:sz w:val="26"/>
          <w:szCs w:val="26"/>
        </w:rPr>
        <w:t xml:space="preserve">5.1  Data Acquisition — BLS Pipeline</w:t>
      </w:r>
    </w:p>
    <w:p>
      <w:pPr>
        <w:spacing w:before="0" w:after="60"/>
      </w:pPr>
      <w:r>
        <w:t xml:space="preserve"/>
      </w:r>
    </w:p>
    <w:p>
      <w:pPr>
        <w:shd w:fill="F2F4F7" w:val="clear"/>
        <w:spacing w:before="160" w:after="60"/>
      </w:pPr>
      <w:r>
        <w:rPr>
          <w:rFonts w:ascii="Arial" w:cs="Arial" w:eastAsia="Arial" w:hAnsi="Arial"/>
          <w:b/>
          <w:bCs/>
          <w:color w:val="1F3864"/>
          <w:sz w:val="20"/>
          <w:szCs w:val="20"/>
        </w:rPr>
        <w:t xml:space="preserve">FR-01</w:t>
      </w:r>
      <w:r>
        <w:rPr>
          <w:rFonts w:ascii="Arial" w:cs="Arial" w:eastAsia="Arial" w:hAnsi="Arial"/>
          <w:color w:val="595959"/>
          <w:sz w:val="20"/>
          <w:szCs w:val="20"/>
        </w:rPr>
        <w:t xml:space="preserve">  |  </w:t>
      </w:r>
      <w:r>
        <w:rPr>
          <w:rFonts w:ascii="Arial" w:cs="Arial" w:eastAsia="Arial" w:hAnsi="Arial"/>
          <w:color w:val="595959"/>
          <w:sz w:val="20"/>
          <w:szCs w:val="20"/>
        </w:rPr>
        <w:t xml:space="preserve">Data Acquisition</w:t>
      </w:r>
      <w:r>
        <w:rPr>
          <w:rFonts w:ascii="Arial" w:cs="Arial" w:eastAsia="Arial" w:hAnsi="Arial"/>
          <w:color w:val="595959"/>
          <w:sz w:val="20"/>
          <w:szCs w:val="20"/>
        </w:rPr>
        <w:t xml:space="preserve">  |  </w:t>
      </w:r>
      <w:r>
        <w:rPr>
          <w:rFonts w:ascii="Arial" w:cs="Arial" w:eastAsia="Arial" w:hAnsi="Arial"/>
          <w:b/>
          <w:bCs/>
          <w:color w:val="C00000"/>
          <w:sz w:val="20"/>
          <w:szCs w:val="20"/>
        </w:rPr>
        <w:t xml:space="preserve">Must Have</w:t>
      </w:r>
    </w:p>
    <w:p>
      <w:pPr>
        <w:spacing w:before="40" w:after="60"/>
        <w:ind w:left="360"/>
      </w:pPr>
      <w:r>
        <w:rPr>
          <w:rFonts w:ascii="Arial" w:cs="Arial" w:eastAsia="Arial" w:hAnsi="Arial"/>
          <w:color w:val="000000"/>
          <w:sz w:val="20"/>
          <w:szCs w:val="20"/>
        </w:rPr>
        <w:t xml:space="preserve">The system shall connect to the BLS OEWS public API and retrieve wage data (annual mean, P10, P25, P50, P75, P90) for a defined set of occupational codes relevant to TechNova's job families, filtered by US Metropolitan Statistical Area (MSA).</w:t>
      </w:r>
    </w:p>
    <w:p>
      <w:pPr>
        <w:spacing w:before="0" w:after="120"/>
        <w:ind w:left="360"/>
      </w:pPr>
      <w:r>
        <w:rPr>
          <w:rFonts w:ascii="Arial" w:cs="Arial" w:eastAsia="Arial" w:hAnsi="Arial"/>
          <w:i/>
          <w:iCs/>
          <w:color w:val="595959"/>
          <w:sz w:val="18"/>
          <w:szCs w:val="18"/>
        </w:rPr>
        <w:t xml:space="preserve">Traces to: OBJ-02</w:t>
      </w:r>
    </w:p>
    <w:p>
      <w:pPr>
        <w:shd w:fill="F2F4F7" w:val="clear"/>
        <w:spacing w:before="160" w:after="60"/>
      </w:pPr>
      <w:r>
        <w:rPr>
          <w:rFonts w:ascii="Arial" w:cs="Arial" w:eastAsia="Arial" w:hAnsi="Arial"/>
          <w:b/>
          <w:bCs/>
          <w:color w:val="1F3864"/>
          <w:sz w:val="20"/>
          <w:szCs w:val="20"/>
        </w:rPr>
        <w:t xml:space="preserve">FR-02</w:t>
      </w:r>
      <w:r>
        <w:rPr>
          <w:rFonts w:ascii="Arial" w:cs="Arial" w:eastAsia="Arial" w:hAnsi="Arial"/>
          <w:color w:val="595959"/>
          <w:sz w:val="20"/>
          <w:szCs w:val="20"/>
        </w:rPr>
        <w:t xml:space="preserve">  |  </w:t>
      </w:r>
      <w:r>
        <w:rPr>
          <w:rFonts w:ascii="Arial" w:cs="Arial" w:eastAsia="Arial" w:hAnsi="Arial"/>
          <w:color w:val="595959"/>
          <w:sz w:val="20"/>
          <w:szCs w:val="20"/>
        </w:rPr>
        <w:t xml:space="preserve">Data Acquisition</w:t>
      </w:r>
      <w:r>
        <w:rPr>
          <w:rFonts w:ascii="Arial" w:cs="Arial" w:eastAsia="Arial" w:hAnsi="Arial"/>
          <w:color w:val="595959"/>
          <w:sz w:val="20"/>
          <w:szCs w:val="20"/>
        </w:rPr>
        <w:t xml:space="preserve">  |  </w:t>
      </w:r>
      <w:r>
        <w:rPr>
          <w:rFonts w:ascii="Arial" w:cs="Arial" w:eastAsia="Arial" w:hAnsi="Arial"/>
          <w:b/>
          <w:bCs/>
          <w:color w:val="C00000"/>
          <w:sz w:val="20"/>
          <w:szCs w:val="20"/>
        </w:rPr>
        <w:t xml:space="preserve">Must Have</w:t>
      </w:r>
    </w:p>
    <w:p>
      <w:pPr>
        <w:spacing w:before="40" w:after="60"/>
        <w:ind w:left="360"/>
      </w:pPr>
      <w:r>
        <w:rPr>
          <w:rFonts w:ascii="Arial" w:cs="Arial" w:eastAsia="Arial" w:hAnsi="Arial"/>
          <w:color w:val="000000"/>
          <w:sz w:val="20"/>
          <w:szCs w:val="20"/>
        </w:rPr>
        <w:t xml:space="preserve">The system shall support quarterly, manually triggered pipeline execution initiated by a Total Rewards administrator, with a documented run procedure requiring no developer intervention.</w:t>
      </w:r>
    </w:p>
    <w:p>
      <w:pPr>
        <w:spacing w:before="0" w:after="120"/>
        <w:ind w:left="360"/>
      </w:pPr>
      <w:r>
        <w:rPr>
          <w:rFonts w:ascii="Arial" w:cs="Arial" w:eastAsia="Arial" w:hAnsi="Arial"/>
          <w:i/>
          <w:iCs/>
          <w:color w:val="595959"/>
          <w:sz w:val="18"/>
          <w:szCs w:val="18"/>
        </w:rPr>
        <w:t xml:space="preserve">Traces to: OBJ-02</w:t>
      </w:r>
    </w:p>
    <w:p>
      <w:pPr>
        <w:shd w:fill="F2F4F7" w:val="clear"/>
        <w:spacing w:before="160" w:after="60"/>
      </w:pPr>
      <w:r>
        <w:rPr>
          <w:rFonts w:ascii="Arial" w:cs="Arial" w:eastAsia="Arial" w:hAnsi="Arial"/>
          <w:b/>
          <w:bCs/>
          <w:color w:val="1F3864"/>
          <w:sz w:val="20"/>
          <w:szCs w:val="20"/>
        </w:rPr>
        <w:t xml:space="preserve">FR-03</w:t>
      </w:r>
      <w:r>
        <w:rPr>
          <w:rFonts w:ascii="Arial" w:cs="Arial" w:eastAsia="Arial" w:hAnsi="Arial"/>
          <w:color w:val="595959"/>
          <w:sz w:val="20"/>
          <w:szCs w:val="20"/>
        </w:rPr>
        <w:t xml:space="preserve">  |  </w:t>
      </w:r>
      <w:r>
        <w:rPr>
          <w:rFonts w:ascii="Arial" w:cs="Arial" w:eastAsia="Arial" w:hAnsi="Arial"/>
          <w:color w:val="595959"/>
          <w:sz w:val="20"/>
          <w:szCs w:val="20"/>
        </w:rPr>
        <w:t xml:space="preserve">Data Acquisition</w:t>
      </w:r>
      <w:r>
        <w:rPr>
          <w:rFonts w:ascii="Arial" w:cs="Arial" w:eastAsia="Arial" w:hAnsi="Arial"/>
          <w:color w:val="595959"/>
          <w:sz w:val="20"/>
          <w:szCs w:val="20"/>
        </w:rPr>
        <w:t xml:space="preserve">  |  </w:t>
      </w:r>
      <w:r>
        <w:rPr>
          <w:rFonts w:ascii="Arial" w:cs="Arial" w:eastAsia="Arial" w:hAnsi="Arial"/>
          <w:b/>
          <w:bCs/>
          <w:color w:val="C00000"/>
          <w:sz w:val="20"/>
          <w:szCs w:val="20"/>
        </w:rPr>
        <w:t xml:space="preserve">Must Have</w:t>
      </w:r>
    </w:p>
    <w:p>
      <w:pPr>
        <w:spacing w:before="40" w:after="60"/>
        <w:ind w:left="360"/>
      </w:pPr>
      <w:r>
        <w:rPr>
          <w:rFonts w:ascii="Arial" w:cs="Arial" w:eastAsia="Arial" w:hAnsi="Arial"/>
          <w:color w:val="000000"/>
          <w:sz w:val="20"/>
          <w:szCs w:val="20"/>
        </w:rPr>
        <w:t xml:space="preserve">The system shall log each pipeline run with a timestamp, record count, and success/failure status, stored in PostgreSQL for audit purposes.</w:t>
      </w:r>
    </w:p>
    <w:p>
      <w:pPr>
        <w:spacing w:before="0" w:after="120"/>
        <w:ind w:left="360"/>
      </w:pPr>
      <w:r>
        <w:rPr>
          <w:rFonts w:ascii="Arial" w:cs="Arial" w:eastAsia="Arial" w:hAnsi="Arial"/>
          <w:i/>
          <w:iCs/>
          <w:color w:val="595959"/>
          <w:sz w:val="18"/>
          <w:szCs w:val="18"/>
        </w:rPr>
        <w:t xml:space="preserve">Traces to: OBJ-02, OBJ-04</w:t>
      </w:r>
    </w:p>
    <w:p>
      <w:pPr>
        <w:shd w:fill="F2F4F7" w:val="clear"/>
        <w:spacing w:before="160" w:after="60"/>
      </w:pPr>
      <w:r>
        <w:rPr>
          <w:rFonts w:ascii="Arial" w:cs="Arial" w:eastAsia="Arial" w:hAnsi="Arial"/>
          <w:b/>
          <w:bCs/>
          <w:color w:val="1F3864"/>
          <w:sz w:val="20"/>
          <w:szCs w:val="20"/>
        </w:rPr>
        <w:t xml:space="preserve">FR-04</w:t>
      </w:r>
      <w:r>
        <w:rPr>
          <w:rFonts w:ascii="Arial" w:cs="Arial" w:eastAsia="Arial" w:hAnsi="Arial"/>
          <w:color w:val="595959"/>
          <w:sz w:val="20"/>
          <w:szCs w:val="20"/>
        </w:rPr>
        <w:t xml:space="preserve">  |  </w:t>
      </w:r>
      <w:r>
        <w:rPr>
          <w:rFonts w:ascii="Arial" w:cs="Arial" w:eastAsia="Arial" w:hAnsi="Arial"/>
          <w:color w:val="595959"/>
          <w:sz w:val="20"/>
          <w:szCs w:val="20"/>
        </w:rPr>
        <w:t xml:space="preserve">Data Acquisition</w:t>
      </w:r>
      <w:r>
        <w:rPr>
          <w:rFonts w:ascii="Arial" w:cs="Arial" w:eastAsia="Arial" w:hAnsi="Arial"/>
          <w:color w:val="595959"/>
          <w:sz w:val="20"/>
          <w:szCs w:val="20"/>
        </w:rPr>
        <w:t xml:space="preserve">  |  </w:t>
      </w:r>
      <w:r>
        <w:rPr>
          <w:rFonts w:ascii="Arial" w:cs="Arial" w:eastAsia="Arial" w:hAnsi="Arial"/>
          <w:b/>
          <w:bCs/>
          <w:color w:val="7F6000"/>
          <w:sz w:val="20"/>
          <w:szCs w:val="20"/>
        </w:rPr>
        <w:t xml:space="preserve">Should Have</w:t>
      </w:r>
    </w:p>
    <w:p>
      <w:pPr>
        <w:spacing w:before="40" w:after="60"/>
        <w:ind w:left="360"/>
      </w:pPr>
      <w:r>
        <w:rPr>
          <w:rFonts w:ascii="Arial" w:cs="Arial" w:eastAsia="Arial" w:hAnsi="Arial"/>
          <w:color w:val="000000"/>
          <w:sz w:val="20"/>
          <w:szCs w:val="20"/>
        </w:rPr>
        <w:t xml:space="preserve">The system shall detect and alert (via log entry or console output) when the BLS API returns unexpected schema changes, missing fields, or HTTP error responses, without silently loading corrupt data.</w:t>
      </w:r>
    </w:p>
    <w:p>
      <w:pPr>
        <w:spacing w:before="0" w:after="120"/>
        <w:ind w:left="360"/>
      </w:pPr>
      <w:r>
        <w:rPr>
          <w:rFonts w:ascii="Arial" w:cs="Arial" w:eastAsia="Arial" w:hAnsi="Arial"/>
          <w:i/>
          <w:iCs/>
          <w:color w:val="595959"/>
          <w:sz w:val="18"/>
          <w:szCs w:val="18"/>
        </w:rPr>
        <w:t xml:space="preserve">Traces to: OBJ-02</w:t>
      </w:r>
    </w:p>
    <w:p>
      <w:pPr>
        <w:spacing w:before="0" w:after="80"/>
      </w:pPr>
      <w:r>
        <w:t xml:space="preserve"/>
      </w:r>
    </w:p>
    <w:p>
      <w:pPr>
        <w:pStyle w:val="Heading2"/>
        <w:spacing w:before="280" w:after="120"/>
      </w:pPr>
      <w:r>
        <w:rPr>
          <w:rFonts w:ascii="Arial" w:cs="Arial" w:eastAsia="Arial" w:hAnsi="Arial"/>
          <w:b/>
          <w:bCs/>
          <w:color w:val="2E5FAC"/>
          <w:sz w:val="26"/>
          <w:szCs w:val="26"/>
        </w:rPr>
        <w:t xml:space="preserve">5.2  CSV Ingestion — Internal Data</w:t>
      </w:r>
    </w:p>
    <w:p>
      <w:pPr>
        <w:spacing w:before="0" w:after="60"/>
      </w:pPr>
      <w:r>
        <w:t xml:space="preserve"/>
      </w:r>
    </w:p>
    <w:p>
      <w:pPr>
        <w:shd w:fill="F2F4F7" w:val="clear"/>
        <w:spacing w:before="160" w:after="60"/>
      </w:pPr>
      <w:r>
        <w:rPr>
          <w:rFonts w:ascii="Arial" w:cs="Arial" w:eastAsia="Arial" w:hAnsi="Arial"/>
          <w:b/>
          <w:bCs/>
          <w:color w:val="1F3864"/>
          <w:sz w:val="20"/>
          <w:szCs w:val="20"/>
        </w:rPr>
        <w:t xml:space="preserve">FR-05</w:t>
      </w:r>
      <w:r>
        <w:rPr>
          <w:rFonts w:ascii="Arial" w:cs="Arial" w:eastAsia="Arial" w:hAnsi="Arial"/>
          <w:color w:val="595959"/>
          <w:sz w:val="20"/>
          <w:szCs w:val="20"/>
        </w:rPr>
        <w:t xml:space="preserve">  |  </w:t>
      </w:r>
      <w:r>
        <w:rPr>
          <w:rFonts w:ascii="Arial" w:cs="Arial" w:eastAsia="Arial" w:hAnsi="Arial"/>
          <w:color w:val="595959"/>
          <w:sz w:val="20"/>
          <w:szCs w:val="20"/>
        </w:rPr>
        <w:t xml:space="preserve">CSV Ingestion</w:t>
      </w:r>
      <w:r>
        <w:rPr>
          <w:rFonts w:ascii="Arial" w:cs="Arial" w:eastAsia="Arial" w:hAnsi="Arial"/>
          <w:color w:val="595959"/>
          <w:sz w:val="20"/>
          <w:szCs w:val="20"/>
        </w:rPr>
        <w:t xml:space="preserve">  |  </w:t>
      </w:r>
      <w:r>
        <w:rPr>
          <w:rFonts w:ascii="Arial" w:cs="Arial" w:eastAsia="Arial" w:hAnsi="Arial"/>
          <w:b/>
          <w:bCs/>
          <w:color w:val="C00000"/>
          <w:sz w:val="20"/>
          <w:szCs w:val="20"/>
        </w:rPr>
        <w:t xml:space="preserve">Must Have</w:t>
      </w:r>
    </w:p>
    <w:p>
      <w:pPr>
        <w:spacing w:before="40" w:after="60"/>
        <w:ind w:left="360"/>
      </w:pPr>
      <w:r>
        <w:rPr>
          <w:rFonts w:ascii="Arial" w:cs="Arial" w:eastAsia="Arial" w:hAnsi="Arial"/>
          <w:color w:val="000000"/>
          <w:sz w:val="20"/>
          <w:szCs w:val="20"/>
        </w:rPr>
        <w:t xml:space="preserve">The system shall accept a CSV flat file containing TechNova internal job grade data and load it into PostgreSQL, replacing or appending records according to a documented update protocol.</w:t>
      </w:r>
    </w:p>
    <w:p>
      <w:pPr>
        <w:spacing w:before="0" w:after="120"/>
        <w:ind w:left="360"/>
      </w:pPr>
      <w:r>
        <w:rPr>
          <w:rFonts w:ascii="Arial" w:cs="Arial" w:eastAsia="Arial" w:hAnsi="Arial"/>
          <w:i/>
          <w:iCs/>
          <w:color w:val="595959"/>
          <w:sz w:val="18"/>
          <w:szCs w:val="18"/>
        </w:rPr>
        <w:t xml:space="preserve">Traces to: OBJ-02</w:t>
      </w:r>
    </w:p>
    <w:p>
      <w:pPr>
        <w:shd w:fill="F2F4F7" w:val="clear"/>
        <w:spacing w:before="160" w:after="60"/>
      </w:pPr>
      <w:r>
        <w:rPr>
          <w:rFonts w:ascii="Arial" w:cs="Arial" w:eastAsia="Arial" w:hAnsi="Arial"/>
          <w:b/>
          <w:bCs/>
          <w:color w:val="1F3864"/>
          <w:sz w:val="20"/>
          <w:szCs w:val="20"/>
        </w:rPr>
        <w:t xml:space="preserve">FR-06</w:t>
      </w:r>
      <w:r>
        <w:rPr>
          <w:rFonts w:ascii="Arial" w:cs="Arial" w:eastAsia="Arial" w:hAnsi="Arial"/>
          <w:color w:val="595959"/>
          <w:sz w:val="20"/>
          <w:szCs w:val="20"/>
        </w:rPr>
        <w:t xml:space="preserve">  |  </w:t>
      </w:r>
      <w:r>
        <w:rPr>
          <w:rFonts w:ascii="Arial" w:cs="Arial" w:eastAsia="Arial" w:hAnsi="Arial"/>
          <w:color w:val="595959"/>
          <w:sz w:val="20"/>
          <w:szCs w:val="20"/>
        </w:rPr>
        <w:t xml:space="preserve">CSV Ingestion</w:t>
      </w:r>
      <w:r>
        <w:rPr>
          <w:rFonts w:ascii="Arial" w:cs="Arial" w:eastAsia="Arial" w:hAnsi="Arial"/>
          <w:color w:val="595959"/>
          <w:sz w:val="20"/>
          <w:szCs w:val="20"/>
        </w:rPr>
        <w:t xml:space="preserve">  |  </w:t>
      </w:r>
      <w:r>
        <w:rPr>
          <w:rFonts w:ascii="Arial" w:cs="Arial" w:eastAsia="Arial" w:hAnsi="Arial"/>
          <w:b/>
          <w:bCs/>
          <w:color w:val="C00000"/>
          <w:sz w:val="20"/>
          <w:szCs w:val="20"/>
        </w:rPr>
        <w:t xml:space="preserve">Must Have</w:t>
      </w:r>
    </w:p>
    <w:p>
      <w:pPr>
        <w:spacing w:before="40" w:after="60"/>
        <w:ind w:left="360"/>
      </w:pPr>
      <w:r>
        <w:rPr>
          <w:rFonts w:ascii="Arial" w:cs="Arial" w:eastAsia="Arial" w:hAnsi="Arial"/>
          <w:color w:val="000000"/>
          <w:sz w:val="20"/>
          <w:szCs w:val="20"/>
        </w:rPr>
        <w:t xml:space="preserve">The system shall validate incoming CSV files against a defined schema (required columns, data types, non-null constraints) and reject files that fail validation with a descriptive error message before any records are written to the database.</w:t>
      </w:r>
    </w:p>
    <w:p>
      <w:pPr>
        <w:spacing w:before="0" w:after="120"/>
        <w:ind w:left="360"/>
      </w:pPr>
      <w:r>
        <w:rPr>
          <w:rFonts w:ascii="Arial" w:cs="Arial" w:eastAsia="Arial" w:hAnsi="Arial"/>
          <w:i/>
          <w:iCs/>
          <w:color w:val="595959"/>
          <w:sz w:val="18"/>
          <w:szCs w:val="18"/>
        </w:rPr>
        <w:t xml:space="preserve">Traces to: OBJ-02</w:t>
      </w:r>
    </w:p>
    <w:p>
      <w:pPr>
        <w:shd w:fill="F2F4F7" w:val="clear"/>
        <w:spacing w:before="160" w:after="60"/>
      </w:pPr>
      <w:r>
        <w:rPr>
          <w:rFonts w:ascii="Arial" w:cs="Arial" w:eastAsia="Arial" w:hAnsi="Arial"/>
          <w:b/>
          <w:bCs/>
          <w:color w:val="1F3864"/>
          <w:sz w:val="20"/>
          <w:szCs w:val="20"/>
        </w:rPr>
        <w:t xml:space="preserve">FR-07</w:t>
      </w:r>
      <w:r>
        <w:rPr>
          <w:rFonts w:ascii="Arial" w:cs="Arial" w:eastAsia="Arial" w:hAnsi="Arial"/>
          <w:color w:val="595959"/>
          <w:sz w:val="20"/>
          <w:szCs w:val="20"/>
        </w:rPr>
        <w:t xml:space="preserve">  |  </w:t>
      </w:r>
      <w:r>
        <w:rPr>
          <w:rFonts w:ascii="Arial" w:cs="Arial" w:eastAsia="Arial" w:hAnsi="Arial"/>
          <w:color w:val="595959"/>
          <w:sz w:val="20"/>
          <w:szCs w:val="20"/>
        </w:rPr>
        <w:t xml:space="preserve">CSV Ingestion</w:t>
      </w:r>
      <w:r>
        <w:rPr>
          <w:rFonts w:ascii="Arial" w:cs="Arial" w:eastAsia="Arial" w:hAnsi="Arial"/>
          <w:color w:val="595959"/>
          <w:sz w:val="20"/>
          <w:szCs w:val="20"/>
        </w:rPr>
        <w:t xml:space="preserve">  |  </w:t>
      </w:r>
      <w:r>
        <w:rPr>
          <w:rFonts w:ascii="Arial" w:cs="Arial" w:eastAsia="Arial" w:hAnsi="Arial"/>
          <w:b/>
          <w:bCs/>
          <w:color w:val="C00000"/>
          <w:sz w:val="20"/>
          <w:szCs w:val="20"/>
        </w:rPr>
        <w:t xml:space="preserve">Must Have</w:t>
      </w:r>
    </w:p>
    <w:p>
      <w:pPr>
        <w:spacing w:before="40" w:after="60"/>
        <w:ind w:left="360"/>
      </w:pPr>
      <w:r>
        <w:rPr>
          <w:rFonts w:ascii="Arial" w:cs="Arial" w:eastAsia="Arial" w:hAnsi="Arial"/>
          <w:color w:val="000000"/>
          <w:sz w:val="20"/>
          <w:szCs w:val="20"/>
        </w:rPr>
        <w:t xml:space="preserve">The system shall provide a documented CSV template specifying all required and optional columns, acceptable value formats, and example rows so that any HR operator can prepare a valid file without technical assistance.</w:t>
      </w:r>
    </w:p>
    <w:p>
      <w:pPr>
        <w:spacing w:before="0" w:after="120"/>
        <w:ind w:left="360"/>
      </w:pPr>
      <w:r>
        <w:rPr>
          <w:rFonts w:ascii="Arial" w:cs="Arial" w:eastAsia="Arial" w:hAnsi="Arial"/>
          <w:i/>
          <w:iCs/>
          <w:color w:val="595959"/>
          <w:sz w:val="18"/>
          <w:szCs w:val="18"/>
        </w:rPr>
        <w:t xml:space="preserve">Traces to: OBJ-02</w:t>
      </w:r>
    </w:p>
    <w:p>
      <w:pPr>
        <w:spacing w:before="0" w:after="80"/>
      </w:pPr>
      <w:r>
        <w:t xml:space="preserve"/>
      </w:r>
    </w:p>
    <w:p>
      <w:pPr>
        <w:pStyle w:val="Heading2"/>
        <w:spacing w:before="280" w:after="120"/>
      </w:pPr>
      <w:r>
        <w:rPr>
          <w:rFonts w:ascii="Arial" w:cs="Arial" w:eastAsia="Arial" w:hAnsi="Arial"/>
          <w:b/>
          <w:bCs/>
          <w:color w:val="2E5FAC"/>
          <w:sz w:val="26"/>
          <w:szCs w:val="26"/>
        </w:rPr>
        <w:t xml:space="preserve">5.3  Data Storage &amp; Job Mapping</w:t>
      </w:r>
    </w:p>
    <w:p>
      <w:pPr>
        <w:spacing w:before="0" w:after="60"/>
      </w:pPr>
      <w:r>
        <w:t xml:space="preserve"/>
      </w:r>
    </w:p>
    <w:p>
      <w:pPr>
        <w:shd w:fill="F2F4F7" w:val="clear"/>
        <w:spacing w:before="160" w:after="60"/>
      </w:pPr>
      <w:r>
        <w:rPr>
          <w:rFonts w:ascii="Arial" w:cs="Arial" w:eastAsia="Arial" w:hAnsi="Arial"/>
          <w:b/>
          <w:bCs/>
          <w:color w:val="1F3864"/>
          <w:sz w:val="20"/>
          <w:szCs w:val="20"/>
        </w:rPr>
        <w:t xml:space="preserve">FR-08</w:t>
      </w:r>
      <w:r>
        <w:rPr>
          <w:rFonts w:ascii="Arial" w:cs="Arial" w:eastAsia="Arial" w:hAnsi="Arial"/>
          <w:color w:val="595959"/>
          <w:sz w:val="20"/>
          <w:szCs w:val="20"/>
        </w:rPr>
        <w:t xml:space="preserve">  |  </w:t>
      </w:r>
      <w:r>
        <w:rPr>
          <w:rFonts w:ascii="Arial" w:cs="Arial" w:eastAsia="Arial" w:hAnsi="Arial"/>
          <w:color w:val="595959"/>
          <w:sz w:val="20"/>
          <w:szCs w:val="20"/>
        </w:rPr>
        <w:t xml:space="preserve">Data Storage</w:t>
      </w:r>
      <w:r>
        <w:rPr>
          <w:rFonts w:ascii="Arial" w:cs="Arial" w:eastAsia="Arial" w:hAnsi="Arial"/>
          <w:color w:val="595959"/>
          <w:sz w:val="20"/>
          <w:szCs w:val="20"/>
        </w:rPr>
        <w:t xml:space="preserve">  |  </w:t>
      </w:r>
      <w:r>
        <w:rPr>
          <w:rFonts w:ascii="Arial" w:cs="Arial" w:eastAsia="Arial" w:hAnsi="Arial"/>
          <w:b/>
          <w:bCs/>
          <w:color w:val="C00000"/>
          <w:sz w:val="20"/>
          <w:szCs w:val="20"/>
        </w:rPr>
        <w:t xml:space="preserve">Must Have</w:t>
      </w:r>
    </w:p>
    <w:p>
      <w:pPr>
        <w:spacing w:before="40" w:after="60"/>
        <w:ind w:left="360"/>
      </w:pPr>
      <w:r>
        <w:rPr>
          <w:rFonts w:ascii="Arial" w:cs="Arial" w:eastAsia="Arial" w:hAnsi="Arial"/>
          <w:color w:val="000000"/>
          <w:sz w:val="20"/>
          <w:szCs w:val="20"/>
        </w:rPr>
        <w:t xml:space="preserve">The system shall maintain a job-to-BLS-code crosswalk table mapping each TechNova job family and level combination to its corresponding BLS Standard Occupational Classification (SOC) code and title.</w:t>
      </w:r>
    </w:p>
    <w:p>
      <w:pPr>
        <w:spacing w:before="0" w:after="120"/>
        <w:ind w:left="360"/>
      </w:pPr>
      <w:r>
        <w:rPr>
          <w:rFonts w:ascii="Arial" w:cs="Arial" w:eastAsia="Arial" w:hAnsi="Arial"/>
          <w:i/>
          <w:iCs/>
          <w:color w:val="595959"/>
          <w:sz w:val="18"/>
          <w:szCs w:val="18"/>
        </w:rPr>
        <w:t xml:space="preserve">Traces to: OBJ-02</w:t>
      </w:r>
    </w:p>
    <w:p>
      <w:pPr>
        <w:shd w:fill="F2F4F7" w:val="clear"/>
        <w:spacing w:before="160" w:after="60"/>
      </w:pPr>
      <w:r>
        <w:rPr>
          <w:rFonts w:ascii="Arial" w:cs="Arial" w:eastAsia="Arial" w:hAnsi="Arial"/>
          <w:b/>
          <w:bCs/>
          <w:color w:val="1F3864"/>
          <w:sz w:val="20"/>
          <w:szCs w:val="20"/>
        </w:rPr>
        <w:t xml:space="preserve">FR-09</w:t>
      </w:r>
      <w:r>
        <w:rPr>
          <w:rFonts w:ascii="Arial" w:cs="Arial" w:eastAsia="Arial" w:hAnsi="Arial"/>
          <w:color w:val="595959"/>
          <w:sz w:val="20"/>
          <w:szCs w:val="20"/>
        </w:rPr>
        <w:t xml:space="preserve">  |  </w:t>
      </w:r>
      <w:r>
        <w:rPr>
          <w:rFonts w:ascii="Arial" w:cs="Arial" w:eastAsia="Arial" w:hAnsi="Arial"/>
          <w:color w:val="595959"/>
          <w:sz w:val="20"/>
          <w:szCs w:val="20"/>
        </w:rPr>
        <w:t xml:space="preserve">Data Storage</w:t>
      </w:r>
      <w:r>
        <w:rPr>
          <w:rFonts w:ascii="Arial" w:cs="Arial" w:eastAsia="Arial" w:hAnsi="Arial"/>
          <w:color w:val="595959"/>
          <w:sz w:val="20"/>
          <w:szCs w:val="20"/>
        </w:rPr>
        <w:t xml:space="preserve">  |  </w:t>
      </w:r>
      <w:r>
        <w:rPr>
          <w:rFonts w:ascii="Arial" w:cs="Arial" w:eastAsia="Arial" w:hAnsi="Arial"/>
          <w:b/>
          <w:bCs/>
          <w:color w:val="C00000"/>
          <w:sz w:val="20"/>
          <w:szCs w:val="20"/>
        </w:rPr>
        <w:t xml:space="preserve">Must Have</w:t>
      </w:r>
    </w:p>
    <w:p>
      <w:pPr>
        <w:spacing w:before="40" w:after="60"/>
        <w:ind w:left="360"/>
      </w:pPr>
      <w:r>
        <w:rPr>
          <w:rFonts w:ascii="Arial" w:cs="Arial" w:eastAsia="Arial" w:hAnsi="Arial"/>
          <w:color w:val="000000"/>
          <w:sz w:val="20"/>
          <w:szCs w:val="20"/>
        </w:rPr>
        <w:t xml:space="preserve">The system shall store BLS wage data with a geographic dimension tied to BLS Metropolitan Statistical Area (MSA) codes, enabling location-specific range retrieval for each of TechNova's 5+ US office locations.</w:t>
      </w:r>
    </w:p>
    <w:p>
      <w:pPr>
        <w:spacing w:before="0" w:after="120"/>
        <w:ind w:left="360"/>
      </w:pPr>
      <w:r>
        <w:rPr>
          <w:rFonts w:ascii="Arial" w:cs="Arial" w:eastAsia="Arial" w:hAnsi="Arial"/>
          <w:i/>
          <w:iCs/>
          <w:color w:val="595959"/>
          <w:sz w:val="18"/>
          <w:szCs w:val="18"/>
        </w:rPr>
        <w:t xml:space="preserve">Traces to: OBJ-01, OBJ-02</w:t>
      </w:r>
    </w:p>
    <w:p>
      <w:pPr>
        <w:shd w:fill="F2F4F7" w:val="clear"/>
        <w:spacing w:before="160" w:after="60"/>
      </w:pPr>
      <w:r>
        <w:rPr>
          <w:rFonts w:ascii="Arial" w:cs="Arial" w:eastAsia="Arial" w:hAnsi="Arial"/>
          <w:b/>
          <w:bCs/>
          <w:color w:val="1F3864"/>
          <w:sz w:val="20"/>
          <w:szCs w:val="20"/>
        </w:rPr>
        <w:t xml:space="preserve">FR-10</w:t>
      </w:r>
      <w:r>
        <w:rPr>
          <w:rFonts w:ascii="Arial" w:cs="Arial" w:eastAsia="Arial" w:hAnsi="Arial"/>
          <w:color w:val="595959"/>
          <w:sz w:val="20"/>
          <w:szCs w:val="20"/>
        </w:rPr>
        <w:t xml:space="preserve">  |  </w:t>
      </w:r>
      <w:r>
        <w:rPr>
          <w:rFonts w:ascii="Arial" w:cs="Arial" w:eastAsia="Arial" w:hAnsi="Arial"/>
          <w:color w:val="595959"/>
          <w:sz w:val="20"/>
          <w:szCs w:val="20"/>
        </w:rPr>
        <w:t xml:space="preserve">Data Storage</w:t>
      </w:r>
      <w:r>
        <w:rPr>
          <w:rFonts w:ascii="Arial" w:cs="Arial" w:eastAsia="Arial" w:hAnsi="Arial"/>
          <w:color w:val="595959"/>
          <w:sz w:val="20"/>
          <w:szCs w:val="20"/>
        </w:rPr>
        <w:t xml:space="preserve">  |  </w:t>
      </w:r>
      <w:r>
        <w:rPr>
          <w:rFonts w:ascii="Arial" w:cs="Arial" w:eastAsia="Arial" w:hAnsi="Arial"/>
          <w:b/>
          <w:bCs/>
          <w:color w:val="C00000"/>
          <w:sz w:val="20"/>
          <w:szCs w:val="20"/>
        </w:rPr>
        <w:t xml:space="preserve">Must Have</w:t>
      </w:r>
    </w:p>
    <w:p>
      <w:pPr>
        <w:spacing w:before="40" w:after="60"/>
        <w:ind w:left="360"/>
      </w:pPr>
      <w:r>
        <w:rPr>
          <w:rFonts w:ascii="Arial" w:cs="Arial" w:eastAsia="Arial" w:hAnsi="Arial"/>
          <w:color w:val="000000"/>
          <w:sz w:val="20"/>
          <w:szCs w:val="20"/>
        </w:rPr>
        <w:t xml:space="preserve">The system shall maintain a complete data dictionary documenting every database table, column name, data type, nullable status, and plain-language business definition.</w:t>
      </w:r>
    </w:p>
    <w:p>
      <w:pPr>
        <w:spacing w:before="0" w:after="120"/>
        <w:ind w:left="360"/>
      </w:pPr>
      <w:r>
        <w:rPr>
          <w:rFonts w:ascii="Arial" w:cs="Arial" w:eastAsia="Arial" w:hAnsi="Arial"/>
          <w:i/>
          <w:iCs/>
          <w:color w:val="595959"/>
          <w:sz w:val="18"/>
          <w:szCs w:val="18"/>
        </w:rPr>
        <w:t xml:space="preserve">Traces to: OBJ-05</w:t>
      </w:r>
    </w:p>
    <w:p>
      <w:pPr>
        <w:spacing w:before="0" w:after="80"/>
      </w:pPr>
      <w:r>
        <w:t xml:space="preserve"/>
      </w:r>
    </w:p>
    <w:p>
      <w:pPr>
        <w:pStyle w:val="Heading2"/>
        <w:spacing w:before="280" w:after="120"/>
      </w:pPr>
      <w:r>
        <w:rPr>
          <w:rFonts w:ascii="Arial" w:cs="Arial" w:eastAsia="Arial" w:hAnsi="Arial"/>
          <w:b/>
          <w:bCs/>
          <w:color w:val="2E5FAC"/>
          <w:sz w:val="26"/>
          <w:szCs w:val="26"/>
        </w:rPr>
        <w:t xml:space="preserve">5.4  Power BI Dashboard</w:t>
      </w:r>
    </w:p>
    <w:p>
      <w:pPr>
        <w:spacing w:before="0" w:after="60"/>
      </w:pPr>
      <w:r>
        <w:t xml:space="preserve"/>
      </w:r>
    </w:p>
    <w:p>
      <w:pPr>
        <w:shd w:fill="F2F4F7" w:val="clear"/>
        <w:spacing w:before="160" w:after="60"/>
      </w:pPr>
      <w:r>
        <w:rPr>
          <w:rFonts w:ascii="Arial" w:cs="Arial" w:eastAsia="Arial" w:hAnsi="Arial"/>
          <w:b/>
          <w:bCs/>
          <w:color w:val="1F3864"/>
          <w:sz w:val="20"/>
          <w:szCs w:val="20"/>
        </w:rPr>
        <w:t xml:space="preserve">FR-11</w:t>
      </w:r>
      <w:r>
        <w:rPr>
          <w:rFonts w:ascii="Arial" w:cs="Arial" w:eastAsia="Arial" w:hAnsi="Arial"/>
          <w:color w:val="595959"/>
          <w:sz w:val="20"/>
          <w:szCs w:val="20"/>
        </w:rPr>
        <w:t xml:space="preserve">  |  </w:t>
      </w:r>
      <w:r>
        <w:rPr>
          <w:rFonts w:ascii="Arial" w:cs="Arial" w:eastAsia="Arial" w:hAnsi="Arial"/>
          <w:color w:val="595959"/>
          <w:sz w:val="20"/>
          <w:szCs w:val="20"/>
        </w:rPr>
        <w:t xml:space="preserve">Dashboard</w:t>
      </w:r>
      <w:r>
        <w:rPr>
          <w:rFonts w:ascii="Arial" w:cs="Arial" w:eastAsia="Arial" w:hAnsi="Arial"/>
          <w:color w:val="595959"/>
          <w:sz w:val="20"/>
          <w:szCs w:val="20"/>
        </w:rPr>
        <w:t xml:space="preserve">  |  </w:t>
      </w:r>
      <w:r>
        <w:rPr>
          <w:rFonts w:ascii="Arial" w:cs="Arial" w:eastAsia="Arial" w:hAnsi="Arial"/>
          <w:b/>
          <w:bCs/>
          <w:color w:val="C00000"/>
          <w:sz w:val="20"/>
          <w:szCs w:val="20"/>
        </w:rPr>
        <w:t xml:space="preserve">Must Have</w:t>
      </w:r>
    </w:p>
    <w:p>
      <w:pPr>
        <w:spacing w:before="40" w:after="60"/>
        <w:ind w:left="360"/>
      </w:pPr>
      <w:r>
        <w:rPr>
          <w:rFonts w:ascii="Arial" w:cs="Arial" w:eastAsia="Arial" w:hAnsi="Arial"/>
          <w:color w:val="000000"/>
          <w:sz w:val="20"/>
          <w:szCs w:val="20"/>
        </w:rPr>
        <w:t xml:space="preserve">The system shall provide a benchmarking view enabling users to filter simultaneously by job family, job level, and US metro location and retrieve the corresponding BLS market range (P25, P50, P75) alongside TechNova's internal salary range for that job grade within a target interaction time of under 2 minutes.</w:t>
      </w:r>
    </w:p>
    <w:p>
      <w:pPr>
        <w:spacing w:before="0" w:after="120"/>
        <w:ind w:left="360"/>
      </w:pPr>
      <w:r>
        <w:rPr>
          <w:rFonts w:ascii="Arial" w:cs="Arial" w:eastAsia="Arial" w:hAnsi="Arial"/>
          <w:i/>
          <w:iCs/>
          <w:color w:val="595959"/>
          <w:sz w:val="18"/>
          <w:szCs w:val="18"/>
        </w:rPr>
        <w:t xml:space="preserve">Traces to: OBJ-01</w:t>
      </w:r>
    </w:p>
    <w:p>
      <w:pPr>
        <w:shd w:fill="F2F4F7" w:val="clear"/>
        <w:spacing w:before="160" w:after="60"/>
      </w:pPr>
      <w:r>
        <w:rPr>
          <w:rFonts w:ascii="Arial" w:cs="Arial" w:eastAsia="Arial" w:hAnsi="Arial"/>
          <w:b/>
          <w:bCs/>
          <w:color w:val="1F3864"/>
          <w:sz w:val="20"/>
          <w:szCs w:val="20"/>
        </w:rPr>
        <w:t xml:space="preserve">FR-12</w:t>
      </w:r>
      <w:r>
        <w:rPr>
          <w:rFonts w:ascii="Arial" w:cs="Arial" w:eastAsia="Arial" w:hAnsi="Arial"/>
          <w:color w:val="595959"/>
          <w:sz w:val="20"/>
          <w:szCs w:val="20"/>
        </w:rPr>
        <w:t xml:space="preserve">  |  </w:t>
      </w:r>
      <w:r>
        <w:rPr>
          <w:rFonts w:ascii="Arial" w:cs="Arial" w:eastAsia="Arial" w:hAnsi="Arial"/>
          <w:color w:val="595959"/>
          <w:sz w:val="20"/>
          <w:szCs w:val="20"/>
        </w:rPr>
        <w:t xml:space="preserve">Dashboard</w:t>
      </w:r>
      <w:r>
        <w:rPr>
          <w:rFonts w:ascii="Arial" w:cs="Arial" w:eastAsia="Arial" w:hAnsi="Arial"/>
          <w:color w:val="595959"/>
          <w:sz w:val="20"/>
          <w:szCs w:val="20"/>
        </w:rPr>
        <w:t xml:space="preserve">  |  </w:t>
      </w:r>
      <w:r>
        <w:rPr>
          <w:rFonts w:ascii="Arial" w:cs="Arial" w:eastAsia="Arial" w:hAnsi="Arial"/>
          <w:b/>
          <w:bCs/>
          <w:color w:val="C00000"/>
          <w:sz w:val="20"/>
          <w:szCs w:val="20"/>
        </w:rPr>
        <w:t xml:space="preserve">Must Have</w:t>
      </w:r>
    </w:p>
    <w:p>
      <w:pPr>
        <w:spacing w:before="40" w:after="60"/>
        <w:ind w:left="360"/>
      </w:pPr>
      <w:r>
        <w:rPr>
          <w:rFonts w:ascii="Arial" w:cs="Arial" w:eastAsia="Arial" w:hAnsi="Arial"/>
          <w:color w:val="000000"/>
          <w:sz w:val="20"/>
          <w:szCs w:val="20"/>
        </w:rPr>
        <w:t xml:space="preserve">The system shall display internal range and BLS market range side by side for any selected job family / level / location combination, showing at minimum: internal minimum, internal midpoint, internal maximum, BLS P25, BLS P50, and BLS P75.</w:t>
      </w:r>
    </w:p>
    <w:p>
      <w:pPr>
        <w:spacing w:before="0" w:after="120"/>
        <w:ind w:left="360"/>
      </w:pPr>
      <w:r>
        <w:rPr>
          <w:rFonts w:ascii="Arial" w:cs="Arial" w:eastAsia="Arial" w:hAnsi="Arial"/>
          <w:i/>
          <w:iCs/>
          <w:color w:val="595959"/>
          <w:sz w:val="18"/>
          <w:szCs w:val="18"/>
        </w:rPr>
        <w:t xml:space="preserve">Traces to: OBJ-01, OBJ-03</w:t>
      </w:r>
    </w:p>
    <w:p>
      <w:pPr>
        <w:shd w:fill="F2F4F7" w:val="clear"/>
        <w:spacing w:before="160" w:after="60"/>
      </w:pPr>
      <w:r>
        <w:rPr>
          <w:rFonts w:ascii="Arial" w:cs="Arial" w:eastAsia="Arial" w:hAnsi="Arial"/>
          <w:b/>
          <w:bCs/>
          <w:color w:val="1F3864"/>
          <w:sz w:val="20"/>
          <w:szCs w:val="20"/>
        </w:rPr>
        <w:t xml:space="preserve">FR-13</w:t>
      </w:r>
      <w:r>
        <w:rPr>
          <w:rFonts w:ascii="Arial" w:cs="Arial" w:eastAsia="Arial" w:hAnsi="Arial"/>
          <w:color w:val="595959"/>
          <w:sz w:val="20"/>
          <w:szCs w:val="20"/>
        </w:rPr>
        <w:t xml:space="preserve">  |  </w:t>
      </w:r>
      <w:r>
        <w:rPr>
          <w:rFonts w:ascii="Arial" w:cs="Arial" w:eastAsia="Arial" w:hAnsi="Arial"/>
          <w:color w:val="595959"/>
          <w:sz w:val="20"/>
          <w:szCs w:val="20"/>
        </w:rPr>
        <w:t xml:space="preserve">Dashboard</w:t>
      </w:r>
      <w:r>
        <w:rPr>
          <w:rFonts w:ascii="Arial" w:cs="Arial" w:eastAsia="Arial" w:hAnsi="Arial"/>
          <w:color w:val="595959"/>
          <w:sz w:val="20"/>
          <w:szCs w:val="20"/>
        </w:rPr>
        <w:t xml:space="preserve">  |  </w:t>
      </w:r>
      <w:r>
        <w:rPr>
          <w:rFonts w:ascii="Arial" w:cs="Arial" w:eastAsia="Arial" w:hAnsi="Arial"/>
          <w:b/>
          <w:bCs/>
          <w:color w:val="C00000"/>
          <w:sz w:val="20"/>
          <w:szCs w:val="20"/>
        </w:rPr>
        <w:t xml:space="preserve">Must Have</w:t>
      </w:r>
    </w:p>
    <w:p>
      <w:pPr>
        <w:spacing w:before="40" w:after="60"/>
        <w:ind w:left="360"/>
      </w:pPr>
      <w:r>
        <w:rPr>
          <w:rFonts w:ascii="Arial" w:cs="Arial" w:eastAsia="Arial" w:hAnsi="Arial"/>
          <w:color w:val="000000"/>
          <w:sz w:val="20"/>
          <w:szCs w:val="20"/>
        </w:rPr>
        <w:t xml:space="preserve">The system shall allow users to toggle the percentile reference point between P25, P50, and P75 without reloading the report, enabling recruiters to adjust competitive positioning context on the fly.</w:t>
      </w:r>
    </w:p>
    <w:p>
      <w:pPr>
        <w:spacing w:before="0" w:after="120"/>
        <w:ind w:left="360"/>
      </w:pPr>
      <w:r>
        <w:rPr>
          <w:rFonts w:ascii="Arial" w:cs="Arial" w:eastAsia="Arial" w:hAnsi="Arial"/>
          <w:i/>
          <w:iCs/>
          <w:color w:val="595959"/>
          <w:sz w:val="18"/>
          <w:szCs w:val="18"/>
        </w:rPr>
        <w:t xml:space="preserve">Traces to: OBJ-01</w:t>
      </w:r>
    </w:p>
    <w:p>
      <w:pPr>
        <w:shd w:fill="F2F4F7" w:val="clear"/>
        <w:spacing w:before="160" w:after="60"/>
      </w:pPr>
      <w:r>
        <w:rPr>
          <w:rFonts w:ascii="Arial" w:cs="Arial" w:eastAsia="Arial" w:hAnsi="Arial"/>
          <w:b/>
          <w:bCs/>
          <w:color w:val="1F3864"/>
          <w:sz w:val="20"/>
          <w:szCs w:val="20"/>
        </w:rPr>
        <w:t xml:space="preserve">FR-14</w:t>
      </w:r>
      <w:r>
        <w:rPr>
          <w:rFonts w:ascii="Arial" w:cs="Arial" w:eastAsia="Arial" w:hAnsi="Arial"/>
          <w:color w:val="595959"/>
          <w:sz w:val="20"/>
          <w:szCs w:val="20"/>
        </w:rPr>
        <w:t xml:space="preserve">  |  </w:t>
      </w:r>
      <w:r>
        <w:rPr>
          <w:rFonts w:ascii="Arial" w:cs="Arial" w:eastAsia="Arial" w:hAnsi="Arial"/>
          <w:color w:val="595959"/>
          <w:sz w:val="20"/>
          <w:szCs w:val="20"/>
        </w:rPr>
        <w:t xml:space="preserve">Dashboard</w:t>
      </w:r>
      <w:r>
        <w:rPr>
          <w:rFonts w:ascii="Arial" w:cs="Arial" w:eastAsia="Arial" w:hAnsi="Arial"/>
          <w:color w:val="595959"/>
          <w:sz w:val="20"/>
          <w:szCs w:val="20"/>
        </w:rPr>
        <w:t xml:space="preserve">  |  </w:t>
      </w:r>
      <w:r>
        <w:rPr>
          <w:rFonts w:ascii="Arial" w:cs="Arial" w:eastAsia="Arial" w:hAnsi="Arial"/>
          <w:b/>
          <w:bCs/>
          <w:color w:val="C00000"/>
          <w:sz w:val="20"/>
          <w:szCs w:val="20"/>
        </w:rPr>
        <w:t xml:space="preserve">Must Have</w:t>
      </w:r>
    </w:p>
    <w:p>
      <w:pPr>
        <w:spacing w:before="40" w:after="60"/>
        <w:ind w:left="360"/>
      </w:pPr>
      <w:r>
        <w:rPr>
          <w:rFonts w:ascii="Arial" w:cs="Arial" w:eastAsia="Arial" w:hAnsi="Arial"/>
          <w:color w:val="000000"/>
          <w:sz w:val="20"/>
          <w:szCs w:val="20"/>
        </w:rPr>
        <w:t xml:space="preserve">The system shall provide a below-market flags view listing all TechNova job grade + location combinations where the internal midpoint falls below the BLS P25 for the matched SOC code and MSA.</w:t>
      </w:r>
    </w:p>
    <w:p>
      <w:pPr>
        <w:spacing w:before="0" w:after="120"/>
        <w:ind w:left="360"/>
      </w:pPr>
      <w:r>
        <w:rPr>
          <w:rFonts w:ascii="Arial" w:cs="Arial" w:eastAsia="Arial" w:hAnsi="Arial"/>
          <w:i/>
          <w:iCs/>
          <w:color w:val="595959"/>
          <w:sz w:val="18"/>
          <w:szCs w:val="18"/>
        </w:rPr>
        <w:t xml:space="preserve">Traces to: OBJ-03</w:t>
      </w:r>
    </w:p>
    <w:p>
      <w:pPr>
        <w:shd w:fill="F2F4F7" w:val="clear"/>
        <w:spacing w:before="160" w:after="60"/>
      </w:pPr>
      <w:r>
        <w:rPr>
          <w:rFonts w:ascii="Arial" w:cs="Arial" w:eastAsia="Arial" w:hAnsi="Arial"/>
          <w:b/>
          <w:bCs/>
          <w:color w:val="1F3864"/>
          <w:sz w:val="20"/>
          <w:szCs w:val="20"/>
        </w:rPr>
        <w:t xml:space="preserve">FR-15</w:t>
      </w:r>
      <w:r>
        <w:rPr>
          <w:rFonts w:ascii="Arial" w:cs="Arial" w:eastAsia="Arial" w:hAnsi="Arial"/>
          <w:color w:val="595959"/>
          <w:sz w:val="20"/>
          <w:szCs w:val="20"/>
        </w:rPr>
        <w:t xml:space="preserve">  |  </w:t>
      </w:r>
      <w:r>
        <w:rPr>
          <w:rFonts w:ascii="Arial" w:cs="Arial" w:eastAsia="Arial" w:hAnsi="Arial"/>
          <w:color w:val="595959"/>
          <w:sz w:val="20"/>
          <w:szCs w:val="20"/>
        </w:rPr>
        <w:t xml:space="preserve">Dashboard</w:t>
      </w:r>
      <w:r>
        <w:rPr>
          <w:rFonts w:ascii="Arial" w:cs="Arial" w:eastAsia="Arial" w:hAnsi="Arial"/>
          <w:color w:val="595959"/>
          <w:sz w:val="20"/>
          <w:szCs w:val="20"/>
        </w:rPr>
        <w:t xml:space="preserve">  |  </w:t>
      </w:r>
      <w:r>
        <w:rPr>
          <w:rFonts w:ascii="Arial" w:cs="Arial" w:eastAsia="Arial" w:hAnsi="Arial"/>
          <w:b/>
          <w:bCs/>
          <w:color w:val="C00000"/>
          <w:sz w:val="20"/>
          <w:szCs w:val="20"/>
        </w:rPr>
        <w:t xml:space="preserve">Must Have</w:t>
      </w:r>
    </w:p>
    <w:p>
      <w:pPr>
        <w:spacing w:before="40" w:after="60"/>
        <w:ind w:left="360"/>
      </w:pPr>
      <w:r>
        <w:rPr>
          <w:rFonts w:ascii="Arial" w:cs="Arial" w:eastAsia="Arial" w:hAnsi="Arial"/>
          <w:color w:val="000000"/>
          <w:sz w:val="20"/>
          <w:szCs w:val="20"/>
        </w:rPr>
        <w:t xml:space="preserve">The system shall provide a pay equity summary view displaying compensation gap flags by job family and demographic category (at minimum: gender), surfacing cohorts where a statistically significant gap is detected at a defined confidence threshold.</w:t>
      </w:r>
    </w:p>
    <w:p>
      <w:pPr>
        <w:spacing w:before="0" w:after="120"/>
        <w:ind w:left="360"/>
      </w:pPr>
      <w:r>
        <w:rPr>
          <w:rFonts w:ascii="Arial" w:cs="Arial" w:eastAsia="Arial" w:hAnsi="Arial"/>
          <w:i/>
          <w:iCs/>
          <w:color w:val="595959"/>
          <w:sz w:val="18"/>
          <w:szCs w:val="18"/>
        </w:rPr>
        <w:t xml:space="preserve">Traces to: OBJ-04</w:t>
      </w:r>
    </w:p>
    <w:p>
      <w:pPr>
        <w:shd w:fill="F2F4F7" w:val="clear"/>
        <w:spacing w:before="160" w:after="60"/>
      </w:pPr>
      <w:r>
        <w:rPr>
          <w:rFonts w:ascii="Arial" w:cs="Arial" w:eastAsia="Arial" w:hAnsi="Arial"/>
          <w:b/>
          <w:bCs/>
          <w:color w:val="1F3864"/>
          <w:sz w:val="20"/>
          <w:szCs w:val="20"/>
        </w:rPr>
        <w:t xml:space="preserve">FR-16</w:t>
      </w:r>
      <w:r>
        <w:rPr>
          <w:rFonts w:ascii="Arial" w:cs="Arial" w:eastAsia="Arial" w:hAnsi="Arial"/>
          <w:color w:val="595959"/>
          <w:sz w:val="20"/>
          <w:szCs w:val="20"/>
        </w:rPr>
        <w:t xml:space="preserve">  |  </w:t>
      </w:r>
      <w:r>
        <w:rPr>
          <w:rFonts w:ascii="Arial" w:cs="Arial" w:eastAsia="Arial" w:hAnsi="Arial"/>
          <w:color w:val="595959"/>
          <w:sz w:val="20"/>
          <w:szCs w:val="20"/>
        </w:rPr>
        <w:t xml:space="preserve">Dashboard</w:t>
      </w:r>
      <w:r>
        <w:rPr>
          <w:rFonts w:ascii="Arial" w:cs="Arial" w:eastAsia="Arial" w:hAnsi="Arial"/>
          <w:color w:val="595959"/>
          <w:sz w:val="20"/>
          <w:szCs w:val="20"/>
        </w:rPr>
        <w:t xml:space="preserve">  |  </w:t>
      </w:r>
      <w:r>
        <w:rPr>
          <w:rFonts w:ascii="Arial" w:cs="Arial" w:eastAsia="Arial" w:hAnsi="Arial"/>
          <w:b/>
          <w:bCs/>
          <w:color w:val="7F6000"/>
          <w:sz w:val="20"/>
          <w:szCs w:val="20"/>
        </w:rPr>
        <w:t xml:space="preserve">Should Have</w:t>
      </w:r>
    </w:p>
    <w:p>
      <w:pPr>
        <w:spacing w:before="40" w:after="60"/>
        <w:ind w:left="360"/>
      </w:pPr>
      <w:r>
        <w:rPr>
          <w:rFonts w:ascii="Arial" w:cs="Arial" w:eastAsia="Arial" w:hAnsi="Arial"/>
          <w:color w:val="000000"/>
          <w:sz w:val="20"/>
          <w:szCs w:val="20"/>
        </w:rPr>
        <w:t xml:space="preserve">The system shall display a data freshness indicator on every dashboard page showing the date of the most recent BLS pipeline run and the most recent CSV upload, so users can assess currency of the data they are viewing.</w:t>
      </w:r>
    </w:p>
    <w:p>
      <w:pPr>
        <w:spacing w:before="0" w:after="120"/>
        <w:ind w:left="360"/>
      </w:pPr>
      <w:r>
        <w:rPr>
          <w:rFonts w:ascii="Arial" w:cs="Arial" w:eastAsia="Arial" w:hAnsi="Arial"/>
          <w:i/>
          <w:iCs/>
          <w:color w:val="595959"/>
          <w:sz w:val="18"/>
          <w:szCs w:val="18"/>
        </w:rPr>
        <w:t xml:space="preserve">Traces to: OBJ-02</w:t>
      </w:r>
    </w:p>
    <w:p>
      <w:pPr>
        <w:spacing w:before="0" w:after="80"/>
      </w:pPr>
      <w:r>
        <w:t xml:space="preserve"/>
      </w:r>
    </w:p>
    <w:p>
      <w:pPr>
        <w:pStyle w:val="Heading2"/>
        <w:spacing w:before="280" w:after="120"/>
      </w:pPr>
      <w:r>
        <w:rPr>
          <w:rFonts w:ascii="Arial" w:cs="Arial" w:eastAsia="Arial" w:hAnsi="Arial"/>
          <w:b/>
          <w:bCs/>
          <w:color w:val="2E5FAC"/>
          <w:sz w:val="26"/>
          <w:szCs w:val="26"/>
        </w:rPr>
        <w:t xml:space="preserve">5.5  Documentation Artifacts</w:t>
      </w:r>
    </w:p>
    <w:p>
      <w:pPr>
        <w:spacing w:before="0" w:after="60"/>
      </w:pPr>
      <w:r>
        <w:t xml:space="preserve"/>
      </w:r>
    </w:p>
    <w:p>
      <w:pPr>
        <w:shd w:fill="F2F4F7" w:val="clear"/>
        <w:spacing w:before="160" w:after="60"/>
      </w:pPr>
      <w:r>
        <w:rPr>
          <w:rFonts w:ascii="Arial" w:cs="Arial" w:eastAsia="Arial" w:hAnsi="Arial"/>
          <w:b/>
          <w:bCs/>
          <w:color w:val="1F3864"/>
          <w:sz w:val="20"/>
          <w:szCs w:val="20"/>
        </w:rPr>
        <w:t xml:space="preserve">FR-17</w:t>
      </w:r>
      <w:r>
        <w:rPr>
          <w:rFonts w:ascii="Arial" w:cs="Arial" w:eastAsia="Arial" w:hAnsi="Arial"/>
          <w:color w:val="595959"/>
          <w:sz w:val="20"/>
          <w:szCs w:val="20"/>
        </w:rPr>
        <w:t xml:space="preserve">  |  </w:t>
      </w:r>
      <w:r>
        <w:rPr>
          <w:rFonts w:ascii="Arial" w:cs="Arial" w:eastAsia="Arial" w:hAnsi="Arial"/>
          <w:color w:val="595959"/>
          <w:sz w:val="20"/>
          <w:szCs w:val="20"/>
        </w:rPr>
        <w:t xml:space="preserve">Documentation</w:t>
      </w:r>
      <w:r>
        <w:rPr>
          <w:rFonts w:ascii="Arial" w:cs="Arial" w:eastAsia="Arial" w:hAnsi="Arial"/>
          <w:color w:val="595959"/>
          <w:sz w:val="20"/>
          <w:szCs w:val="20"/>
        </w:rPr>
        <w:t xml:space="preserve">  |  </w:t>
      </w:r>
      <w:r>
        <w:rPr>
          <w:rFonts w:ascii="Arial" w:cs="Arial" w:eastAsia="Arial" w:hAnsi="Arial"/>
          <w:b/>
          <w:bCs/>
          <w:color w:val="C00000"/>
          <w:sz w:val="20"/>
          <w:szCs w:val="20"/>
        </w:rPr>
        <w:t xml:space="preserve">Must Have</w:t>
      </w:r>
    </w:p>
    <w:p>
      <w:pPr>
        <w:spacing w:before="40" w:after="60"/>
        <w:ind w:left="360"/>
      </w:pPr>
      <w:r>
        <w:rPr>
          <w:rFonts w:ascii="Arial" w:cs="Arial" w:eastAsia="Arial" w:hAnsi="Arial"/>
          <w:color w:val="000000"/>
          <w:sz w:val="20"/>
          <w:szCs w:val="20"/>
        </w:rPr>
        <w:t xml:space="preserve">The project shall include an OpenAPI/Swagger specification documenting the BLS OEWS API integration: endpoint URLs, query parameters, request/response schemas, authentication model, and error response codes.</w:t>
      </w:r>
    </w:p>
    <w:p>
      <w:pPr>
        <w:spacing w:before="0" w:after="120"/>
        <w:ind w:left="360"/>
      </w:pPr>
      <w:r>
        <w:rPr>
          <w:rFonts w:ascii="Arial" w:cs="Arial" w:eastAsia="Arial" w:hAnsi="Arial"/>
          <w:i/>
          <w:iCs/>
          <w:color w:val="595959"/>
          <w:sz w:val="18"/>
          <w:szCs w:val="18"/>
        </w:rPr>
        <w:t xml:space="preserve">Traces to: OBJ-05</w:t>
      </w:r>
    </w:p>
    <w:p>
      <w:pPr>
        <w:shd w:fill="F2F4F7" w:val="clear"/>
        <w:spacing w:before="160" w:after="60"/>
      </w:pPr>
      <w:r>
        <w:rPr>
          <w:rFonts w:ascii="Arial" w:cs="Arial" w:eastAsia="Arial" w:hAnsi="Arial"/>
          <w:b/>
          <w:bCs/>
          <w:color w:val="1F3864"/>
          <w:sz w:val="20"/>
          <w:szCs w:val="20"/>
        </w:rPr>
        <w:t xml:space="preserve">FR-18</w:t>
      </w:r>
      <w:r>
        <w:rPr>
          <w:rFonts w:ascii="Arial" w:cs="Arial" w:eastAsia="Arial" w:hAnsi="Arial"/>
          <w:color w:val="595959"/>
          <w:sz w:val="20"/>
          <w:szCs w:val="20"/>
        </w:rPr>
        <w:t xml:space="preserve">  |  </w:t>
      </w:r>
      <w:r>
        <w:rPr>
          <w:rFonts w:ascii="Arial" w:cs="Arial" w:eastAsia="Arial" w:hAnsi="Arial"/>
          <w:color w:val="595959"/>
          <w:sz w:val="20"/>
          <w:szCs w:val="20"/>
        </w:rPr>
        <w:t xml:space="preserve">Documentation</w:t>
      </w:r>
      <w:r>
        <w:rPr>
          <w:rFonts w:ascii="Arial" w:cs="Arial" w:eastAsia="Arial" w:hAnsi="Arial"/>
          <w:color w:val="595959"/>
          <w:sz w:val="20"/>
          <w:szCs w:val="20"/>
        </w:rPr>
        <w:t xml:space="preserve">  |  </w:t>
      </w:r>
      <w:r>
        <w:rPr>
          <w:rFonts w:ascii="Arial" w:cs="Arial" w:eastAsia="Arial" w:hAnsi="Arial"/>
          <w:b/>
          <w:bCs/>
          <w:color w:val="C00000"/>
          <w:sz w:val="20"/>
          <w:szCs w:val="20"/>
        </w:rPr>
        <w:t xml:space="preserve">Must Have</w:t>
      </w:r>
    </w:p>
    <w:p>
      <w:pPr>
        <w:spacing w:before="40" w:after="60"/>
        <w:ind w:left="360"/>
      </w:pPr>
      <w:r>
        <w:rPr>
          <w:rFonts w:ascii="Arial" w:cs="Arial" w:eastAsia="Arial" w:hAnsi="Arial"/>
          <w:color w:val="000000"/>
          <w:sz w:val="20"/>
          <w:szCs w:val="20"/>
        </w:rPr>
        <w:t xml:space="preserve">The project shall include a UML sequence diagram illustrating the end-to-end data flow from BLS API call through Python transformation, PostgreSQL storage, and Power BI consumption.</w:t>
      </w:r>
    </w:p>
    <w:p>
      <w:pPr>
        <w:spacing w:before="0" w:after="120"/>
        <w:ind w:left="360"/>
      </w:pPr>
      <w:r>
        <w:rPr>
          <w:rFonts w:ascii="Arial" w:cs="Arial" w:eastAsia="Arial" w:hAnsi="Arial"/>
          <w:i/>
          <w:iCs/>
          <w:color w:val="595959"/>
          <w:sz w:val="18"/>
          <w:szCs w:val="18"/>
        </w:rPr>
        <w:t xml:space="preserve">Traces to: OBJ-05</w:t>
      </w:r>
    </w:p>
    <w:p>
      <w:pPr>
        <w:spacing w:before="0" w:after="80"/>
      </w:pPr>
      <w:r>
        <w:t xml:space="preserve"/>
      </w:r>
    </w:p>
    <w:p>
      <w:pPr>
        <w:pStyle w:val="Heading2"/>
        <w:spacing w:before="280" w:after="120"/>
      </w:pPr>
      <w:r>
        <w:rPr>
          <w:rFonts w:ascii="Arial" w:cs="Arial" w:eastAsia="Arial" w:hAnsi="Arial"/>
          <w:b/>
          <w:bCs/>
          <w:color w:val="2E5FAC"/>
          <w:sz w:val="26"/>
          <w:szCs w:val="26"/>
        </w:rPr>
        <w:t xml:space="preserve">5.6  Functional Requirements Summary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4760"/>
        <w:gridCol w:w="1700"/>
      </w:tblGrid>
      <w:tr>
        <w:trPr>
          <w:tblHeader/>
        </w:trPr>
        <w:tc>
          <w:tcPr>
            <w:tcW w:type="dxa" w:w="90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200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Functional Area</w:t>
            </w:r>
          </w:p>
        </w:tc>
        <w:tc>
          <w:tcPr>
            <w:tcW w:type="dxa" w:w="476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 Summary</w:t>
            </w:r>
          </w:p>
        </w:tc>
        <w:tc>
          <w:tcPr>
            <w:tcW w:type="dxa" w:w="170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BLS Pipeline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API pull: wage percentiles + MSA filter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FR-02</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BLS Pipeline</w:t>
            </w:r>
          </w:p>
        </w:tc>
        <w:tc>
          <w:tcPr>
            <w:tcW w:type="dxa" w:w="4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Quarterly manual trigger, no-dev run procedure</w:t>
            </w:r>
          </w:p>
        </w:tc>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BLS Pipeline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Run log: timestamp + record count + status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FR-04</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BLS Pipeline</w:t>
            </w:r>
          </w:p>
        </w:tc>
        <w:tc>
          <w:tcPr>
            <w:tcW w:type="dxa" w:w="4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Schema change + HTTP error detection</w:t>
            </w:r>
          </w:p>
        </w:tc>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Should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CSV Ingestion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Flat file load to PostgreSQL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FR-06</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CSV Ingestion</w:t>
            </w:r>
          </w:p>
        </w:tc>
        <w:tc>
          <w:tcPr>
            <w:tcW w:type="dxa" w:w="4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Schema validation before write</w:t>
            </w:r>
          </w:p>
        </w:tc>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CSV Ingestion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Documented CSV template with examples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FR-08</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 Storage</w:t>
            </w:r>
          </w:p>
        </w:tc>
        <w:tc>
          <w:tcPr>
            <w:tcW w:type="dxa" w:w="4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Job-to-SOC crosswalk table</w:t>
            </w:r>
          </w:p>
        </w:tc>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 Storage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MSA-level geographic wage storage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FR-10</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 Storage</w:t>
            </w:r>
          </w:p>
        </w:tc>
        <w:tc>
          <w:tcPr>
            <w:tcW w:type="dxa" w:w="4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 data dictionary</w:t>
            </w:r>
          </w:p>
        </w:tc>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Dashboard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Filter: family + level + location → range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FR-12</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Dashboard</w:t>
            </w:r>
          </w:p>
        </w:tc>
        <w:tc>
          <w:tcPr>
            <w:tcW w:type="dxa" w:w="4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Internal vs. market side-by-side view</w:t>
            </w:r>
          </w:p>
        </w:tc>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Dashboard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Percentile toggle (P25 / P50 / P75)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FR-14</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Dashboard</w:t>
            </w:r>
          </w:p>
        </w:tc>
        <w:tc>
          <w:tcPr>
            <w:tcW w:type="dxa" w:w="4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Below-market flags view</w:t>
            </w:r>
          </w:p>
        </w:tc>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Dashboard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Pay equity gap flags view (gender, v1)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FR-16</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Dashboard</w:t>
            </w:r>
          </w:p>
        </w:tc>
        <w:tc>
          <w:tcPr>
            <w:tcW w:type="dxa" w:w="4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 freshness indicator</w:t>
            </w:r>
          </w:p>
        </w:tc>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Should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FR-17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OpenAPI/Swagger spec for BLS integration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FR-18</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Documentation</w:t>
            </w:r>
          </w:p>
        </w:tc>
        <w:tc>
          <w:tcPr>
            <w:tcW w:type="dxa" w:w="4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UML sequence diagram: end-to-end data flow</w:t>
            </w:r>
          </w:p>
        </w:tc>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Must</w:t>
            </w:r>
          </w:p>
        </w:tc>
      </w:tr>
    </w:tbl>
    <w:p>
      <w:pPr>
        <w:pageBreakBefore/>
      </w:pPr>
      <w:r>
        <w:rPr>
          <w:rFonts w:ascii="Arial" w:cs="Arial" w:eastAsia="Arial" w:hAnsi="Arial"/>
        </w:rPr>
        <w:t xml:space="preserve"/>
      </w:r>
    </w:p>
    <w:p>
      <w:pPr>
        <w:pStyle w:val="Heading1"/>
        <w:pBdr>
          <w:bottom w:val="single" w:color="2E5FAC" w:sz="6" w:space="4"/>
        </w:pBdr>
        <w:spacing w:before="400" w:after="160"/>
      </w:pPr>
      <w:r>
        <w:rPr>
          <w:rFonts w:ascii="Arial" w:cs="Arial" w:eastAsia="Arial" w:hAnsi="Arial"/>
          <w:b/>
          <w:bCs/>
          <w:color w:val="1F3864"/>
          <w:sz w:val="32"/>
          <w:szCs w:val="32"/>
        </w:rPr>
        <w:t xml:space="preserve">6.  Non-Functional Requirements</w:t>
      </w:r>
    </w:p>
    <w:p>
      <w:pPr>
        <w:spacing w:before="60" w:after="100"/>
        <w:jc w:val="left"/>
      </w:pPr>
      <w:r>
        <w:rPr>
          <w:rFonts w:ascii="Arial" w:cs="Arial" w:eastAsia="Arial" w:hAnsi="Arial"/>
          <w:b w:val="false"/>
          <w:bCs w:val="false"/>
          <w:color w:val="000000"/>
          <w:sz w:val="20"/>
          <w:szCs w:val="20"/>
        </w:rPr>
        <w:t xml:space="preserve">Non-functional requirements define how well the system must perform, not what it must do. Requirements are organized by category with rationale provided for each group to support prioritization decisions.</w:t>
      </w:r>
    </w:p>
    <w:p>
      <w:pPr>
        <w:spacing w:before="0" w:after="80"/>
      </w:pPr>
      <w:r>
        <w:t xml:space="preserve"/>
      </w:r>
    </w:p>
    <w:p>
      <w:pPr>
        <w:pStyle w:val="Heading2"/>
        <w:spacing w:before="280" w:after="120"/>
      </w:pPr>
      <w:r>
        <w:rPr>
          <w:rFonts w:ascii="Arial" w:cs="Arial" w:eastAsia="Arial" w:hAnsi="Arial"/>
          <w:b/>
          <w:bCs/>
          <w:color w:val="2E5FAC"/>
          <w:sz w:val="26"/>
          <w:szCs w:val="26"/>
        </w:rPr>
        <w:t xml:space="preserve">6.1  Data Accuracy — Critical</w:t>
      </w:r>
    </w:p>
    <w:p>
      <w:pPr>
        <w:spacing w:before="0" w:after="60"/>
      </w:pPr>
      <w:r>
        <w:t xml:space="preserve"/>
      </w:r>
    </w:p>
    <w:p>
      <w:pPr>
        <w:shd w:fill="F2F4F7" w:val="clear"/>
        <w:spacing w:before="160" w:after="60"/>
      </w:pPr>
      <w:r>
        <w:rPr>
          <w:rFonts w:ascii="Arial" w:cs="Arial" w:eastAsia="Arial" w:hAnsi="Arial"/>
          <w:b/>
          <w:bCs/>
          <w:color w:val="1F3864"/>
          <w:sz w:val="20"/>
          <w:szCs w:val="20"/>
        </w:rPr>
        <w:t xml:space="preserve">NFR-01a</w:t>
      </w:r>
      <w:r>
        <w:rPr>
          <w:rFonts w:ascii="Arial" w:cs="Arial" w:eastAsia="Arial" w:hAnsi="Arial"/>
          <w:color w:val="595959"/>
          <w:sz w:val="20"/>
          <w:szCs w:val="20"/>
        </w:rPr>
        <w:t xml:space="preserve">  |  </w:t>
      </w:r>
      <w:r>
        <w:rPr>
          <w:rFonts w:ascii="Arial" w:cs="Arial" w:eastAsia="Arial" w:hAnsi="Arial"/>
          <w:color w:val="595959"/>
          <w:sz w:val="20"/>
          <w:szCs w:val="20"/>
        </w:rPr>
        <w:t xml:space="preserve">Data Accuracy</w:t>
      </w:r>
      <w:r>
        <w:rPr>
          <w:rFonts w:ascii="Arial" w:cs="Arial" w:eastAsia="Arial" w:hAnsi="Arial"/>
          <w:color w:val="595959"/>
          <w:sz w:val="20"/>
          <w:szCs w:val="20"/>
        </w:rPr>
        <w:t xml:space="preserve">  |  </w:t>
      </w:r>
      <w:r>
        <w:rPr>
          <w:rFonts w:ascii="Arial" w:cs="Arial" w:eastAsia="Arial" w:hAnsi="Arial"/>
          <w:b/>
          <w:bCs/>
          <w:color w:val="C00000"/>
          <w:sz w:val="20"/>
          <w:szCs w:val="20"/>
        </w:rPr>
        <w:t xml:space="preserve">Must Have</w:t>
      </w:r>
    </w:p>
    <w:p>
      <w:pPr>
        <w:spacing w:before="40" w:after="60"/>
        <w:ind w:left="360"/>
      </w:pPr>
      <w:r>
        <w:rPr>
          <w:rFonts w:ascii="Arial" w:cs="Arial" w:eastAsia="Arial" w:hAnsi="Arial"/>
          <w:color w:val="000000"/>
          <w:sz w:val="20"/>
          <w:szCs w:val="20"/>
        </w:rPr>
        <w:t xml:space="preserve">The pipeline shall not write BLS or CSV records to PostgreSQL if schema validation fails. Partial or malformed loads are explicitly prohibited — the system must fail loudly rather than silently degrade data quality.</w:t>
      </w:r>
    </w:p>
    <w:p>
      <w:pPr>
        <w:spacing w:before="0" w:after="120"/>
        <w:ind w:left="360"/>
      </w:pPr>
      <w:r>
        <w:rPr>
          <w:rFonts w:ascii="Arial" w:cs="Arial" w:eastAsia="Arial" w:hAnsi="Arial"/>
          <w:i/>
          <w:iCs/>
          <w:color w:val="595959"/>
          <w:sz w:val="18"/>
          <w:szCs w:val="18"/>
        </w:rPr>
        <w:t xml:space="preserve">Traces to: OBJ-01, OBJ-03</w:t>
      </w:r>
    </w:p>
    <w:p>
      <w:pPr>
        <w:shd w:fill="F2F4F7" w:val="clear"/>
        <w:spacing w:before="160" w:after="60"/>
      </w:pPr>
      <w:r>
        <w:rPr>
          <w:rFonts w:ascii="Arial" w:cs="Arial" w:eastAsia="Arial" w:hAnsi="Arial"/>
          <w:b/>
          <w:bCs/>
          <w:color w:val="1F3864"/>
          <w:sz w:val="20"/>
          <w:szCs w:val="20"/>
        </w:rPr>
        <w:t xml:space="preserve">NFR-01b</w:t>
      </w:r>
      <w:r>
        <w:rPr>
          <w:rFonts w:ascii="Arial" w:cs="Arial" w:eastAsia="Arial" w:hAnsi="Arial"/>
          <w:color w:val="595959"/>
          <w:sz w:val="20"/>
          <w:szCs w:val="20"/>
        </w:rPr>
        <w:t xml:space="preserve">  |  </w:t>
      </w:r>
      <w:r>
        <w:rPr>
          <w:rFonts w:ascii="Arial" w:cs="Arial" w:eastAsia="Arial" w:hAnsi="Arial"/>
          <w:color w:val="595959"/>
          <w:sz w:val="20"/>
          <w:szCs w:val="20"/>
        </w:rPr>
        <w:t xml:space="preserve">Data Accuracy</w:t>
      </w:r>
      <w:r>
        <w:rPr>
          <w:rFonts w:ascii="Arial" w:cs="Arial" w:eastAsia="Arial" w:hAnsi="Arial"/>
          <w:color w:val="595959"/>
          <w:sz w:val="20"/>
          <w:szCs w:val="20"/>
        </w:rPr>
        <w:t xml:space="preserve">  |  </w:t>
      </w:r>
      <w:r>
        <w:rPr>
          <w:rFonts w:ascii="Arial" w:cs="Arial" w:eastAsia="Arial" w:hAnsi="Arial"/>
          <w:b/>
          <w:bCs/>
          <w:color w:val="C00000"/>
          <w:sz w:val="20"/>
          <w:szCs w:val="20"/>
        </w:rPr>
        <w:t xml:space="preserve">Must Have</w:t>
      </w:r>
    </w:p>
    <w:p>
      <w:pPr>
        <w:spacing w:before="40" w:after="60"/>
        <w:ind w:left="360"/>
      </w:pPr>
      <w:r>
        <w:rPr>
          <w:rFonts w:ascii="Arial" w:cs="Arial" w:eastAsia="Arial" w:hAnsi="Arial"/>
          <w:color w:val="000000"/>
          <w:sz w:val="20"/>
          <w:szCs w:val="20"/>
        </w:rPr>
        <w:t xml:space="preserve">Each pipeline run shall produce a reconciliation log comparing records received from the BLS API against records successfully written to PostgreSQL. Any discrepancy greater than zero records shall be flagged in the run log.</w:t>
      </w:r>
    </w:p>
    <w:p>
      <w:pPr>
        <w:spacing w:before="0" w:after="120"/>
        <w:ind w:left="360"/>
      </w:pPr>
      <w:r>
        <w:rPr>
          <w:rFonts w:ascii="Arial" w:cs="Arial" w:eastAsia="Arial" w:hAnsi="Arial"/>
          <w:i/>
          <w:iCs/>
          <w:color w:val="595959"/>
          <w:sz w:val="18"/>
          <w:szCs w:val="18"/>
        </w:rPr>
        <w:t xml:space="preserve">Traces to: OBJ-02</w:t>
      </w:r>
    </w:p>
    <w:p>
      <w:pPr>
        <w:shd w:fill="F2F4F7" w:val="clear"/>
        <w:spacing w:before="160" w:after="60"/>
      </w:pPr>
      <w:r>
        <w:rPr>
          <w:rFonts w:ascii="Arial" w:cs="Arial" w:eastAsia="Arial" w:hAnsi="Arial"/>
          <w:b/>
          <w:bCs/>
          <w:color w:val="1F3864"/>
          <w:sz w:val="20"/>
          <w:szCs w:val="20"/>
        </w:rPr>
        <w:t xml:space="preserve">NFR-01c</w:t>
      </w:r>
      <w:r>
        <w:rPr>
          <w:rFonts w:ascii="Arial" w:cs="Arial" w:eastAsia="Arial" w:hAnsi="Arial"/>
          <w:color w:val="595959"/>
          <w:sz w:val="20"/>
          <w:szCs w:val="20"/>
        </w:rPr>
        <w:t xml:space="preserve">  |  </w:t>
      </w:r>
      <w:r>
        <w:rPr>
          <w:rFonts w:ascii="Arial" w:cs="Arial" w:eastAsia="Arial" w:hAnsi="Arial"/>
          <w:color w:val="595959"/>
          <w:sz w:val="20"/>
          <w:szCs w:val="20"/>
        </w:rPr>
        <w:t xml:space="preserve">Data Accuracy</w:t>
      </w:r>
      <w:r>
        <w:rPr>
          <w:rFonts w:ascii="Arial" w:cs="Arial" w:eastAsia="Arial" w:hAnsi="Arial"/>
          <w:color w:val="595959"/>
          <w:sz w:val="20"/>
          <w:szCs w:val="20"/>
        </w:rPr>
        <w:t xml:space="preserve">  |  </w:t>
      </w:r>
      <w:r>
        <w:rPr>
          <w:rFonts w:ascii="Arial" w:cs="Arial" w:eastAsia="Arial" w:hAnsi="Arial"/>
          <w:b/>
          <w:bCs/>
          <w:color w:val="C00000"/>
          <w:sz w:val="20"/>
          <w:szCs w:val="20"/>
        </w:rPr>
        <w:t xml:space="preserve">Must Have</w:t>
      </w:r>
    </w:p>
    <w:p>
      <w:pPr>
        <w:spacing w:before="40" w:after="60"/>
        <w:ind w:left="360"/>
      </w:pPr>
      <w:r>
        <w:rPr>
          <w:rFonts w:ascii="Arial" w:cs="Arial" w:eastAsia="Arial" w:hAnsi="Arial"/>
          <w:color w:val="000000"/>
          <w:sz w:val="20"/>
          <w:szCs w:val="20"/>
        </w:rPr>
        <w:t xml:space="preserve">The job-to-SOC crosswalk table shall be treated as a controlled artifact. Changes require a documented update with a reason, effective date, and author recorded in a change log table within PostgreSQL.</w:t>
      </w:r>
    </w:p>
    <w:p>
      <w:pPr>
        <w:spacing w:before="0" w:after="120"/>
        <w:ind w:left="360"/>
      </w:pPr>
      <w:r>
        <w:rPr>
          <w:rFonts w:ascii="Arial" w:cs="Arial" w:eastAsia="Arial" w:hAnsi="Arial"/>
          <w:i/>
          <w:iCs/>
          <w:color w:val="595959"/>
          <w:sz w:val="18"/>
          <w:szCs w:val="18"/>
        </w:rPr>
        <w:t xml:space="preserve">Traces to: OBJ-02</w:t>
      </w:r>
    </w:p>
    <w:p>
      <w:pPr>
        <w:spacing w:before="40" w:after="160"/>
        <w:ind w:left="360"/>
      </w:pPr>
      <w:r>
        <w:rPr>
          <w:rFonts w:ascii="Arial" w:cs="Arial" w:eastAsia="Arial" w:hAnsi="Arial"/>
          <w:i/>
          <w:iCs/>
          <w:color w:val="595959"/>
          <w:sz w:val="18"/>
          <w:szCs w:val="18"/>
        </w:rPr>
        <w:t xml:space="preserve">Rationale: Internal salary decisions will be made against this data. Silent corruption or dropped records directly undermine the trust required by OBJ-01 and OBJ-03. For a compensation tool, data accuracy is a non-negotiable foundation.</w:t>
      </w:r>
    </w:p>
    <w:p>
      <w:pPr>
        <w:pStyle w:val="Heading2"/>
        <w:spacing w:before="280" w:after="120"/>
      </w:pPr>
      <w:r>
        <w:rPr>
          <w:rFonts w:ascii="Arial" w:cs="Arial" w:eastAsia="Arial" w:hAnsi="Arial"/>
          <w:b/>
          <w:bCs/>
          <w:color w:val="2E5FAC"/>
          <w:sz w:val="26"/>
          <w:szCs w:val="26"/>
        </w:rPr>
        <w:t xml:space="preserve">6.2  Security — High</w:t>
      </w:r>
    </w:p>
    <w:p>
      <w:pPr>
        <w:spacing w:before="0" w:after="60"/>
      </w:pPr>
      <w:r>
        <w:t xml:space="preserve"/>
      </w:r>
    </w:p>
    <w:p>
      <w:pPr>
        <w:shd w:fill="F2F4F7" w:val="clear"/>
        <w:spacing w:before="160" w:after="60"/>
      </w:pPr>
      <w:r>
        <w:rPr>
          <w:rFonts w:ascii="Arial" w:cs="Arial" w:eastAsia="Arial" w:hAnsi="Arial"/>
          <w:b/>
          <w:bCs/>
          <w:color w:val="1F3864"/>
          <w:sz w:val="20"/>
          <w:szCs w:val="20"/>
        </w:rPr>
        <w:t xml:space="preserve">NFR-02a</w:t>
      </w:r>
      <w:r>
        <w:rPr>
          <w:rFonts w:ascii="Arial" w:cs="Arial" w:eastAsia="Arial" w:hAnsi="Arial"/>
          <w:color w:val="595959"/>
          <w:sz w:val="20"/>
          <w:szCs w:val="20"/>
        </w:rPr>
        <w:t xml:space="preserve">  |  </w:t>
      </w:r>
      <w:r>
        <w:rPr>
          <w:rFonts w:ascii="Arial" w:cs="Arial" w:eastAsia="Arial" w:hAnsi="Arial"/>
          <w:color w:val="595959"/>
          <w:sz w:val="20"/>
          <w:szCs w:val="20"/>
        </w:rPr>
        <w:t xml:space="preserve">Security</w:t>
      </w:r>
      <w:r>
        <w:rPr>
          <w:rFonts w:ascii="Arial" w:cs="Arial" w:eastAsia="Arial" w:hAnsi="Arial"/>
          <w:color w:val="595959"/>
          <w:sz w:val="20"/>
          <w:szCs w:val="20"/>
        </w:rPr>
        <w:t xml:space="preserve">  |  </w:t>
      </w:r>
      <w:r>
        <w:rPr>
          <w:rFonts w:ascii="Arial" w:cs="Arial" w:eastAsia="Arial" w:hAnsi="Arial"/>
          <w:b/>
          <w:bCs/>
          <w:color w:val="C00000"/>
          <w:sz w:val="20"/>
          <w:szCs w:val="20"/>
        </w:rPr>
        <w:t xml:space="preserve">Must Have</w:t>
      </w:r>
    </w:p>
    <w:p>
      <w:pPr>
        <w:spacing w:before="40" w:after="60"/>
        <w:ind w:left="360"/>
      </w:pPr>
      <w:r>
        <w:rPr>
          <w:rFonts w:ascii="Arial" w:cs="Arial" w:eastAsia="Arial" w:hAnsi="Arial"/>
          <w:color w:val="000000"/>
          <w:sz w:val="20"/>
          <w:szCs w:val="20"/>
        </w:rPr>
        <w:t xml:space="preserve">Access to the Power BI report shall be restricted to authenticated TechNova users via Power BI Service workspace permissions. The report shall not be published as publicly accessible.</w:t>
      </w:r>
    </w:p>
    <w:p>
      <w:pPr>
        <w:spacing w:before="0" w:after="120"/>
        <w:ind w:left="360"/>
      </w:pPr>
      <w:r>
        <w:rPr>
          <w:rFonts w:ascii="Arial" w:cs="Arial" w:eastAsia="Arial" w:hAnsi="Arial"/>
          <w:i/>
          <w:iCs/>
          <w:color w:val="595959"/>
          <w:sz w:val="18"/>
          <w:szCs w:val="18"/>
        </w:rPr>
        <w:t xml:space="preserve">Traces to: OBJ-04</w:t>
      </w:r>
    </w:p>
    <w:p>
      <w:pPr>
        <w:shd w:fill="F2F4F7" w:val="clear"/>
        <w:spacing w:before="160" w:after="60"/>
      </w:pPr>
      <w:r>
        <w:rPr>
          <w:rFonts w:ascii="Arial" w:cs="Arial" w:eastAsia="Arial" w:hAnsi="Arial"/>
          <w:b/>
          <w:bCs/>
          <w:color w:val="1F3864"/>
          <w:sz w:val="20"/>
          <w:szCs w:val="20"/>
        </w:rPr>
        <w:t xml:space="preserve">NFR-02b</w:t>
      </w:r>
      <w:r>
        <w:rPr>
          <w:rFonts w:ascii="Arial" w:cs="Arial" w:eastAsia="Arial" w:hAnsi="Arial"/>
          <w:color w:val="595959"/>
          <w:sz w:val="20"/>
          <w:szCs w:val="20"/>
        </w:rPr>
        <w:t xml:space="preserve">  |  </w:t>
      </w:r>
      <w:r>
        <w:rPr>
          <w:rFonts w:ascii="Arial" w:cs="Arial" w:eastAsia="Arial" w:hAnsi="Arial"/>
          <w:color w:val="595959"/>
          <w:sz w:val="20"/>
          <w:szCs w:val="20"/>
        </w:rPr>
        <w:t xml:space="preserve">Security</w:t>
      </w:r>
      <w:r>
        <w:rPr>
          <w:rFonts w:ascii="Arial" w:cs="Arial" w:eastAsia="Arial" w:hAnsi="Arial"/>
          <w:color w:val="595959"/>
          <w:sz w:val="20"/>
          <w:szCs w:val="20"/>
        </w:rPr>
        <w:t xml:space="preserve">  |  </w:t>
      </w:r>
      <w:r>
        <w:rPr>
          <w:rFonts w:ascii="Arial" w:cs="Arial" w:eastAsia="Arial" w:hAnsi="Arial"/>
          <w:b/>
          <w:bCs/>
          <w:color w:val="C00000"/>
          <w:sz w:val="20"/>
          <w:szCs w:val="20"/>
        </w:rPr>
        <w:t xml:space="preserve">Must Have</w:t>
      </w:r>
    </w:p>
    <w:p>
      <w:pPr>
        <w:spacing w:before="40" w:after="60"/>
        <w:ind w:left="360"/>
      </w:pPr>
      <w:r>
        <w:rPr>
          <w:rFonts w:ascii="Arial" w:cs="Arial" w:eastAsia="Arial" w:hAnsi="Arial"/>
          <w:color w:val="000000"/>
          <w:sz w:val="20"/>
          <w:szCs w:val="20"/>
        </w:rPr>
        <w:t xml:space="preserve">The pay equity analysis view (FR-15) shall be restricted to a named subset of users (Total Rewards, CHRO) via Power BI row-level security (RLS) or workspace role separation. Recruiters and HRBPs shall not have access to demographic compensation gap data by default.</w:t>
      </w:r>
    </w:p>
    <w:p>
      <w:pPr>
        <w:spacing w:before="0" w:after="120"/>
        <w:ind w:left="360"/>
      </w:pPr>
      <w:r>
        <w:rPr>
          <w:rFonts w:ascii="Arial" w:cs="Arial" w:eastAsia="Arial" w:hAnsi="Arial"/>
          <w:i/>
          <w:iCs/>
          <w:color w:val="595959"/>
          <w:sz w:val="18"/>
          <w:szCs w:val="18"/>
        </w:rPr>
        <w:t xml:space="preserve">Traces to: OBJ-04</w:t>
      </w:r>
    </w:p>
    <w:p>
      <w:pPr>
        <w:shd w:fill="F2F4F7" w:val="clear"/>
        <w:spacing w:before="160" w:after="60"/>
      </w:pPr>
      <w:r>
        <w:rPr>
          <w:rFonts w:ascii="Arial" w:cs="Arial" w:eastAsia="Arial" w:hAnsi="Arial"/>
          <w:b/>
          <w:bCs/>
          <w:color w:val="1F3864"/>
          <w:sz w:val="20"/>
          <w:szCs w:val="20"/>
        </w:rPr>
        <w:t xml:space="preserve">NFR-02c</w:t>
      </w:r>
      <w:r>
        <w:rPr>
          <w:rFonts w:ascii="Arial" w:cs="Arial" w:eastAsia="Arial" w:hAnsi="Arial"/>
          <w:color w:val="595959"/>
          <w:sz w:val="20"/>
          <w:szCs w:val="20"/>
        </w:rPr>
        <w:t xml:space="preserve">  |  </w:t>
      </w:r>
      <w:r>
        <w:rPr>
          <w:rFonts w:ascii="Arial" w:cs="Arial" w:eastAsia="Arial" w:hAnsi="Arial"/>
          <w:color w:val="595959"/>
          <w:sz w:val="20"/>
          <w:szCs w:val="20"/>
        </w:rPr>
        <w:t xml:space="preserve">Security</w:t>
      </w:r>
      <w:r>
        <w:rPr>
          <w:rFonts w:ascii="Arial" w:cs="Arial" w:eastAsia="Arial" w:hAnsi="Arial"/>
          <w:color w:val="595959"/>
          <w:sz w:val="20"/>
          <w:szCs w:val="20"/>
        </w:rPr>
        <w:t xml:space="preserve">  |  </w:t>
      </w:r>
      <w:r>
        <w:rPr>
          <w:rFonts w:ascii="Arial" w:cs="Arial" w:eastAsia="Arial" w:hAnsi="Arial"/>
          <w:b/>
          <w:bCs/>
          <w:color w:val="C00000"/>
          <w:sz w:val="20"/>
          <w:szCs w:val="20"/>
        </w:rPr>
        <w:t xml:space="preserve">Must Have</w:t>
      </w:r>
    </w:p>
    <w:p>
      <w:pPr>
        <w:spacing w:before="40" w:after="60"/>
        <w:ind w:left="360"/>
      </w:pPr>
      <w:r>
        <w:rPr>
          <w:rFonts w:ascii="Arial" w:cs="Arial" w:eastAsia="Arial" w:hAnsi="Arial"/>
          <w:color w:val="000000"/>
          <w:sz w:val="20"/>
          <w:szCs w:val="20"/>
        </w:rPr>
        <w:t xml:space="preserve">PostgreSQL credentials, BLS API keys, and any connection strings shall be stored in environment variables or a secrets file excluded from version control. No credentials shall appear in source code or documentation artifacts.</w:t>
      </w:r>
    </w:p>
    <w:p>
      <w:pPr>
        <w:spacing w:before="0" w:after="120"/>
        <w:ind w:left="360"/>
      </w:pPr>
      <w:r>
        <w:rPr>
          <w:rFonts w:ascii="Arial" w:cs="Arial" w:eastAsia="Arial" w:hAnsi="Arial"/>
          <w:i/>
          <w:iCs/>
          <w:color w:val="595959"/>
          <w:sz w:val="18"/>
          <w:szCs w:val="18"/>
        </w:rPr>
        <w:t xml:space="preserve">Traces to: OBJ-05</w:t>
      </w:r>
    </w:p>
    <w:p>
      <w:pPr>
        <w:shd w:fill="F2F4F7" w:val="clear"/>
        <w:spacing w:before="160" w:after="60"/>
      </w:pPr>
      <w:r>
        <w:rPr>
          <w:rFonts w:ascii="Arial" w:cs="Arial" w:eastAsia="Arial" w:hAnsi="Arial"/>
          <w:b/>
          <w:bCs/>
          <w:color w:val="1F3864"/>
          <w:sz w:val="20"/>
          <w:szCs w:val="20"/>
        </w:rPr>
        <w:t xml:space="preserve">NFR-02d</w:t>
      </w:r>
      <w:r>
        <w:rPr>
          <w:rFonts w:ascii="Arial" w:cs="Arial" w:eastAsia="Arial" w:hAnsi="Arial"/>
          <w:color w:val="595959"/>
          <w:sz w:val="20"/>
          <w:szCs w:val="20"/>
        </w:rPr>
        <w:t xml:space="preserve">  |  </w:t>
      </w:r>
      <w:r>
        <w:rPr>
          <w:rFonts w:ascii="Arial" w:cs="Arial" w:eastAsia="Arial" w:hAnsi="Arial"/>
          <w:color w:val="595959"/>
          <w:sz w:val="20"/>
          <w:szCs w:val="20"/>
        </w:rPr>
        <w:t xml:space="preserve">Security</w:t>
      </w:r>
      <w:r>
        <w:rPr>
          <w:rFonts w:ascii="Arial" w:cs="Arial" w:eastAsia="Arial" w:hAnsi="Arial"/>
          <w:color w:val="595959"/>
          <w:sz w:val="20"/>
          <w:szCs w:val="20"/>
        </w:rPr>
        <w:t xml:space="preserve">  |  </w:t>
      </w:r>
      <w:r>
        <w:rPr>
          <w:rFonts w:ascii="Arial" w:cs="Arial" w:eastAsia="Arial" w:hAnsi="Arial"/>
          <w:b/>
          <w:bCs/>
          <w:color w:val="C00000"/>
          <w:sz w:val="20"/>
          <w:szCs w:val="20"/>
        </w:rPr>
        <w:t xml:space="preserve">Must Have</w:t>
      </w:r>
    </w:p>
    <w:p>
      <w:pPr>
        <w:spacing w:before="40" w:after="60"/>
        <w:ind w:left="360"/>
      </w:pPr>
      <w:r>
        <w:rPr>
          <w:rFonts w:ascii="Arial" w:cs="Arial" w:eastAsia="Arial" w:hAnsi="Arial"/>
          <w:color w:val="000000"/>
          <w:sz w:val="20"/>
          <w:szCs w:val="20"/>
        </w:rPr>
        <w:t xml:space="preserve">Internal salary data loaded via CSV shall be treated as confidential. The CSV template documentation shall include a handling note specifying that completed files containing real salary data must not be stored in shared or unsecured locations.</w:t>
      </w:r>
    </w:p>
    <w:p>
      <w:pPr>
        <w:spacing w:before="0" w:after="120"/>
        <w:ind w:left="360"/>
      </w:pPr>
      <w:r>
        <w:rPr>
          <w:rFonts w:ascii="Arial" w:cs="Arial" w:eastAsia="Arial" w:hAnsi="Arial"/>
          <w:i/>
          <w:iCs/>
          <w:color w:val="595959"/>
          <w:sz w:val="18"/>
          <w:szCs w:val="18"/>
        </w:rPr>
        <w:t xml:space="preserve">Traces to: OBJ-02</w:t>
      </w:r>
    </w:p>
    <w:p>
      <w:pPr>
        <w:spacing w:before="40" w:after="160"/>
        <w:ind w:left="360"/>
      </w:pPr>
      <w:r>
        <w:rPr>
          <w:rFonts w:ascii="Arial" w:cs="Arial" w:eastAsia="Arial" w:hAnsi="Arial"/>
          <w:i/>
          <w:iCs/>
          <w:color w:val="595959"/>
          <w:sz w:val="18"/>
          <w:szCs w:val="18"/>
        </w:rPr>
        <w:t xml:space="preserve">Rationale: Internal compensation data is among the most sensitive HR data a company holds. The pay equity view carries additional sensitivity given its demographic dimension. NFR-02b in particular reflects the principle that role-based access should mirror the sensitivity model of the data, not just technical access controls.</w:t>
      </w:r>
    </w:p>
    <w:p>
      <w:pPr>
        <w:pStyle w:val="Heading2"/>
        <w:spacing w:before="280" w:after="120"/>
      </w:pPr>
      <w:r>
        <w:rPr>
          <w:rFonts w:ascii="Arial" w:cs="Arial" w:eastAsia="Arial" w:hAnsi="Arial"/>
          <w:b/>
          <w:bCs/>
          <w:color w:val="2E5FAC"/>
          <w:sz w:val="26"/>
          <w:szCs w:val="26"/>
        </w:rPr>
        <w:t xml:space="preserve">6.3  Availability — Medium</w:t>
      </w:r>
    </w:p>
    <w:p>
      <w:pPr>
        <w:spacing w:before="0" w:after="60"/>
      </w:pPr>
      <w:r>
        <w:t xml:space="preserve"/>
      </w:r>
    </w:p>
    <w:p>
      <w:pPr>
        <w:shd w:fill="F2F4F7" w:val="clear"/>
        <w:spacing w:before="160" w:after="60"/>
      </w:pPr>
      <w:r>
        <w:rPr>
          <w:rFonts w:ascii="Arial" w:cs="Arial" w:eastAsia="Arial" w:hAnsi="Arial"/>
          <w:b/>
          <w:bCs/>
          <w:color w:val="1F3864"/>
          <w:sz w:val="20"/>
          <w:szCs w:val="20"/>
        </w:rPr>
        <w:t xml:space="preserve">NFR-03a</w:t>
      </w:r>
      <w:r>
        <w:rPr>
          <w:rFonts w:ascii="Arial" w:cs="Arial" w:eastAsia="Arial" w:hAnsi="Arial"/>
          <w:color w:val="595959"/>
          <w:sz w:val="20"/>
          <w:szCs w:val="20"/>
        </w:rPr>
        <w:t xml:space="preserve">  |  </w:t>
      </w:r>
      <w:r>
        <w:rPr>
          <w:rFonts w:ascii="Arial" w:cs="Arial" w:eastAsia="Arial" w:hAnsi="Arial"/>
          <w:color w:val="595959"/>
          <w:sz w:val="20"/>
          <w:szCs w:val="20"/>
        </w:rPr>
        <w:t xml:space="preserve">Availability</w:t>
      </w:r>
      <w:r>
        <w:rPr>
          <w:rFonts w:ascii="Arial" w:cs="Arial" w:eastAsia="Arial" w:hAnsi="Arial"/>
          <w:color w:val="595959"/>
          <w:sz w:val="20"/>
          <w:szCs w:val="20"/>
        </w:rPr>
        <w:t xml:space="preserve">  |  </w:t>
      </w:r>
      <w:r>
        <w:rPr>
          <w:rFonts w:ascii="Arial" w:cs="Arial" w:eastAsia="Arial" w:hAnsi="Arial"/>
          <w:b/>
          <w:bCs/>
          <w:color w:val="C00000"/>
          <w:sz w:val="20"/>
          <w:szCs w:val="20"/>
        </w:rPr>
        <w:t xml:space="preserve">Must Have</w:t>
      </w:r>
    </w:p>
    <w:p>
      <w:pPr>
        <w:spacing w:before="40" w:after="60"/>
        <w:ind w:left="360"/>
      </w:pPr>
      <w:r>
        <w:rPr>
          <w:rFonts w:ascii="Arial" w:cs="Arial" w:eastAsia="Arial" w:hAnsi="Arial"/>
          <w:color w:val="000000"/>
          <w:sz w:val="20"/>
          <w:szCs w:val="20"/>
        </w:rPr>
        <w:t xml:space="preserve">The Power BI dashboard shall be available to authenticated users during TechNova's core business hours (8am–6pm local time, Monday–Friday) with a target uptime of 99% during those windows, dependent on Power BI Service SLA.</w:t>
      </w:r>
    </w:p>
    <w:p>
      <w:pPr>
        <w:spacing w:before="0" w:after="120"/>
        <w:ind w:left="360"/>
      </w:pPr>
      <w:r>
        <w:rPr>
          <w:rFonts w:ascii="Arial" w:cs="Arial" w:eastAsia="Arial" w:hAnsi="Arial"/>
          <w:i/>
          <w:iCs/>
          <w:color w:val="595959"/>
          <w:sz w:val="18"/>
          <w:szCs w:val="18"/>
        </w:rPr>
        <w:t xml:space="preserve">Traces to: OBJ-01</w:t>
      </w:r>
    </w:p>
    <w:p>
      <w:pPr>
        <w:shd w:fill="F2F4F7" w:val="clear"/>
        <w:spacing w:before="160" w:after="60"/>
      </w:pPr>
      <w:r>
        <w:rPr>
          <w:rFonts w:ascii="Arial" w:cs="Arial" w:eastAsia="Arial" w:hAnsi="Arial"/>
          <w:b/>
          <w:bCs/>
          <w:color w:val="1F3864"/>
          <w:sz w:val="20"/>
          <w:szCs w:val="20"/>
        </w:rPr>
        <w:t xml:space="preserve">NFR-03b</w:t>
      </w:r>
      <w:r>
        <w:rPr>
          <w:rFonts w:ascii="Arial" w:cs="Arial" w:eastAsia="Arial" w:hAnsi="Arial"/>
          <w:color w:val="595959"/>
          <w:sz w:val="20"/>
          <w:szCs w:val="20"/>
        </w:rPr>
        <w:t xml:space="preserve">  |  </w:t>
      </w:r>
      <w:r>
        <w:rPr>
          <w:rFonts w:ascii="Arial" w:cs="Arial" w:eastAsia="Arial" w:hAnsi="Arial"/>
          <w:color w:val="595959"/>
          <w:sz w:val="20"/>
          <w:szCs w:val="20"/>
        </w:rPr>
        <w:t xml:space="preserve">Availability</w:t>
      </w:r>
      <w:r>
        <w:rPr>
          <w:rFonts w:ascii="Arial" w:cs="Arial" w:eastAsia="Arial" w:hAnsi="Arial"/>
          <w:color w:val="595959"/>
          <w:sz w:val="20"/>
          <w:szCs w:val="20"/>
        </w:rPr>
        <w:t xml:space="preserve">  |  </w:t>
      </w:r>
      <w:r>
        <w:rPr>
          <w:rFonts w:ascii="Arial" w:cs="Arial" w:eastAsia="Arial" w:hAnsi="Arial"/>
          <w:b/>
          <w:bCs/>
          <w:color w:val="7F6000"/>
          <w:sz w:val="20"/>
          <w:szCs w:val="20"/>
        </w:rPr>
        <w:t xml:space="preserve">Should Have</w:t>
      </w:r>
    </w:p>
    <w:p>
      <w:pPr>
        <w:spacing w:before="40" w:after="60"/>
        <w:ind w:left="360"/>
      </w:pPr>
      <w:r>
        <w:rPr>
          <w:rFonts w:ascii="Arial" w:cs="Arial" w:eastAsia="Arial" w:hAnsi="Arial"/>
          <w:color w:val="000000"/>
          <w:sz w:val="20"/>
          <w:szCs w:val="20"/>
        </w:rPr>
        <w:t xml:space="preserve">Pipeline execution (BLS refresh and CSV ingestion) shall be permitted outside business hours by default to avoid performance contention, unless manually triggered by Total Rewards during business hours for urgent refresh needs.</w:t>
      </w:r>
    </w:p>
    <w:p>
      <w:pPr>
        <w:spacing w:before="0" w:after="120"/>
        <w:ind w:left="360"/>
      </w:pPr>
      <w:r>
        <w:rPr>
          <w:rFonts w:ascii="Arial" w:cs="Arial" w:eastAsia="Arial" w:hAnsi="Arial"/>
          <w:i/>
          <w:iCs/>
          <w:color w:val="595959"/>
          <w:sz w:val="18"/>
          <w:szCs w:val="18"/>
        </w:rPr>
        <w:t xml:space="preserve">Traces to: OBJ-02</w:t>
      </w:r>
    </w:p>
    <w:p>
      <w:pPr>
        <w:shd w:fill="F2F4F7" w:val="clear"/>
        <w:spacing w:before="160" w:after="60"/>
      </w:pPr>
      <w:r>
        <w:rPr>
          <w:rFonts w:ascii="Arial" w:cs="Arial" w:eastAsia="Arial" w:hAnsi="Arial"/>
          <w:b/>
          <w:bCs/>
          <w:color w:val="1F3864"/>
          <w:sz w:val="20"/>
          <w:szCs w:val="20"/>
        </w:rPr>
        <w:t xml:space="preserve">NFR-03c</w:t>
      </w:r>
      <w:r>
        <w:rPr>
          <w:rFonts w:ascii="Arial" w:cs="Arial" w:eastAsia="Arial" w:hAnsi="Arial"/>
          <w:color w:val="595959"/>
          <w:sz w:val="20"/>
          <w:szCs w:val="20"/>
        </w:rPr>
        <w:t xml:space="preserve">  |  </w:t>
      </w:r>
      <w:r>
        <w:rPr>
          <w:rFonts w:ascii="Arial" w:cs="Arial" w:eastAsia="Arial" w:hAnsi="Arial"/>
          <w:color w:val="595959"/>
          <w:sz w:val="20"/>
          <w:szCs w:val="20"/>
        </w:rPr>
        <w:t xml:space="preserve">Availability</w:t>
      </w:r>
      <w:r>
        <w:rPr>
          <w:rFonts w:ascii="Arial" w:cs="Arial" w:eastAsia="Arial" w:hAnsi="Arial"/>
          <w:color w:val="595959"/>
          <w:sz w:val="20"/>
          <w:szCs w:val="20"/>
        </w:rPr>
        <w:t xml:space="preserve">  |  </w:t>
      </w:r>
      <w:r>
        <w:rPr>
          <w:rFonts w:ascii="Arial" w:cs="Arial" w:eastAsia="Arial" w:hAnsi="Arial"/>
          <w:b/>
          <w:bCs/>
          <w:color w:val="C00000"/>
          <w:sz w:val="20"/>
          <w:szCs w:val="20"/>
        </w:rPr>
        <w:t xml:space="preserve">Must Have</w:t>
      </w:r>
    </w:p>
    <w:p>
      <w:pPr>
        <w:spacing w:before="40" w:after="60"/>
        <w:ind w:left="360"/>
      </w:pPr>
      <w:r>
        <w:rPr>
          <w:rFonts w:ascii="Arial" w:cs="Arial" w:eastAsia="Arial" w:hAnsi="Arial"/>
          <w:color w:val="000000"/>
          <w:sz w:val="20"/>
          <w:szCs w:val="20"/>
        </w:rPr>
        <w:t xml:space="preserve">In the event of a BLS API outage or rate limit response during a scheduled pipeline run, the system shall preserve the most recently loaded dataset intact and log the failure without overwriting existing data.</w:t>
      </w:r>
    </w:p>
    <w:p>
      <w:pPr>
        <w:spacing w:before="0" w:after="120"/>
        <w:ind w:left="360"/>
      </w:pPr>
      <w:r>
        <w:rPr>
          <w:rFonts w:ascii="Arial" w:cs="Arial" w:eastAsia="Arial" w:hAnsi="Arial"/>
          <w:i/>
          <w:iCs/>
          <w:color w:val="595959"/>
          <w:sz w:val="18"/>
          <w:szCs w:val="18"/>
        </w:rPr>
        <w:t xml:space="preserve">Traces to: OBJ-02</w:t>
      </w:r>
    </w:p>
    <w:p>
      <w:pPr>
        <w:spacing w:before="40" w:after="160"/>
        <w:ind w:left="360"/>
      </w:pPr>
      <w:r>
        <w:rPr>
          <w:rFonts w:ascii="Arial" w:cs="Arial" w:eastAsia="Arial" w:hAnsi="Arial"/>
          <w:i/>
          <w:iCs/>
          <w:color w:val="595959"/>
          <w:sz w:val="18"/>
          <w:szCs w:val="18"/>
        </w:rPr>
        <w:t xml:space="preserve">Rationale: Recruiters need the dashboard available during active offer conversations. The last-known-good data preservation rule in NFR-03c is critical — a failed refresh should never leave the dashboard in a worse state than before the run.</w:t>
      </w:r>
    </w:p>
    <w:p>
      <w:pPr>
        <w:pStyle w:val="Heading2"/>
        <w:spacing w:before="280" w:after="120"/>
      </w:pPr>
      <w:r>
        <w:rPr>
          <w:rFonts w:ascii="Arial" w:cs="Arial" w:eastAsia="Arial" w:hAnsi="Arial"/>
          <w:b/>
          <w:bCs/>
          <w:color w:val="2E5FAC"/>
          <w:sz w:val="26"/>
          <w:szCs w:val="26"/>
        </w:rPr>
        <w:t xml:space="preserve">6.4  Maintainability — Medium</w:t>
      </w:r>
    </w:p>
    <w:p>
      <w:pPr>
        <w:spacing w:before="0" w:after="60"/>
      </w:pPr>
      <w:r>
        <w:t xml:space="preserve"/>
      </w:r>
    </w:p>
    <w:p>
      <w:pPr>
        <w:shd w:fill="F2F4F7" w:val="clear"/>
        <w:spacing w:before="160" w:after="60"/>
      </w:pPr>
      <w:r>
        <w:rPr>
          <w:rFonts w:ascii="Arial" w:cs="Arial" w:eastAsia="Arial" w:hAnsi="Arial"/>
          <w:b/>
          <w:bCs/>
          <w:color w:val="1F3864"/>
          <w:sz w:val="20"/>
          <w:szCs w:val="20"/>
        </w:rPr>
        <w:t xml:space="preserve">NFR-04a</w:t>
      </w:r>
      <w:r>
        <w:rPr>
          <w:rFonts w:ascii="Arial" w:cs="Arial" w:eastAsia="Arial" w:hAnsi="Arial"/>
          <w:color w:val="595959"/>
          <w:sz w:val="20"/>
          <w:szCs w:val="20"/>
        </w:rPr>
        <w:t xml:space="preserve">  |  </w:t>
      </w:r>
      <w:r>
        <w:rPr>
          <w:rFonts w:ascii="Arial" w:cs="Arial" w:eastAsia="Arial" w:hAnsi="Arial"/>
          <w:color w:val="595959"/>
          <w:sz w:val="20"/>
          <w:szCs w:val="20"/>
        </w:rPr>
        <w:t xml:space="preserve">Maintainability</w:t>
      </w:r>
      <w:r>
        <w:rPr>
          <w:rFonts w:ascii="Arial" w:cs="Arial" w:eastAsia="Arial" w:hAnsi="Arial"/>
          <w:color w:val="595959"/>
          <w:sz w:val="20"/>
          <w:szCs w:val="20"/>
        </w:rPr>
        <w:t xml:space="preserve">  |  </w:t>
      </w:r>
      <w:r>
        <w:rPr>
          <w:rFonts w:ascii="Arial" w:cs="Arial" w:eastAsia="Arial" w:hAnsi="Arial"/>
          <w:b/>
          <w:bCs/>
          <w:color w:val="7F6000"/>
          <w:sz w:val="20"/>
          <w:szCs w:val="20"/>
        </w:rPr>
        <w:t xml:space="preserve">Should Have</w:t>
      </w:r>
    </w:p>
    <w:p>
      <w:pPr>
        <w:spacing w:before="40" w:after="60"/>
        <w:ind w:left="360"/>
      </w:pPr>
      <w:r>
        <w:rPr>
          <w:rFonts w:ascii="Arial" w:cs="Arial" w:eastAsia="Arial" w:hAnsi="Arial"/>
          <w:color w:val="000000"/>
          <w:sz w:val="20"/>
          <w:szCs w:val="20"/>
        </w:rPr>
        <w:t xml:space="preserve">The Python pipeline shall be structured in clearly separated modules: API client, CSV ingestion, transformation logic, and database loader. Each module shall be independently executable for testing purposes.</w:t>
      </w:r>
    </w:p>
    <w:p>
      <w:pPr>
        <w:spacing w:before="0" w:after="120"/>
        <w:ind w:left="360"/>
      </w:pPr>
      <w:r>
        <w:rPr>
          <w:rFonts w:ascii="Arial" w:cs="Arial" w:eastAsia="Arial" w:hAnsi="Arial"/>
          <w:i/>
          <w:iCs/>
          <w:color w:val="595959"/>
          <w:sz w:val="18"/>
          <w:szCs w:val="18"/>
        </w:rPr>
        <w:t xml:space="preserve">Traces to: OBJ-05</w:t>
      </w:r>
    </w:p>
    <w:p>
      <w:pPr>
        <w:shd w:fill="F2F4F7" w:val="clear"/>
        <w:spacing w:before="160" w:after="60"/>
      </w:pPr>
      <w:r>
        <w:rPr>
          <w:rFonts w:ascii="Arial" w:cs="Arial" w:eastAsia="Arial" w:hAnsi="Arial"/>
          <w:b/>
          <w:bCs/>
          <w:color w:val="1F3864"/>
          <w:sz w:val="20"/>
          <w:szCs w:val="20"/>
        </w:rPr>
        <w:t xml:space="preserve">NFR-04b</w:t>
      </w:r>
      <w:r>
        <w:rPr>
          <w:rFonts w:ascii="Arial" w:cs="Arial" w:eastAsia="Arial" w:hAnsi="Arial"/>
          <w:color w:val="595959"/>
          <w:sz w:val="20"/>
          <w:szCs w:val="20"/>
        </w:rPr>
        <w:t xml:space="preserve">  |  </w:t>
      </w:r>
      <w:r>
        <w:rPr>
          <w:rFonts w:ascii="Arial" w:cs="Arial" w:eastAsia="Arial" w:hAnsi="Arial"/>
          <w:color w:val="595959"/>
          <w:sz w:val="20"/>
          <w:szCs w:val="20"/>
        </w:rPr>
        <w:t xml:space="preserve">Maintainability</w:t>
      </w:r>
      <w:r>
        <w:rPr>
          <w:rFonts w:ascii="Arial" w:cs="Arial" w:eastAsia="Arial" w:hAnsi="Arial"/>
          <w:color w:val="595959"/>
          <w:sz w:val="20"/>
          <w:szCs w:val="20"/>
        </w:rPr>
        <w:t xml:space="preserve">  |  </w:t>
      </w:r>
      <w:r>
        <w:rPr>
          <w:rFonts w:ascii="Arial" w:cs="Arial" w:eastAsia="Arial" w:hAnsi="Arial"/>
          <w:b/>
          <w:bCs/>
          <w:color w:val="7F6000"/>
          <w:sz w:val="20"/>
          <w:szCs w:val="20"/>
        </w:rPr>
        <w:t xml:space="preserve">Should Have</w:t>
      </w:r>
    </w:p>
    <w:p>
      <w:pPr>
        <w:spacing w:before="40" w:after="60"/>
        <w:ind w:left="360"/>
      </w:pPr>
      <w:r>
        <w:rPr>
          <w:rFonts w:ascii="Arial" w:cs="Arial" w:eastAsia="Arial" w:hAnsi="Arial"/>
          <w:color w:val="000000"/>
          <w:sz w:val="20"/>
          <w:szCs w:val="20"/>
        </w:rPr>
        <w:t xml:space="preserve">All pipeline configuration (API endpoints, target SOC codes, database connection parameters, file paths) shall be externalized to a configuration file or environment variables. No magic numbers or hardcoded values in pipeline logic.</w:t>
      </w:r>
    </w:p>
    <w:p>
      <w:pPr>
        <w:spacing w:before="0" w:after="120"/>
        <w:ind w:left="360"/>
      </w:pPr>
      <w:r>
        <w:rPr>
          <w:rFonts w:ascii="Arial" w:cs="Arial" w:eastAsia="Arial" w:hAnsi="Arial"/>
          <w:i/>
          <w:iCs/>
          <w:color w:val="595959"/>
          <w:sz w:val="18"/>
          <w:szCs w:val="18"/>
        </w:rPr>
        <w:t xml:space="preserve">Traces to: OBJ-05</w:t>
      </w:r>
    </w:p>
    <w:p>
      <w:pPr>
        <w:shd w:fill="F2F4F7" w:val="clear"/>
        <w:spacing w:before="160" w:after="60"/>
      </w:pPr>
      <w:r>
        <w:rPr>
          <w:rFonts w:ascii="Arial" w:cs="Arial" w:eastAsia="Arial" w:hAnsi="Arial"/>
          <w:b/>
          <w:bCs/>
          <w:color w:val="1F3864"/>
          <w:sz w:val="20"/>
          <w:szCs w:val="20"/>
        </w:rPr>
        <w:t xml:space="preserve">NFR-04c</w:t>
      </w:r>
      <w:r>
        <w:rPr>
          <w:rFonts w:ascii="Arial" w:cs="Arial" w:eastAsia="Arial" w:hAnsi="Arial"/>
          <w:color w:val="595959"/>
          <w:sz w:val="20"/>
          <w:szCs w:val="20"/>
        </w:rPr>
        <w:t xml:space="preserve">  |  </w:t>
      </w:r>
      <w:r>
        <w:rPr>
          <w:rFonts w:ascii="Arial" w:cs="Arial" w:eastAsia="Arial" w:hAnsi="Arial"/>
          <w:color w:val="595959"/>
          <w:sz w:val="20"/>
          <w:szCs w:val="20"/>
        </w:rPr>
        <w:t xml:space="preserve">Maintainability</w:t>
      </w:r>
      <w:r>
        <w:rPr>
          <w:rFonts w:ascii="Arial" w:cs="Arial" w:eastAsia="Arial" w:hAnsi="Arial"/>
          <w:color w:val="595959"/>
          <w:sz w:val="20"/>
          <w:szCs w:val="20"/>
        </w:rPr>
        <w:t xml:space="preserve">  |  </w:t>
      </w:r>
      <w:r>
        <w:rPr>
          <w:rFonts w:ascii="Arial" w:cs="Arial" w:eastAsia="Arial" w:hAnsi="Arial"/>
          <w:b/>
          <w:bCs/>
          <w:color w:val="7F6000"/>
          <w:sz w:val="20"/>
          <w:szCs w:val="20"/>
        </w:rPr>
        <w:t xml:space="preserve">Should Have</w:t>
      </w:r>
    </w:p>
    <w:p>
      <w:pPr>
        <w:spacing w:before="40" w:after="60"/>
        <w:ind w:left="360"/>
      </w:pPr>
      <w:r>
        <w:rPr>
          <w:rFonts w:ascii="Arial" w:cs="Arial" w:eastAsia="Arial" w:hAnsi="Arial"/>
          <w:color w:val="000000"/>
          <w:sz w:val="20"/>
          <w:szCs w:val="20"/>
        </w:rPr>
        <w:t xml:space="preserve">The project shall include a README sufficient for a technically proficient person to set up the local environment, run the pipeline, and connect Power BI to the database without verbal instruction.</w:t>
      </w:r>
    </w:p>
    <w:p>
      <w:pPr>
        <w:spacing w:before="0" w:after="120"/>
        <w:ind w:left="360"/>
      </w:pPr>
      <w:r>
        <w:rPr>
          <w:rFonts w:ascii="Arial" w:cs="Arial" w:eastAsia="Arial" w:hAnsi="Arial"/>
          <w:i/>
          <w:iCs/>
          <w:color w:val="595959"/>
          <w:sz w:val="18"/>
          <w:szCs w:val="18"/>
        </w:rPr>
        <w:t xml:space="preserve">Traces to: OBJ-05</w:t>
      </w:r>
    </w:p>
    <w:p>
      <w:pPr>
        <w:spacing w:before="40" w:after="160"/>
        <w:ind w:left="360"/>
      </w:pPr>
      <w:r>
        <w:rPr>
          <w:rFonts w:ascii="Arial" w:cs="Arial" w:eastAsia="Arial" w:hAnsi="Arial"/>
          <w:i/>
          <w:iCs/>
          <w:color w:val="595959"/>
          <w:sz w:val="18"/>
          <w:szCs w:val="18"/>
        </w:rPr>
        <w:t xml:space="preserve">Rationale: These standards protect future maintainers from past decisions, and demonstrate software craftsmanship to anyone reading the portfolio. Included despite not being requested — solo builders with AI tooling benefit most from externalized config and modular structure.</w:t>
      </w:r>
    </w:p>
    <w:p>
      <w:pPr>
        <w:pStyle w:val="Heading2"/>
        <w:spacing w:before="280" w:after="120"/>
      </w:pPr>
      <w:r>
        <w:rPr>
          <w:rFonts w:ascii="Arial" w:cs="Arial" w:eastAsia="Arial" w:hAnsi="Arial"/>
          <w:b/>
          <w:bCs/>
          <w:color w:val="2E5FAC"/>
          <w:sz w:val="26"/>
          <w:szCs w:val="26"/>
        </w:rPr>
        <w:t xml:space="preserve">6.5  Non-Functional Requirements Summary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760"/>
        <w:gridCol w:w="1600"/>
      </w:tblGrid>
      <w:tr>
        <w:trPr>
          <w:tblHeader/>
        </w:trPr>
        <w:tc>
          <w:tcPr>
            <w:tcW w:type="dxa" w:w="100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200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Category</w:t>
            </w:r>
          </w:p>
        </w:tc>
        <w:tc>
          <w:tcPr>
            <w:tcW w:type="dxa" w:w="476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 Summary</w:t>
            </w:r>
          </w:p>
        </w:tc>
        <w:tc>
          <w:tcPr>
            <w:tcW w:type="dxa" w:w="160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NFR-01a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 Accuracy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Fail loudly on validation — no silent partial loads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Critical</w:t>
            </w:r>
          </w:p>
        </w:tc>
      </w:tr>
      <w:tr>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NFR-01b</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 Accuracy</w:t>
            </w:r>
          </w:p>
        </w:tc>
        <w:tc>
          <w:tcPr>
            <w:tcW w:type="dxa" w:w="4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Reconciliation log per pipeline run</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Critical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NFR-01c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 Accuracy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Crosswalk changes logged with author + reason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Critical</w:t>
            </w:r>
          </w:p>
        </w:tc>
      </w:tr>
      <w:tr>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NFR-02a</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Security</w:t>
            </w:r>
          </w:p>
        </w:tc>
        <w:tc>
          <w:tcPr>
            <w:tcW w:type="dxa" w:w="4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Power BI access via authenticated workspace only</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NFR-02b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Security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Pay equity view restricted via RLS to TR + CHRO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r>
      <w:tr>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NFR-02c</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Security</w:t>
            </w:r>
          </w:p>
        </w:tc>
        <w:tc>
          <w:tcPr>
            <w:tcW w:type="dxa" w:w="4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No credentials in source code or docs</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NFR-02d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Security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CSV handling note in template documentation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r>
      <w:tr>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NFR-03a</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Availability</w:t>
            </w:r>
          </w:p>
        </w:tc>
        <w:tc>
          <w:tcPr>
            <w:tcW w:type="dxa" w:w="4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99% uptime during business hours (Power BI SLA)</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NFR-03b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Availability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Pipeline runs outside business hours by default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r>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NFR-03c</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Availability</w:t>
            </w:r>
          </w:p>
        </w:tc>
        <w:tc>
          <w:tcPr>
            <w:tcW w:type="dxa" w:w="4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Failed refresh preserves last-known-good dataset</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NFR-04a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Maintainability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Modular pipeline structure — independently testable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r>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NFR-04b</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Maintainability</w:t>
            </w:r>
          </w:p>
        </w:tc>
        <w:tc>
          <w:tcPr>
            <w:tcW w:type="dxa" w:w="4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config externalized — no hardcoded values</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NFR-04c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Maintainability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README sufficient for setup without verbal guidance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bl>
    <w:p>
      <w:pPr>
        <w:pageBreakBefore/>
      </w:pPr>
      <w:r>
        <w:rPr>
          <w:rFonts w:ascii="Arial" w:cs="Arial" w:eastAsia="Arial" w:hAnsi="Arial"/>
        </w:rPr>
        <w:t xml:space="preserve"/>
      </w:r>
    </w:p>
    <w:p>
      <w:pPr>
        <w:pStyle w:val="Heading1"/>
        <w:pBdr>
          <w:bottom w:val="single" w:color="2E5FAC" w:sz="6" w:space="4"/>
        </w:pBdr>
        <w:spacing w:before="400" w:after="160"/>
      </w:pPr>
      <w:r>
        <w:rPr>
          <w:rFonts w:ascii="Arial" w:cs="Arial" w:eastAsia="Arial" w:hAnsi="Arial"/>
          <w:b/>
          <w:bCs/>
          <w:color w:val="1F3864"/>
          <w:sz w:val="32"/>
          <w:szCs w:val="32"/>
        </w:rPr>
        <w:t xml:space="preserve">7.  Constraints and Assumptions</w:t>
      </w:r>
    </w:p>
    <w:p>
      <w:pPr>
        <w:spacing w:before="60" w:after="100"/>
        <w:jc w:val="left"/>
      </w:pPr>
      <w:r>
        <w:rPr>
          <w:rFonts w:ascii="Arial" w:cs="Arial" w:eastAsia="Arial" w:hAnsi="Arial"/>
          <w:b w:val="false"/>
          <w:bCs w:val="false"/>
          <w:color w:val="000000"/>
          <w:sz w:val="20"/>
          <w:szCs w:val="20"/>
        </w:rPr>
        <w:t xml:space="preserve">Constraints are fixed conditions the project must operate within. Assumptions are conditions believed to be true but not fully verified — if an assumption proves false, a scope or design change may be required.</w:t>
      </w:r>
    </w:p>
    <w:p>
      <w:pPr>
        <w:spacing w:before="0" w:after="80"/>
      </w:pPr>
      <w:r>
        <w:t xml:space="preserve"/>
      </w:r>
    </w:p>
    <w:p>
      <w:pPr>
        <w:pStyle w:val="Heading2"/>
        <w:spacing w:before="280" w:after="120"/>
      </w:pPr>
      <w:r>
        <w:rPr>
          <w:rFonts w:ascii="Arial" w:cs="Arial" w:eastAsia="Arial" w:hAnsi="Arial"/>
          <w:b/>
          <w:bCs/>
          <w:color w:val="2E5FAC"/>
          <w:sz w:val="26"/>
          <w:szCs w:val="26"/>
        </w:rPr>
        <w:t xml:space="preserve">7.1  Constraints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4760"/>
      </w:tblGrid>
      <w:tr>
        <w:trPr>
          <w:tblHeader/>
        </w:trPr>
        <w:tc>
          <w:tcPr>
            <w:tcW w:type="dxa" w:w="100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360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Constraint</w:t>
            </w:r>
          </w:p>
        </w:tc>
        <w:tc>
          <w:tcPr>
            <w:tcW w:type="dxa" w:w="476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Impact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CON-01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sole external market data source is the BLS OEWS API. No commercial survey data (Radford, Mercer, WTW) is available for this build.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benchmarking conclusions are bounded by the coverage and methodology of BLS OEWS. SOC-level aggregation is less granular than sub-specialty survey cuts.</w:t>
            </w:r>
          </w:p>
        </w:tc>
      </w:tr>
      <w:tr>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CON-02</w:t>
            </w:r>
          </w:p>
        </w:tc>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TechNova internal salary and job grade data enters the system exclusively via CSV flat file upload. There is no live HRIS integration.</w:t>
            </w:r>
          </w:p>
        </w:tc>
        <w:tc>
          <w:tcPr>
            <w:tcW w:type="dxa" w:w="4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 currency is dependent on the frequency of manual CSV preparation and upload by the Total Rewards team.</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CON-03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BLS data refreshes quarterly, manually triggered by Total Rewards. The BLS OEWS publication cycle is annual.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Quarterly refresh is an operational ceiling, not a technical one. Dashboard cannot surface data more current than the last BLS release.</w:t>
            </w:r>
          </w:p>
        </w:tc>
      </w:tr>
      <w:tr>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CON-04</w:t>
            </w:r>
          </w:p>
        </w:tc>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market benchmarking is scoped to US Metropolitan Statistical Areas (MSAs) only.</w:t>
            </w:r>
          </w:p>
        </w:tc>
        <w:tc>
          <w:tcPr>
            <w:tcW w:type="dxa" w:w="4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Remote-only roles without a defined MSA, international locations, and US territories are not supported in v1.</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CON-05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Power BI is the designated visualization layer.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Dashboard design decisions are constrained by Power BI Desktop and Service capabilities.</w:t>
            </w:r>
          </w:p>
        </w:tc>
      </w:tr>
      <w:tr>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CON-06</w:t>
            </w:r>
          </w:p>
        </w:tc>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pay equity analysis module is constrained to statistical monitoring and flagging only.</w:t>
            </w:r>
          </w:p>
        </w:tc>
        <w:tc>
          <w:tcPr>
            <w:tcW w:type="dxa" w:w="4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system does not produce legal compliance determinations, regulatory filings, or audit-ready reports.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CON-07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pay equity module is constrained to gender as the sole demographic dimension for v1.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Race/ethnicity, age, and other dimensions are deferred to a future phase.</w:t>
            </w:r>
          </w:p>
        </w:tc>
      </w:tr>
    </w:tbl>
    <w:p>
      <w:pPr>
        <w:spacing w:before="0" w:after="120"/>
      </w:pPr>
      <w:r>
        <w:t xml:space="preserve"/>
      </w:r>
    </w:p>
    <w:p>
      <w:pPr>
        <w:pStyle w:val="Heading2"/>
        <w:spacing w:before="280" w:after="120"/>
      </w:pPr>
      <w:r>
        <w:rPr>
          <w:rFonts w:ascii="Arial" w:cs="Arial" w:eastAsia="Arial" w:hAnsi="Arial"/>
          <w:b/>
          <w:bCs/>
          <w:color w:val="2E5FAC"/>
          <w:sz w:val="26"/>
          <w:szCs w:val="26"/>
        </w:rPr>
        <w:t xml:space="preserve">7.2  Assumptions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E6E" w:sz="8"/>
              <w:left w:val="single" w:color="1D6E6E" w:sz="8"/>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b/>
                <w:bCs/>
                <w:color w:val="1D6E6E"/>
                <w:sz w:val="20"/>
                <w:szCs w:val="20"/>
              </w:rPr>
              <w:t xml:space="preserve">ASM-01  —  </w:t>
            </w:r>
            <w:r>
              <w:rPr>
                <w:rFonts w:ascii="Arial" w:cs="Arial" w:eastAsia="Arial" w:hAnsi="Arial"/>
                <w:b/>
                <w:bCs/>
                <w:color w:val="000000"/>
                <w:sz w:val="20"/>
                <w:szCs w:val="20"/>
              </w:rPr>
              <w:t xml:space="preserve">Internal Data Readiness</w:t>
            </w:r>
          </w:p>
        </w:tc>
      </w:tr>
      <w:tr>
        <w:tc>
          <w:tcPr>
            <w:tcW w:type="dxa" w:w="9360"/>
            <w:tcBorders>
              <w:top w:val="single" w:color="CCCCCC" w:sz="1"/>
              <w:left w:val="single" w:color="1D6E6E" w:sz="8"/>
              <w:bottom w:val="single" w:color="CCCCCC" w:sz="1"/>
              <w:right w:val="single" w:color="CCCCCC" w:sz="1"/>
            </w:tcBorders>
            <w:shd w:fill="FFFFFF" w:val="clear"/>
            <w:tcMar>
              <w:top w:type="dxa" w:w="80"/>
              <w:left w:type="dxa" w:w="160"/>
              <w:bottom w:type="dxa" w:w="80"/>
              <w:right w:type="dxa" w:w="160"/>
            </w:tcMar>
          </w:tcPr>
          <w:p>
            <w:pPr>
              <w:spacing w:after="80"/>
            </w:pPr>
            <w:r>
              <w:rPr>
                <w:rFonts w:ascii="Arial" w:cs="Arial" w:eastAsia="Arial" w:hAnsi="Arial"/>
                <w:b/>
                <w:bCs/>
                <w:color w:val="000000"/>
                <w:sz w:val="18"/>
                <w:szCs w:val="18"/>
              </w:rPr>
              <w:t xml:space="preserve">Assumption: </w:t>
            </w:r>
            <w:r>
              <w:rPr>
                <w:rFonts w:ascii="Arial" w:cs="Arial" w:eastAsia="Arial" w:hAnsi="Arial"/>
                <w:sz w:val="18"/>
                <w:szCs w:val="18"/>
              </w:rPr>
              <w:t xml:space="preserve">TechNova's internal job grades, levels, and salary ranges are already documented in a reasonably clean and consistent format prior to CSV preparation.</w:t>
            </w:r>
          </w:p>
          <w:p>
            <w:pPr>
              <w:spacing w:after="80"/>
            </w:pPr>
            <w:r>
              <w:rPr>
                <w:rFonts w:ascii="Arial" w:cs="Arial" w:eastAsia="Arial" w:hAnsi="Arial"/>
                <w:b/>
                <w:bCs/>
                <w:color w:val="C00000"/>
                <w:sz w:val="18"/>
                <w:szCs w:val="18"/>
              </w:rPr>
              <w:t xml:space="preserve">Risk if Wrong: </w:t>
            </w:r>
            <w:r>
              <w:rPr>
                <w:rFonts w:ascii="Arial" w:cs="Arial" w:eastAsia="Arial" w:hAnsi="Arial"/>
                <w:color w:val="595959"/>
                <w:sz w:val="18"/>
                <w:szCs w:val="18"/>
              </w:rPr>
              <w:t xml:space="preserve">CSV ingestion will require significant pre-processing or data cleanup before the pipeline can run. Job grade inconsistencies will propagate into benchmarking comparisons and undermine dashboard credibility.</w:t>
            </w:r>
          </w:p>
          <w:p>
            <w:r>
              <w:rPr>
                <w:rFonts w:ascii="Arial" w:cs="Arial" w:eastAsia="Arial" w:hAnsi="Arial"/>
                <w:b/>
                <w:bCs/>
                <w:color w:val="1D6E6E"/>
                <w:sz w:val="18"/>
                <w:szCs w:val="18"/>
              </w:rPr>
              <w:t xml:space="preserve">Mitigation: </w:t>
            </w:r>
            <w:r>
              <w:rPr>
                <w:rFonts w:ascii="Arial" w:cs="Arial" w:eastAsia="Arial" w:hAnsi="Arial"/>
                <w:color w:val="595959"/>
                <w:sz w:val="18"/>
                <w:szCs w:val="18"/>
              </w:rPr>
              <w:t xml:space="preserve">The CSV template (FR-07) includes validation rules and example rows to surface data quality issues before load, not after.</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E6E" w:sz="8"/>
              <w:left w:val="single" w:color="1D6E6E" w:sz="8"/>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b/>
                <w:bCs/>
                <w:color w:val="1D6E6E"/>
                <w:sz w:val="20"/>
                <w:szCs w:val="20"/>
              </w:rPr>
              <w:t xml:space="preserve">ASM-02  —  </w:t>
            </w:r>
            <w:r>
              <w:rPr>
                <w:rFonts w:ascii="Arial" w:cs="Arial" w:eastAsia="Arial" w:hAnsi="Arial"/>
                <w:b/>
                <w:bCs/>
                <w:color w:val="000000"/>
                <w:sz w:val="20"/>
                <w:szCs w:val="20"/>
              </w:rPr>
              <w:t xml:space="preserve">BLS Data Sufficiency</w:t>
            </w:r>
          </w:p>
        </w:tc>
      </w:tr>
      <w:tr>
        <w:tc>
          <w:tcPr>
            <w:tcW w:type="dxa" w:w="9360"/>
            <w:tcBorders>
              <w:top w:val="single" w:color="CCCCCC" w:sz="1"/>
              <w:left w:val="single" w:color="1D6E6E" w:sz="8"/>
              <w:bottom w:val="single" w:color="CCCCCC" w:sz="1"/>
              <w:right w:val="single" w:color="CCCCCC" w:sz="1"/>
            </w:tcBorders>
            <w:shd w:fill="FFFFFF" w:val="clear"/>
            <w:tcMar>
              <w:top w:type="dxa" w:w="80"/>
              <w:left w:type="dxa" w:w="160"/>
              <w:bottom w:type="dxa" w:w="80"/>
              <w:right w:type="dxa" w:w="160"/>
            </w:tcMar>
          </w:tcPr>
          <w:p>
            <w:pPr>
              <w:spacing w:after="80"/>
            </w:pPr>
            <w:r>
              <w:rPr>
                <w:rFonts w:ascii="Arial" w:cs="Arial" w:eastAsia="Arial" w:hAnsi="Arial"/>
                <w:b/>
                <w:bCs/>
                <w:color w:val="000000"/>
                <w:sz w:val="18"/>
                <w:szCs w:val="18"/>
              </w:rPr>
              <w:t xml:space="preserve">Assumption: </w:t>
            </w:r>
            <w:r>
              <w:rPr>
                <w:rFonts w:ascii="Arial" w:cs="Arial" w:eastAsia="Arial" w:hAnsi="Arial"/>
                <w:sz w:val="18"/>
                <w:szCs w:val="18"/>
              </w:rPr>
              <w:t xml:space="preserve">BLS OEWS wage data provides sufficient market signal for compensation benchmarking at TechNova's role and level granularity without requiring commercial survey validation.</w:t>
            </w:r>
          </w:p>
          <w:p>
            <w:pPr>
              <w:spacing w:after="80"/>
            </w:pPr>
            <w:r>
              <w:rPr>
                <w:rFonts w:ascii="Arial" w:cs="Arial" w:eastAsia="Arial" w:hAnsi="Arial"/>
                <w:b/>
                <w:bCs/>
                <w:color w:val="C00000"/>
                <w:sz w:val="18"/>
                <w:szCs w:val="18"/>
              </w:rPr>
              <w:t xml:space="preserve">Risk if Wrong: </w:t>
            </w:r>
            <w:r>
              <w:rPr>
                <w:rFonts w:ascii="Arial" w:cs="Arial" w:eastAsia="Arial" w:hAnsi="Arial"/>
                <w:color w:val="595959"/>
                <w:sz w:val="18"/>
                <w:szCs w:val="18"/>
              </w:rPr>
              <w:t xml:space="preserve">BLS SOC codes aggregate across sub-specializations in ways that obscure meaningful pay differences — for example, 'Software Developers' (SOC 15-1252) covers a wide range of roles that a commercial survey would split into 8–12 distinct job matches.</w:t>
            </w:r>
          </w:p>
          <w:p>
            <w:r>
              <w:rPr>
                <w:rFonts w:ascii="Arial" w:cs="Arial" w:eastAsia="Arial" w:hAnsi="Arial"/>
                <w:b/>
                <w:bCs/>
                <w:color w:val="1D6E6E"/>
                <w:sz w:val="18"/>
                <w:szCs w:val="18"/>
              </w:rPr>
              <w:t xml:space="preserve">Mitigation: </w:t>
            </w:r>
            <w:r>
              <w:rPr>
                <w:rFonts w:ascii="Arial" w:cs="Arial" w:eastAsia="Arial" w:hAnsi="Arial"/>
                <w:color w:val="595959"/>
                <w:sz w:val="18"/>
                <w:szCs w:val="18"/>
              </w:rPr>
              <w:t xml:space="preserve">The job-to-SOC crosswalk (FR-08) is designed to make this aggregation visible and documented. Dashboard users are informed they are viewing BLS-level aggregations via a data source note on the dashboard.</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E6E" w:sz="8"/>
              <w:left w:val="single" w:color="1D6E6E" w:sz="8"/>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b/>
                <w:bCs/>
                <w:color w:val="1D6E6E"/>
                <w:sz w:val="20"/>
                <w:szCs w:val="20"/>
              </w:rPr>
              <w:t xml:space="preserve">ASM-03  —  </w:t>
            </w:r>
            <w:r>
              <w:rPr>
                <w:rFonts w:ascii="Arial" w:cs="Arial" w:eastAsia="Arial" w:hAnsi="Arial"/>
                <w:b/>
                <w:bCs/>
                <w:color w:val="000000"/>
                <w:sz w:val="20"/>
                <w:szCs w:val="20"/>
              </w:rPr>
              <w:t xml:space="preserve">Job-to-SOC Mapping Authority</w:t>
            </w:r>
          </w:p>
        </w:tc>
      </w:tr>
      <w:tr>
        <w:tc>
          <w:tcPr>
            <w:tcW w:type="dxa" w:w="9360"/>
            <w:tcBorders>
              <w:top w:val="single" w:color="CCCCCC" w:sz="1"/>
              <w:left w:val="single" w:color="1D6E6E" w:sz="8"/>
              <w:bottom w:val="single" w:color="CCCCCC" w:sz="1"/>
              <w:right w:val="single" w:color="CCCCCC" w:sz="1"/>
            </w:tcBorders>
            <w:shd w:fill="FFFFFF" w:val="clear"/>
            <w:tcMar>
              <w:top w:type="dxa" w:w="80"/>
              <w:left w:type="dxa" w:w="160"/>
              <w:bottom w:type="dxa" w:w="80"/>
              <w:right w:type="dxa" w:w="160"/>
            </w:tcMar>
          </w:tcPr>
          <w:p>
            <w:pPr>
              <w:spacing w:after="80"/>
            </w:pPr>
            <w:r>
              <w:rPr>
                <w:rFonts w:ascii="Arial" w:cs="Arial" w:eastAsia="Arial" w:hAnsi="Arial"/>
                <w:b/>
                <w:bCs/>
                <w:color w:val="000000"/>
                <w:sz w:val="18"/>
                <w:szCs w:val="18"/>
              </w:rPr>
              <w:t xml:space="preserve">Assumption: </w:t>
            </w:r>
            <w:r>
              <w:rPr>
                <w:rFonts w:ascii="Arial" w:cs="Arial" w:eastAsia="Arial" w:hAnsi="Arial"/>
                <w:sz w:val="18"/>
                <w:szCs w:val="18"/>
              </w:rPr>
              <w:t xml:space="preserve">The job-to-BLS SOC code mapping can be completed and maintained by one knowledgeable person (Total Rewards Analyst) without requiring a formal external compensation consultant.</w:t>
            </w:r>
          </w:p>
          <w:p>
            <w:pPr>
              <w:spacing w:after="80"/>
            </w:pPr>
            <w:r>
              <w:rPr>
                <w:rFonts w:ascii="Arial" w:cs="Arial" w:eastAsia="Arial" w:hAnsi="Arial"/>
                <w:b/>
                <w:bCs/>
                <w:color w:val="C00000"/>
                <w:sz w:val="18"/>
                <w:szCs w:val="18"/>
              </w:rPr>
              <w:t xml:space="preserve">Risk if Wrong: </w:t>
            </w:r>
            <w:r>
              <w:rPr>
                <w:rFonts w:ascii="Arial" w:cs="Arial" w:eastAsia="Arial" w:hAnsi="Arial"/>
                <w:color w:val="595959"/>
                <w:sz w:val="18"/>
                <w:szCs w:val="18"/>
              </w:rPr>
              <w:t xml:space="preserve">Incorrect or inconsistent job matching produces benchmarking results that do not reflect actual market conditions, creating misleading signals in offer decisions and below-market flags.</w:t>
            </w:r>
          </w:p>
          <w:p>
            <w:r>
              <w:rPr>
                <w:rFonts w:ascii="Arial" w:cs="Arial" w:eastAsia="Arial" w:hAnsi="Arial"/>
                <w:b/>
                <w:bCs/>
                <w:color w:val="1D6E6E"/>
                <w:sz w:val="18"/>
                <w:szCs w:val="18"/>
              </w:rPr>
              <w:t xml:space="preserve">Mitigation: </w:t>
            </w:r>
            <w:r>
              <w:rPr>
                <w:rFonts w:ascii="Arial" w:cs="Arial" w:eastAsia="Arial" w:hAnsi="Arial"/>
                <w:color w:val="595959"/>
                <w:sz w:val="18"/>
                <w:szCs w:val="18"/>
              </w:rPr>
              <w:t xml:space="preserve">Crosswalk table is treated as a controlled artifact per NFR-01c — changes are logged with author, date, and rationale. BLS SOC definitions are linked in the data dictionary for reference during mapping decisions.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E6E" w:sz="8"/>
              <w:left w:val="single" w:color="1D6E6E" w:sz="8"/>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b/>
                <w:bCs/>
                <w:color w:val="1D6E6E"/>
                <w:sz w:val="20"/>
                <w:szCs w:val="20"/>
              </w:rPr>
              <w:t xml:space="preserve">ASM-04  —  </w:t>
            </w:r>
            <w:r>
              <w:rPr>
                <w:rFonts w:ascii="Arial" w:cs="Arial" w:eastAsia="Arial" w:hAnsi="Arial"/>
                <w:b/>
                <w:bCs/>
                <w:color w:val="000000"/>
                <w:sz w:val="20"/>
                <w:szCs w:val="20"/>
              </w:rPr>
              <w:t xml:space="preserve">Legal Acceptance of Pay Equity Module Framing</w:t>
            </w:r>
          </w:p>
        </w:tc>
      </w:tr>
      <w:tr>
        <w:tc>
          <w:tcPr>
            <w:tcW w:type="dxa" w:w="9360"/>
            <w:tcBorders>
              <w:top w:val="single" w:color="CCCCCC" w:sz="1"/>
              <w:left w:val="single" w:color="1D6E6E" w:sz="8"/>
              <w:bottom w:val="single" w:color="CCCCCC" w:sz="1"/>
              <w:right w:val="single" w:color="CCCCCC" w:sz="1"/>
            </w:tcBorders>
            <w:shd w:fill="FFFFFF" w:val="clear"/>
            <w:tcMar>
              <w:top w:type="dxa" w:w="80"/>
              <w:left w:type="dxa" w:w="160"/>
              <w:bottom w:type="dxa" w:w="80"/>
              <w:right w:type="dxa" w:w="160"/>
            </w:tcMar>
          </w:tcPr>
          <w:p>
            <w:pPr>
              <w:spacing w:after="80"/>
            </w:pPr>
            <w:r>
              <w:rPr>
                <w:rFonts w:ascii="Arial" w:cs="Arial" w:eastAsia="Arial" w:hAnsi="Arial"/>
                <w:b/>
                <w:bCs/>
                <w:color w:val="000000"/>
                <w:sz w:val="18"/>
                <w:szCs w:val="18"/>
              </w:rPr>
              <w:t xml:space="preserve">Assumption: </w:t>
            </w:r>
            <w:r>
              <w:rPr>
                <w:rFonts w:ascii="Arial" w:cs="Arial" w:eastAsia="Arial" w:hAnsi="Arial"/>
                <w:sz w:val="18"/>
                <w:szCs w:val="18"/>
              </w:rPr>
              <w:t xml:space="preserve">TechNova Legal has implicitly accepted that the pay equity module is a monitoring and awareness tool, not a formal compliance determination or legal audit output. No formal legal sign-off has been obtained.</w:t>
            </w:r>
          </w:p>
          <w:p>
            <w:pPr>
              <w:spacing w:after="80"/>
            </w:pPr>
            <w:r>
              <w:rPr>
                <w:rFonts w:ascii="Arial" w:cs="Arial" w:eastAsia="Arial" w:hAnsi="Arial"/>
                <w:b/>
                <w:bCs/>
                <w:color w:val="C00000"/>
                <w:sz w:val="18"/>
                <w:szCs w:val="18"/>
              </w:rPr>
              <w:t xml:space="preserve">Risk if Wrong: </w:t>
            </w:r>
            <w:r>
              <w:rPr>
                <w:rFonts w:ascii="Arial" w:cs="Arial" w:eastAsia="Arial" w:hAnsi="Arial"/>
                <w:color w:val="595959"/>
                <w:sz w:val="18"/>
                <w:szCs w:val="18"/>
              </w:rPr>
              <w:t xml:space="preserve">Legal may require additional disclaimers, access restrictions, output format changes, or may prohibit the module if it creates discoverable documentation of pay gaps without a remediation plan attached.</w:t>
            </w:r>
          </w:p>
          <w:p>
            <w:r>
              <w:rPr>
                <w:rFonts w:ascii="Arial" w:cs="Arial" w:eastAsia="Arial" w:hAnsi="Arial"/>
                <w:b/>
                <w:bCs/>
                <w:color w:val="1D6E6E"/>
                <w:sz w:val="18"/>
                <w:szCs w:val="18"/>
              </w:rPr>
              <w:t xml:space="preserve">Mitigation: </w:t>
            </w:r>
            <w:r>
              <w:rPr>
                <w:rFonts w:ascii="Arial" w:cs="Arial" w:eastAsia="Arial" w:hAnsi="Arial"/>
                <w:color w:val="595959"/>
                <w:sz w:val="18"/>
                <w:szCs w:val="18"/>
              </w:rPr>
              <w:t xml:space="preserve">NFR-02b restricts pay equity view access to Total Rewards and CHRO only. CON-06 is documented explicitly in this FRD. A formal Legal review is recommended before any production deployment. Flagged as Open Item OI-01.</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E6E" w:sz="8"/>
              <w:left w:val="single" w:color="1D6E6E" w:sz="8"/>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b/>
                <w:bCs/>
                <w:color w:val="1D6E6E"/>
                <w:sz w:val="20"/>
                <w:szCs w:val="20"/>
              </w:rPr>
              <w:t xml:space="preserve">ASM-05  —  </w:t>
            </w:r>
            <w:r>
              <w:rPr>
                <w:rFonts w:ascii="Arial" w:cs="Arial" w:eastAsia="Arial" w:hAnsi="Arial"/>
                <w:b/>
                <w:bCs/>
                <w:color w:val="000000"/>
                <w:sz w:val="20"/>
                <w:szCs w:val="20"/>
              </w:rPr>
              <w:t xml:space="preserve">Power BI Licensing</w:t>
            </w:r>
          </w:p>
        </w:tc>
      </w:tr>
      <w:tr>
        <w:tc>
          <w:tcPr>
            <w:tcW w:type="dxa" w:w="9360"/>
            <w:tcBorders>
              <w:top w:val="single" w:color="CCCCCC" w:sz="1"/>
              <w:left w:val="single" w:color="1D6E6E" w:sz="8"/>
              <w:bottom w:val="single" w:color="CCCCCC" w:sz="1"/>
              <w:right w:val="single" w:color="CCCCCC" w:sz="1"/>
            </w:tcBorders>
            <w:shd w:fill="FFFFFF" w:val="clear"/>
            <w:tcMar>
              <w:top w:type="dxa" w:w="80"/>
              <w:left w:type="dxa" w:w="160"/>
              <w:bottom w:type="dxa" w:w="80"/>
              <w:right w:type="dxa" w:w="160"/>
            </w:tcMar>
          </w:tcPr>
          <w:p>
            <w:pPr>
              <w:spacing w:after="80"/>
            </w:pPr>
            <w:r>
              <w:rPr>
                <w:rFonts w:ascii="Arial" w:cs="Arial" w:eastAsia="Arial" w:hAnsi="Arial"/>
                <w:b/>
                <w:bCs/>
                <w:color w:val="000000"/>
                <w:sz w:val="18"/>
                <w:szCs w:val="18"/>
              </w:rPr>
              <w:t xml:space="preserve">Assumption: </w:t>
            </w:r>
            <w:r>
              <w:rPr>
                <w:rFonts w:ascii="Arial" w:cs="Arial" w:eastAsia="Arial" w:hAnsi="Arial"/>
                <w:sz w:val="18"/>
                <w:szCs w:val="18"/>
              </w:rPr>
              <w:t xml:space="preserve">A Power BI Pro or Premium Per User license is available for publishing the report to Power BI Service and sharing with authenticated TechNova users.</w:t>
            </w:r>
          </w:p>
          <w:p>
            <w:pPr>
              <w:spacing w:after="80"/>
            </w:pPr>
            <w:r>
              <w:rPr>
                <w:rFonts w:ascii="Arial" w:cs="Arial" w:eastAsia="Arial" w:hAnsi="Arial"/>
                <w:b/>
                <w:bCs/>
                <w:color w:val="C00000"/>
                <w:sz w:val="18"/>
                <w:szCs w:val="18"/>
              </w:rPr>
              <w:t xml:space="preserve">Risk if Wrong: </w:t>
            </w:r>
            <w:r>
              <w:rPr>
                <w:rFonts w:ascii="Arial" w:cs="Arial" w:eastAsia="Arial" w:hAnsi="Arial"/>
                <w:color w:val="595959"/>
                <w:sz w:val="18"/>
                <w:szCs w:val="18"/>
              </w:rPr>
              <w:t xml:space="preserve">Report can be built in Power BI Desktop but cannot be shared via Service without a Pro license. Portfolio demonstration would be limited to screenshots or local file sharing.</w:t>
            </w:r>
          </w:p>
          <w:p>
            <w:r>
              <w:rPr>
                <w:rFonts w:ascii="Arial" w:cs="Arial" w:eastAsia="Arial" w:hAnsi="Arial"/>
                <w:b/>
                <w:bCs/>
                <w:color w:val="1D6E6E"/>
                <w:sz w:val="18"/>
                <w:szCs w:val="18"/>
              </w:rPr>
              <w:t xml:space="preserve">Mitigation: </w:t>
            </w:r>
            <w:r>
              <w:rPr>
                <w:rFonts w:ascii="Arial" w:cs="Arial" w:eastAsia="Arial" w:hAnsi="Arial"/>
                <w:color w:val="595959"/>
                <w:sz w:val="18"/>
                <w:szCs w:val="18"/>
              </w:rPr>
              <w:t xml:space="preserve">Power BI Pro trial licenses are available for portfolio demonstration purposes. Noted as an infrastructure dependency in project setup documentation.</w:t>
            </w:r>
          </w:p>
        </w:tc>
      </w:tr>
    </w:tbl>
    <w:p>
      <w:pPr>
        <w:spacing w:before="0" w:after="120"/>
      </w:pPr>
      <w:r>
        <w:t xml:space="preserve"/>
      </w:r>
    </w:p>
    <w:p>
      <w:pPr>
        <w:spacing w:before="0" w:after="80"/>
      </w:pPr>
      <w:r>
        <w:t xml:space="preserve"/>
      </w:r>
    </w:p>
    <w:p>
      <w:pPr>
        <w:pStyle w:val="Heading2"/>
        <w:spacing w:before="280" w:after="120"/>
      </w:pPr>
      <w:r>
        <w:rPr>
          <w:rFonts w:ascii="Arial" w:cs="Arial" w:eastAsia="Arial" w:hAnsi="Arial"/>
          <w:b/>
          <w:bCs/>
          <w:color w:val="2E5FAC"/>
          <w:sz w:val="26"/>
          <w:szCs w:val="26"/>
        </w:rPr>
        <w:t xml:space="preserve">7.3  Open Items Requiring Resolution Before Build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2200"/>
        <w:gridCol w:w="2960"/>
      </w:tblGrid>
      <w:tr>
        <w:trPr>
          <w:tblHeader/>
        </w:trPr>
        <w:tc>
          <w:tcPr>
            <w:tcW w:type="dxa" w:w="70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350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Open Item</w:t>
            </w:r>
          </w:p>
        </w:tc>
        <w:tc>
          <w:tcPr>
            <w:tcW w:type="dxa" w:w="220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c>
          <w:tcPr>
            <w:tcW w:type="dxa" w:w="296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 if Unresolved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OI-01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Legal sign-off on pay equity module framing as monitoring tool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CHRO / Legal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Module may require redesign or removal</w:t>
            </w:r>
          </w:p>
        </w:tc>
      </w:tr>
      <w:tr>
        <w:tc>
          <w:tcPr>
            <w:tcW w:type="dxa" w:w="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OI-02</w:t>
            </w:r>
          </w:p>
        </w:tc>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Confirm Power BI Pro/Premium license availability</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Project Owner</w:t>
            </w:r>
          </w:p>
        </w:tc>
        <w:tc>
          <w:tcPr>
            <w:tcW w:type="dxa" w:w="2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Published report deliverable at risk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OI-03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Define TechNova's 5 target office MSA codes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Total Rewards SME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Geographic filter cannot be built without target MSAs</w:t>
            </w:r>
          </w:p>
        </w:tc>
      </w:tr>
      <w:tr>
        <w:tc>
          <w:tcPr>
            <w:tcW w:type="dxa" w:w="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OI-04</w:t>
            </w:r>
          </w:p>
        </w:tc>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Finalize target SOC code list for healthcare tech job families</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Total Rewards SME</w:t>
            </w:r>
          </w:p>
        </w:tc>
        <w:tc>
          <w:tcPr>
            <w:tcW w:type="dxa" w:w="2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BLS API queries cannot be scoped without SOC list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C" w:sz="4" w:space="4"/>
      </w:pBdr>
      <w:jc w:val="center"/>
    </w:pPr>
    <w:r>
      <w:rPr>
        <w:rFonts w:ascii="Arial" w:cs="Arial" w:eastAsia="Arial" w:hAnsi="Arial"/>
        <w:color w:val="595959"/>
        <w:sz w:val="16"/>
        <w:szCs w:val="16"/>
      </w:rPr>
      <w:t xml:space="preserve">CONFIDENTIAL — Internal Use Only  |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C" w:sz="4" w:space="4"/>
      </w:pBdr>
      <w:jc w:val="left"/>
    </w:pPr>
    <w:r>
      <w:rPr>
        <w:rFonts w:ascii="Arial" w:cs="Arial" w:eastAsia="Arial" w:hAnsi="Arial"/>
        <w:color w:val="595959"/>
        <w:sz w:val="16"/>
        <w:szCs w:val="16"/>
      </w:rPr>
      <w:t xml:space="preserve">TechNova — Compensation &amp; Market Benchmarking Dashboard  |  FRD-COMP-001</w:t>
    </w:r>
    <w:r>
      <w:rPr>
        <w:rFonts w:ascii="Arial" w:cs="Arial" w:eastAsia="Arial" w:hAnsi="Arial"/>
        <w:i/>
        <w:iCs/>
        <w:color w:val="595959"/>
        <w:sz w:val="16"/>
        <w:szCs w:val="16"/>
      </w:rPr>
      <w:t xml:space="preserve">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5FA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2026-02-22T14:21:37.368Z</dcterms:created>
  <dcterms:modified xsi:type="dcterms:W3CDTF">2026-02-22T14:21:37.368Z</dcterms:modified>
</cp:coreProperties>
</file>

<file path=docProps/custom.xml><?xml version="1.0" encoding="utf-8"?>
<Properties xmlns="http://schemas.openxmlformats.org/officeDocument/2006/custom-properties" xmlns:vt="http://schemas.openxmlformats.org/officeDocument/2006/docPropsVTypes"/>
</file>