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B4F72"/>
          <w:sz w:val="48"/>
          <w:szCs w:val="48"/>
        </w:rPr>
        <w:t xml:space="preserve">FUNCTIONAL REQUIREMENTS DOCUMENT</w:t>
      </w:r>
    </w:p>
    <w:p>
      <w:pPr>
        <w:spacing w:before="80" w:after="120"/>
        <w:jc w:val="center"/>
      </w:pPr>
      <w:r>
        <w:rPr>
          <w:rFonts w:ascii="Arial" w:cs="Arial" w:eastAsia="Arial" w:hAnsi="Arial"/>
          <w:b/>
          <w:bCs/>
          <w:color w:val="2E86C1"/>
          <w:sz w:val="64"/>
          <w:szCs w:val="64"/>
        </w:rPr>
        <w:t xml:space="preserve">Meridian</w:t>
      </w:r>
    </w:p>
    <w:p>
      <w:pPr>
        <w:spacing w:before="40" w:after="400"/>
        <w:jc w:val="center"/>
      </w:pPr>
      <w:r>
        <w:rPr>
          <w:rFonts w:ascii="Arial" w:cs="Arial" w:eastAsia="Arial" w:hAnsi="Arial"/>
          <w:i/>
          <w:iCs/>
          <w:color w:val="444444"/>
          <w:sz w:val="28"/>
          <w:szCs w:val="28"/>
        </w:rPr>
        <w:t xml:space="preserve">Workstream Portfolio Health Dashboard</w:t>
      </w:r>
    </w:p>
    <w:p>
      <w:pPr>
        <w:pBdr>
          <w:bottom w:val="single" w:color="2E86C1" w:sz="6" w:space="1"/>
        </w:pBdr>
        <w:spacing w:before="160" w:after="160"/>
      </w:pPr>
      <w:r>
        <w:rPr>
          <w:rFonts w:ascii="Arial" w:cs="Arial" w:eastAsia="Arial" w:hAnsi="Arial"/>
          <w:sz w:val="20"/>
          <w:szCs w:val="20"/>
        </w:rPr>
        <w:t xml:space="preserve"/>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Document ID</w:t>
            </w:r>
          </w:p>
        </w:tc>
        <w:tc>
          <w:tcPr>
            <w:tcW w:type="dxa" w:w="6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FRD-MERIDIAN-001</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Version</w:t>
            </w:r>
          </w:p>
        </w:tc>
        <w:tc>
          <w:tcPr>
            <w:tcW w:type="dxa" w:w="6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1.0 — Draft for Review</w:t>
            </w:r>
          </w:p>
        </w:tc>
      </w:tr>
      <w:tr>
        <w:tc>
          <w:tcPr>
            <w:tcW w:type="dxa" w:w="24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Project</w:t>
            </w:r>
          </w:p>
        </w:tc>
        <w:tc>
          <w:tcPr>
            <w:tcW w:type="dxa" w:w="6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Meridian — Workstream Portfolio Health Dashboard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Product Type</w:t>
            </w:r>
          </w:p>
        </w:tc>
        <w:tc>
          <w:tcPr>
            <w:tcW w:type="dxa" w:w="6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Standalone SaaS Web Application</w:t>
            </w:r>
          </w:p>
        </w:tc>
      </w:tr>
      <w:tr>
        <w:tc>
          <w:tcPr>
            <w:tcW w:type="dxa" w:w="24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Prepared By</w:t>
            </w:r>
          </w:p>
        </w:tc>
        <w:tc>
          <w:tcPr>
            <w:tcW w:type="dxa" w:w="6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Business Analyst — BA Portfolio Project 3</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Date</w:t>
            </w:r>
          </w:p>
        </w:tc>
        <w:tc>
          <w:tcPr>
            <w:tcW w:type="dxa" w:w="6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February 2026</w:t>
            </w:r>
          </w:p>
        </w:tc>
      </w:tr>
      <w:tr>
        <w:tc>
          <w:tcPr>
            <w:tcW w:type="dxa" w:w="24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Status</w:t>
            </w:r>
          </w:p>
        </w:tc>
        <w:tc>
          <w:tcPr>
            <w:tcW w:type="dxa" w:w="6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Planning Phase — Requirements Complete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Methodology</w:t>
            </w:r>
          </w:p>
        </w:tc>
        <w:tc>
          <w:tcPr>
            <w:tcW w:type="dxa" w:w="6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BABOK v3 Aligned</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BF5FB" w:val="clear"/>
            <w:tcMar>
              <w:top w:type="dxa" w:w="120"/>
              <w:left w:type="dxa" w:w="200"/>
              <w:bottom w:type="dxa" w:w="120"/>
              <w:right w:type="dxa" w:w="200"/>
            </w:tcMar>
          </w:tcPr>
          <w:p>
            <w:pPr>
              <w:spacing w:before="40" w:after="80"/>
            </w:pPr>
            <w:r>
              <w:rPr>
                <w:rFonts w:ascii="Arial" w:cs="Arial" w:eastAsia="Arial" w:hAnsi="Arial"/>
                <w:b/>
                <w:bCs/>
                <w:color w:val="1B4F72"/>
                <w:sz w:val="22"/>
                <w:szCs w:val="22"/>
              </w:rPr>
              <w:t xml:space="preserve">Portfolio Note</w:t>
            </w:r>
          </w:p>
          <w:p>
            <w:pPr>
              <w:spacing w:before="40" w:after="40"/>
            </w:pPr>
            <w:r>
              <w:rPr>
                <w:rFonts w:ascii="Arial" w:cs="Arial" w:eastAsia="Arial" w:hAnsi="Arial"/>
                <w:sz w:val="20"/>
                <w:szCs w:val="20"/>
              </w:rPr>
              <w:t xml:space="preserve">Meridian is a standalone product concept developed as Portfolio Project 3 in a BA career transition portfolio. The product is real in design — the requirements, data model, and collaboration architecture reflect genuine product thinking applicable to any professional tool in this space. All personas referenced in this document are illustrative archetypes representing the target user population, not fictional employees of a specific company.</w:t>
            </w:r>
          </w:p>
        </w:tc>
      </w:tr>
    </w:tbl>
    <w:p>
      <w:pPr>
        <w:spacing w:before="80" w:after="80"/>
      </w:pPr>
      <w:r>
        <w:rPr>
          <w:rFonts w:ascii="Arial" w:cs="Arial" w:eastAsia="Arial" w:hAnsi="Arial"/>
          <w:sz w:val="20"/>
          <w:szCs w:val="20"/>
        </w:rPr>
        <w:t xml:space="preserve"/>
      </w:r>
    </w:p>
    <w:p>
      <w:pPr>
        <w:pStyle w:val="Heading1"/>
        <w:spacing w:before="320" w:after="160"/>
      </w:pPr>
      <w:r>
        <w:rPr>
          <w:rFonts w:ascii="Arial" w:cs="Arial" w:eastAsia="Arial" w:hAnsi="Arial"/>
          <w:b/>
          <w:bCs/>
          <w:color w:val="1B4F72"/>
          <w:sz w:val="32"/>
          <w:szCs w:val="32"/>
        </w:rPr>
        <w:t xml:space="preserve">Table of Contents</w:t>
      </w:r>
    </w:p>
    <w:p>
      <w:pPr>
        <w:spacing w:before="60" w:after="60"/>
      </w:pPr>
      <w:r>
        <w:rPr>
          <w:rFonts w:ascii="Arial" w:cs="Arial" w:eastAsia="Arial" w:hAnsi="Arial"/>
          <w:sz w:val="20"/>
          <w:szCs w:val="20"/>
        </w:rPr>
        <w:t xml:space="preserve">1.  Problem Statement</w:t>
      </w:r>
    </w:p>
    <w:p>
      <w:pPr>
        <w:spacing w:before="60" w:after="60"/>
      </w:pPr>
      <w:r>
        <w:rPr>
          <w:rFonts w:ascii="Arial" w:cs="Arial" w:eastAsia="Arial" w:hAnsi="Arial"/>
          <w:sz w:val="20"/>
          <w:szCs w:val="20"/>
        </w:rPr>
        <w:t xml:space="preserve">2.  Product Vision &amp; Core Philosophy</w:t>
      </w:r>
    </w:p>
    <w:p>
      <w:pPr>
        <w:spacing w:before="60" w:after="60"/>
      </w:pPr>
      <w:r>
        <w:rPr>
          <w:rFonts w:ascii="Arial" w:cs="Arial" w:eastAsia="Arial" w:hAnsi="Arial"/>
          <w:sz w:val="20"/>
          <w:szCs w:val="20"/>
        </w:rPr>
        <w:t xml:space="preserve">3.  Stakeholder Map</w:t>
      </w:r>
    </w:p>
    <w:p>
      <w:pPr>
        <w:spacing w:before="60" w:after="60"/>
      </w:pPr>
      <w:r>
        <w:rPr>
          <w:rFonts w:ascii="Arial" w:cs="Arial" w:eastAsia="Arial" w:hAnsi="Arial"/>
          <w:sz w:val="20"/>
          <w:szCs w:val="20"/>
        </w:rPr>
        <w:t xml:space="preserve">4.  Scope</w:t>
      </w:r>
    </w:p>
    <w:p>
      <w:pPr>
        <w:spacing w:before="60" w:after="60"/>
      </w:pPr>
      <w:r>
        <w:rPr>
          <w:rFonts w:ascii="Arial" w:cs="Arial" w:eastAsia="Arial" w:hAnsi="Arial"/>
          <w:sz w:val="20"/>
          <w:szCs w:val="20"/>
        </w:rPr>
        <w:t xml:space="preserve">5.  RAG Scoring Engine Design</w:t>
      </w:r>
    </w:p>
    <w:p>
      <w:pPr>
        <w:spacing w:before="60" w:after="60"/>
      </w:pPr>
      <w:r>
        <w:rPr>
          <w:rFonts w:ascii="Arial" w:cs="Arial" w:eastAsia="Arial" w:hAnsi="Arial"/>
          <w:sz w:val="20"/>
          <w:szCs w:val="20"/>
        </w:rPr>
        <w:t xml:space="preserve">6.  Functional Requirements</w:t>
      </w:r>
    </w:p>
    <w:p>
      <w:pPr>
        <w:spacing w:before="60" w:after="60"/>
      </w:pPr>
      <w:r>
        <w:rPr>
          <w:rFonts w:ascii="Arial" w:cs="Arial" w:eastAsia="Arial" w:hAnsi="Arial"/>
          <w:sz w:val="20"/>
          <w:szCs w:val="20"/>
        </w:rPr>
        <w:t xml:space="preserve">7.  Non-Functional Requirements</w:t>
      </w:r>
    </w:p>
    <w:p>
      <w:pPr>
        <w:spacing w:before="60" w:after="60"/>
      </w:pPr>
      <w:r>
        <w:rPr>
          <w:rFonts w:ascii="Arial" w:cs="Arial" w:eastAsia="Arial" w:hAnsi="Arial"/>
          <w:sz w:val="20"/>
          <w:szCs w:val="20"/>
        </w:rPr>
        <w:t xml:space="preserve">8.  Constraints and Assumptions</w:t>
      </w:r>
    </w:p>
    <w:p>
      <w:pPr>
        <w:spacing w:before="80" w:after="80"/>
      </w:pPr>
      <w:r>
        <w:rPr>
          <w:rFonts w:ascii="Arial" w:cs="Arial" w:eastAsia="Arial" w:hAnsi="Arial"/>
          <w:sz w:val="20"/>
          <w:szCs w:val="20"/>
        </w:rPr>
        <w:t xml:space="preserve"/>
      </w:r>
    </w:p>
    <w:p>
      <w:r>
        <w:br w:type="page"/>
      </w:r>
    </w:p>
    <w:p>
      <w:pPr>
        <w:pStyle w:val="Heading1"/>
        <w:spacing w:before="320" w:after="160"/>
      </w:pPr>
      <w:r>
        <w:rPr>
          <w:rFonts w:ascii="Arial" w:cs="Arial" w:eastAsia="Arial" w:hAnsi="Arial"/>
          <w:b/>
          <w:bCs/>
          <w:color w:val="1B4F72"/>
          <w:sz w:val="32"/>
          <w:szCs w:val="32"/>
        </w:rPr>
        <w:t xml:space="preserve">1. Problem Statement</w:t>
      </w:r>
    </w:p>
    <w:p>
      <w:pPr>
        <w:pBdr>
          <w:bottom w:val="single" w:color="2E86C1" w:sz="6" w:space="1"/>
        </w:pBdr>
        <w:spacing w:before="160" w:after="1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The gap this product fills is not a missing feature — it is a missing identity.</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Professionals who manage complex, multi-stream work — business analysts juggling three active engagements, consultants carrying four client workstreams, finance managers running parallel reporting cycles, HR leads coordinating overlapping programs — do not think of themselves as project managers. They resist PM tools not because the tools lack features, but because those tools were built for someone else. Jira, Asana, Monday.com, and Smartsheet all speak the language of the dedicated project manager: sprints, epics, critical paths, resource histograms. For the professional who manages work as a by-product of doing work, these tools are alienating, over-engineered, and abandoned within weeks of adoption.</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fallback is the spreadsheet. A spreadsheet the professional built themselves, with columns that made sense at the time, a RAG column they manually update when they remember, and a level of honesty that correlates directly with how much time they have on a Friday afternoon. The spreadsheet does not alert them when a workstream is drifting. It does not calculate that they are 30% through their timeline but only 15% through their milestones. It does not flag that an open blocker has been sitting unresolved for nine days. It shows them whatever they last typed.</w:t>
      </w:r>
    </w:p>
    <w:p>
      <w:pPr>
        <w:spacing w:before="40" w:after="4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Primary Failure Mode</w:t>
      </w:r>
    </w:p>
    <w:p>
      <w:pPr>
        <w:spacing w:before="60" w:after="60"/>
      </w:pPr>
      <w:r>
        <w:rPr>
          <w:rFonts w:ascii="Arial" w:cs="Arial" w:eastAsia="Arial" w:hAnsi="Arial"/>
          <w:sz w:val="20"/>
          <w:szCs w:val="20"/>
        </w:rPr>
        <w:t xml:space="preserve">The primary failure mode is late discovery of workstream risk. A professional managing four concurrent workstreams has a natural attentional bias toward the loudest problem. Workstreams that are quietly drifting — not yet in crisis, but accumulating schedule variance and unresolved dependencies — receive attention only after they have become visible problems. By then, recovery costs more than prevention would have.</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underlying cause is that the status of a workstream is assessed subjectively and sporadically, not calculated continuously from objective data. When the professional manually chooses a RAG colour, they are not analysing — they are estimating, and they are estimating with optimism bias. The tool that removes that choice removes that bias.</w:t>
      </w:r>
    </w:p>
    <w:p>
      <w:pPr>
        <w:spacing w:before="40" w:after="4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Secondary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 Category</w:t>
            </w:r>
          </w:p>
        </w:tc>
        <w:tc>
          <w:tcPr>
            <w:tcW w:type="dxa" w:w="67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Siloed updates</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In collaborative workstreams, status is bottlenecked through one person who aggregates input from multiple contributors manually. Information that exists in email threads, chat messages, and conversations never reaches the health view.</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Stale data</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 workstream tracker is only as accurate as its last update. Without a mechanism to flag data staleness, a Green status may reflect the state of the work two weeks ago, not today.</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Context loss at handoff</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When a workstream changes hands or a new contributor joins, institutional context — decisions made, blockers resolved, rationale for timeline changes — exists nowhere in a structured, retrievable form.</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Inconsistent health language</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Without a shared definition of what Green, Amber, and Red mean, two people on the same workstream will assess its health differently. A manually chosen colour is an opinion. A calculated score is a standard.</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Cost of Inaction</w:t>
      </w:r>
    </w:p>
    <w:p>
      <w:pPr>
        <w:spacing w:before="60" w:after="60"/>
      </w:pPr>
      <w:r>
        <w:rPr>
          <w:rFonts w:ascii="Arial" w:cs="Arial" w:eastAsia="Arial" w:hAnsi="Arial"/>
          <w:sz w:val="20"/>
          <w:szCs w:val="20"/>
        </w:rPr>
        <w:t xml:space="preserve">The cost of inaction is not dramatic — it is cumulative and quiet. Workstreams slide past their windows without warning. Stakeholders are surprised by delays that were not invisible, only untracked. Recovery plans are written after the fact. The professional doing the work carries the cognitive overhead of maintaining a mental model of portfolio health that an automated tool should be carrying for them.</w:t>
      </w:r>
    </w:p>
    <w:p>
      <w:pPr>
        <w:spacing w:before="80" w:after="80"/>
      </w:pPr>
      <w:r>
        <w:rPr>
          <w:rFonts w:ascii="Arial" w:cs="Arial" w:eastAsia="Arial" w:hAnsi="Arial"/>
          <w:sz w:val="20"/>
          <w:szCs w:val="20"/>
        </w:rPr>
        <w:t xml:space="preserve"/>
      </w:r>
    </w:p>
    <w:p>
      <w:r>
        <w:br w:type="page"/>
      </w:r>
    </w:p>
    <w:p>
      <w:pPr>
        <w:pStyle w:val="Heading1"/>
        <w:spacing w:before="320" w:after="160"/>
      </w:pPr>
      <w:r>
        <w:rPr>
          <w:rFonts w:ascii="Arial" w:cs="Arial" w:eastAsia="Arial" w:hAnsi="Arial"/>
          <w:b/>
          <w:bCs/>
          <w:color w:val="1B4F72"/>
          <w:sz w:val="32"/>
          <w:szCs w:val="32"/>
        </w:rPr>
        <w:t xml:space="preserve">2. Product Vision &amp; Core Philosophy</w:t>
      </w:r>
    </w:p>
    <w:p>
      <w:pPr>
        <w:pBdr>
          <w:bottom w:val="single" w:color="2E86C1" w:sz="6" w:space="1"/>
        </w:pBdr>
        <w:spacing w:before="160" w:after="1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Meridian is a workstream portfolio health tool for professionals who manage work, not for project managers.</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product's central design principle is that health status is calculated, not declared. A user never selects a RAG colour. They enter objective data — milestone completions, spend figures, open blockers — and Meridian calculates what the data means. The scoring engine is tuned at workstream creation by a 9-question context wizard, so a hard-deadline client-billable engagement is scored differently from a self-imposed internal initiative. The intelligence is in the logic, not in the user's judgment.</w:t>
      </w:r>
    </w:p>
    <w:p>
      <w:pPr>
        <w:spacing w:before="40" w:after="4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The Atomic Unit: Workstream</w:t>
      </w:r>
    </w:p>
    <w:p>
      <w:pPr>
        <w:spacing w:before="60" w:after="60"/>
      </w:pPr>
      <w:r>
        <w:rPr>
          <w:rFonts w:ascii="Arial" w:cs="Arial" w:eastAsia="Arial" w:hAnsi="Arial"/>
          <w:sz w:val="20"/>
          <w:szCs w:val="20"/>
        </w:rPr>
        <w:t xml:space="preserve">The unit of tracking in Meridian is the Workstream — a bounded piece of work with a defined owner, a timeline, deliverables, and health that can be measured. A Workstream is not a task and not a programme. It sits between: larger than a to-do, smaller than a transformation. A requirements engagement, a reporting cycle, a process improvement initiative, a client deliverable — these are all Workstreams.</w:t>
      </w:r>
    </w:p>
    <w:p>
      <w:pPr>
        <w:spacing w:before="40" w:after="4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The Three Roles</w:t>
      </w:r>
    </w:p>
    <w:p>
      <w:pPr>
        <w:spacing w:before="60" w:after="60"/>
      </w:pPr>
      <w:r>
        <w:rPr>
          <w:rFonts w:ascii="Arial" w:cs="Arial" w:eastAsia="Arial" w:hAnsi="Arial"/>
          <w:sz w:val="20"/>
          <w:szCs w:val="20"/>
        </w:rPr>
        <w:t xml:space="preserve">Meridian is built for small, focused teams contributing to shared work. Every Workstream has exactly three permission levels: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75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Capabilities</w:t>
            </w:r>
          </w:p>
        </w:tc>
      </w:tr>
      <w:tr>
        <w:tc>
          <w:tcPr>
            <w:tcW w:type="dxa" w:w="18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Owner</w:t>
            </w:r>
          </w:p>
        </w:tc>
        <w:tc>
          <w:tcPr>
            <w:tcW w:type="dxa" w:w="7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Creates the Workstream, configures the scoring wizard, manages team membership, and has full write access. One Owner per Workstream.</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Contributor</w:t>
            </w:r>
          </w:p>
        </w:tc>
        <w:tc>
          <w:tcPr>
            <w:tcW w:type="dxa" w:w="7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Invited to the Workstream by the Owner. Updates milestones, logs blockers, enters spend, and posts to tab comment threads and the Updates tab. Multiple Contributors per Workstream.</w:t>
            </w:r>
          </w:p>
        </w:tc>
      </w:tr>
      <w:tr>
        <w:tc>
          <w:tcPr>
            <w:tcW w:type="dxa" w:w="18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Viewer</w:t>
            </w:r>
          </w:p>
        </w:tc>
        <w:tc>
          <w:tcPr>
            <w:tcW w:type="dxa" w:w="7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Joins via the open invite link. Read-only access to all Workstream data and comment threads. Cannot modify data or post comments. The Owner must explicitly promote a Viewer to Contributor.</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i/>
          <w:iCs/>
          <w:sz w:val="20"/>
          <w:szCs w:val="20"/>
        </w:rPr>
        <w:t xml:space="preserve">Design rationale: The open-link-to-Viewer pattern solves the tension between easy sharing (anyone can join via a link) and controlled write access (joining does not automatically grant trust). The Owner makes a deliberate decision to elevate each person to Contributor. This is a forcing function for access intentionality without requiring email-specific invite management.</w:t>
      </w:r>
    </w:p>
    <w:p>
      <w:pPr>
        <w:spacing w:before="80" w:after="80"/>
      </w:pPr>
      <w:r>
        <w:rPr>
          <w:rFonts w:ascii="Arial" w:cs="Arial" w:eastAsia="Arial" w:hAnsi="Arial"/>
          <w:sz w:val="20"/>
          <w:szCs w:val="20"/>
        </w:rPr>
        <w:t xml:space="preserve"/>
      </w:r>
    </w:p>
    <w:p>
      <w:r>
        <w:br w:type="page"/>
      </w:r>
    </w:p>
    <w:p>
      <w:pPr>
        <w:pStyle w:val="Heading1"/>
        <w:spacing w:before="320" w:after="160"/>
      </w:pPr>
      <w:r>
        <w:rPr>
          <w:rFonts w:ascii="Arial" w:cs="Arial" w:eastAsia="Arial" w:hAnsi="Arial"/>
          <w:b/>
          <w:bCs/>
          <w:color w:val="1B4F72"/>
          <w:sz w:val="32"/>
          <w:szCs w:val="32"/>
        </w:rPr>
        <w:t xml:space="preserve">3. Stakeholder Map</w:t>
      </w:r>
    </w:p>
    <w:p>
      <w:pPr>
        <w:pBdr>
          <w:bottom w:val="single" w:color="2E86C1" w:sz="6" w:space="1"/>
        </w:pBdr>
        <w:spacing w:before="160" w:after="1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Meridian is a product, not a client engagement. Stakeholders are therefore defined as user archetypes, product roles, and technical dependencies — not organisational actors within a single company.</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3.1 Primary Users</w:t>
      </w:r>
    </w:p>
    <w:p>
      <w:pPr>
        <w:pStyle w:val="Heading3"/>
        <w:spacing w:before="180" w:after="80"/>
      </w:pPr>
      <w:r>
        <w:rPr>
          <w:rFonts w:ascii="Arial" w:cs="Arial" w:eastAsia="Arial" w:hAnsi="Arial"/>
          <w:b/>
          <w:bCs/>
          <w:color w:val="1B4F72"/>
          <w:sz w:val="22"/>
          <w:szCs w:val="22"/>
        </w:rPr>
        <w:t xml:space="preserve">The Overloaded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W w:type="dxa" w:w="71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Archetype</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Business analyst, data analyst, or management consultant managing 3–6 active engagements simultaneously.</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Pain Point</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Portfolio health lives in a spreadsheet updated sporadically. RAG colours are optimistic estimates. Blockers are tracked in email. A client asks for a status update and the answer requires 20 minutes of manual aggregation.</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What they need from Meridian</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 dashboard that gives them an honest view of all active Workstreams in under 30 seconds, without them having to prepare it.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Engagement Need</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Core persona. Every design decision should pass the test: does this work for someone with 5 active Workstreams and 15 minutes a week of tracker maintenance time?</w:t>
            </w:r>
          </w:p>
        </w:tc>
      </w:tr>
    </w:tbl>
    <w:p>
      <w:pPr>
        <w:spacing w:before="80" w:after="80"/>
      </w:pPr>
      <w:r>
        <w:rPr>
          <w:rFonts w:ascii="Arial" w:cs="Arial" w:eastAsia="Arial" w:hAnsi="Arial"/>
          <w:sz w:val="20"/>
          <w:szCs w:val="20"/>
        </w:rPr>
        <w:t xml:space="preserve"/>
      </w:r>
    </w:p>
    <w:p>
      <w:pPr>
        <w:pStyle w:val="Heading3"/>
        <w:spacing w:before="180" w:after="80"/>
      </w:pPr>
      <w:r>
        <w:rPr>
          <w:rFonts w:ascii="Arial" w:cs="Arial" w:eastAsia="Arial" w:hAnsi="Arial"/>
          <w:b/>
          <w:bCs/>
          <w:color w:val="1B4F72"/>
          <w:sz w:val="22"/>
          <w:szCs w:val="22"/>
        </w:rPr>
        <w:t xml:space="preserve">The Team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W w:type="dxa" w:w="71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Archetype</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Team lead, ops manager, or senior BA who owns a Workstream that draws input from multiple contributors — developers, subject matter experts, external stakeholders.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Pain Point</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Status is bottlenecked through them because they are the only one updating the tracker. Contributors have information the coordinator does not have, but no structured place to put it.</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What they need from Meridian</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 shared Workstream where contributors update their own areas directly, and the coordinator sees an aggregated health view without chasing updates.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Engagement Need</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The collaboration model is built for this persona. Milestone-level comments and the Updates tab are designed to surface distributed information in structured form.</w:t>
            </w:r>
          </w:p>
        </w:tc>
      </w:tr>
    </w:tbl>
    <w:p>
      <w:pPr>
        <w:spacing w:before="80" w:after="80"/>
      </w:pPr>
      <w:r>
        <w:rPr>
          <w:rFonts w:ascii="Arial" w:cs="Arial" w:eastAsia="Arial" w:hAnsi="Arial"/>
          <w:sz w:val="20"/>
          <w:szCs w:val="20"/>
        </w:rPr>
        <w:t xml:space="preserve"/>
      </w:r>
    </w:p>
    <w:p>
      <w:pPr>
        <w:pStyle w:val="Heading3"/>
        <w:spacing w:before="180" w:after="80"/>
      </w:pPr>
      <w:r>
        <w:rPr>
          <w:rFonts w:ascii="Arial" w:cs="Arial" w:eastAsia="Arial" w:hAnsi="Arial"/>
          <w:b/>
          <w:bCs/>
          <w:color w:val="1B4F72"/>
          <w:sz w:val="22"/>
          <w:szCs w:val="22"/>
        </w:rPr>
        <w:t xml:space="preserve">The Status Requester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W w:type="dxa" w:w="71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Archetype</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Senior stakeholder, client contact, or manager who needs periodic visibility into Workstream health without being involved in the day-to-day.</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Pain Point</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Currently receives status by email, in meetings, or via manually prepared slide decks. Information is stale by the time it arrives and filtered through the presenter's framing.</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What they need from Meridian</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Viewer access to specific Workstreams. Sees the calculated RAG, the health sub-scores, and the Updates tab — without any ability to modify data.</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Engagement Need</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Drives the Viewer role design. The portfolio view and Updates tab must be comprehensible to someone who did not configure the Workstream.</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3.2 Product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71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Responsibilities</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Product Owner</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Defines requirements, prioritises features, and owns the product vision. Portfolio project owner in this context.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Developer</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Implements the application. In v1 this is AI-assisted solo development. The FRD must be precise enough for implementation without verbal clarification.</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3.3 Technical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Dependency</w:t>
            </w:r>
          </w:p>
        </w:tc>
        <w:tc>
          <w:tcPr>
            <w:tcW w:type="dxa" w:w="71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 Profile</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Supabase</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PostgreSQL database and authentication provider. Dependency risk: service outage, pricing changes, or API breaking changes affect both data persistence and auth flow.</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Streamlit Community Cloud</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Deployment platform. Dependency risk: cold starts, memory limits on free tier, and deployment pipeline reliability.</w:t>
            </w:r>
          </w:p>
        </w:tc>
      </w:tr>
      <w:tr>
        <w:tc>
          <w:tcPr>
            <w:tcW w:type="dxa" w:w="2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Email delivery (Supabase Auth)</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Invite notifications and account confirmation depend on Supabase's transactional email service. Dependency risk: deliverability, spam filtering.</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3.4 Stakeholder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200"/>
        <w:gridCol w:w="1200"/>
        <w:gridCol w:w="2860"/>
      </w:tblGrid>
      <w:tr>
        <w:tc>
          <w:tcPr>
            <w:tcW w:type="dxa" w:w="24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Stakeholder</w:t>
            </w:r>
          </w:p>
        </w:tc>
        <w:tc>
          <w:tcPr>
            <w:tcW w:type="dxa" w:w="17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Influence</w:t>
            </w:r>
          </w:p>
        </w:tc>
        <w:tc>
          <w:tcPr>
            <w:tcW w:type="dxa" w:w="1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Interest</w:t>
            </w:r>
          </w:p>
        </w:tc>
        <w:tc>
          <w:tcPr>
            <w:tcW w:type="dxa" w:w="28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Engagement Strategy</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Overloaded Analyst</w:t>
            </w:r>
          </w:p>
        </w:tc>
        <w:tc>
          <w:tcPr>
            <w:tcW w:type="dxa" w:w="17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Primary User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High</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High</w:t>
            </w:r>
          </w:p>
        </w:tc>
        <w:tc>
          <w:tcPr>
            <w:tcW w:type="dxa" w:w="2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Core persona — every decision validated against this user</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Team Coordinator</w:t>
            </w:r>
          </w:p>
        </w:tc>
        <w:tc>
          <w:tcPr>
            <w:tcW w:type="dxa" w:w="1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Primary User</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High</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High</w:t>
            </w:r>
          </w:p>
        </w:tc>
        <w:tc>
          <w:tcPr>
            <w:tcW w:type="dxa" w:w="28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Collaboration model built for this use case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Status Requester</w:t>
            </w:r>
          </w:p>
        </w:tc>
        <w:tc>
          <w:tcPr>
            <w:tcW w:type="dxa" w:w="17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Secondary User</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Medium</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Medium</w:t>
            </w:r>
          </w:p>
        </w:tc>
        <w:tc>
          <w:tcPr>
            <w:tcW w:type="dxa" w:w="2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Viewer role and Updates tab designed for this user</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Product Owner</w:t>
            </w:r>
          </w:p>
        </w:tc>
        <w:tc>
          <w:tcPr>
            <w:tcW w:type="dxa" w:w="1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Product Role</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High</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High</w:t>
            </w:r>
          </w:p>
        </w:tc>
        <w:tc>
          <w:tcPr>
            <w:tcW w:type="dxa" w:w="28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Manages closely — owns all decisions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Supabase</w:t>
            </w:r>
          </w:p>
        </w:tc>
        <w:tc>
          <w:tcPr>
            <w:tcW w:type="dxa" w:w="17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Technical Dep.</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High</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N/A</w:t>
            </w:r>
          </w:p>
        </w:tc>
        <w:tc>
          <w:tcPr>
            <w:tcW w:type="dxa" w:w="2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Monitor and document as infrastructure dependency</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Streamlit Cloud</w:t>
            </w:r>
          </w:p>
        </w:tc>
        <w:tc>
          <w:tcPr>
            <w:tcW w:type="dxa" w:w="1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Technical Dep.</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Medium</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N/A</w:t>
            </w:r>
          </w:p>
        </w:tc>
        <w:tc>
          <w:tcPr>
            <w:tcW w:type="dxa" w:w="28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Pre-test limits; have fallback demo plan</w:t>
            </w:r>
          </w:p>
        </w:tc>
      </w:tr>
    </w:tbl>
    <w:p>
      <w:pPr>
        <w:spacing w:before="80" w:after="80"/>
      </w:pPr>
      <w:r>
        <w:rPr>
          <w:rFonts w:ascii="Arial" w:cs="Arial" w:eastAsia="Arial" w:hAnsi="Arial"/>
          <w:sz w:val="20"/>
          <w:szCs w:val="20"/>
        </w:rPr>
        <w:t xml:space="preserve"/>
      </w:r>
    </w:p>
    <w:p>
      <w:r>
        <w:br w:type="page"/>
      </w:r>
    </w:p>
    <w:p>
      <w:pPr>
        <w:pStyle w:val="Heading1"/>
        <w:spacing w:before="320" w:after="160"/>
      </w:pPr>
      <w:r>
        <w:rPr>
          <w:rFonts w:ascii="Arial" w:cs="Arial" w:eastAsia="Arial" w:hAnsi="Arial"/>
          <w:b/>
          <w:bCs/>
          <w:color w:val="1B4F72"/>
          <w:sz w:val="32"/>
          <w:szCs w:val="32"/>
        </w:rPr>
        <w:t xml:space="preserve">4. Scope</w:t>
      </w:r>
    </w:p>
    <w:p>
      <w:pPr>
        <w:pBdr>
          <w:bottom w:val="single" w:color="2E86C1" w:sz="6" w:space="1"/>
        </w:pBdr>
        <w:spacing w:before="160" w:after="16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4.1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Capability</w:t>
            </w:r>
          </w:p>
        </w:tc>
        <w:tc>
          <w:tcPr>
            <w:tcW w:type="dxa" w:w="67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User Authentication</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Email and password registration and login via Supabase Auth. Account creation via direct signup or invite link flow.</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Workstream Creation &amp; Wizard</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 9-question context wizard that configures the RAG scoring profile for each new Workstream. Wizard answers stored and used to weight scoring dimensions throughout the Workstream lifecycle.</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RAG Scoring Engine</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Automatic calculation of Schedule Health, Budget Health, and Blocker Health sub-scores. Composite RAG status derived from weighted combination of sub-scores using wizard-configured weights. RAG is never manually set.</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Portfolio Dashboard</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 card-grid view of all Workstreams the user owns or contributes to. Each card displays workstream name, type, phase, deadline, sub-score indicators, and composite RAG badge.</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Workstream Detail — Milestones Tab</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CRUD management of milestones with due dates and status (Not Started, In Progress, Complete). Milestone completion feeds Schedule Health scoring. Contextual comments and pinned notes per milestone.</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Workstream Detail — Budget Tab</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Planned vs. actual spend tracking by phase. Automatic burn rate calculation feeding Budget Health scoring. Contextual comments and pinned notes on budget entries.</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Workstream Detail — Blockers Tab</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Blocker log with open/resolved status and age tracking. Blocker count and age feed Blocker Health scoring. Contextual comments and pinned notes per blocker.</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Workstream Detail — Updates Tab</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Structured announcement feed. Post types: Status Update (Owner only), Decision Made, Risk Raised, Milestone Reached, General Announcement (Owner and Contributor). Read-only for Viewers.</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Workstream Detail — Team Tab</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Member list with role display. Invite link generation. Role management (Owner promotes Viewers to Contributors or demotes Contributors to Viewers).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Workstream Detail — Overview Tab</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Workstream summary: name, description, wizard configuration summary, health score breakdown, days to deadline. Workstream-level comment thread.</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Collaboration</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Contextual comment threads per tab. Pinned notes on individual items. Viewers read-only. Contributors and Owners post comments and notes.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Invite System</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Open shareable invite link per Workstream. New users joining via link are assigned Viewer role. Owner promotes selectively.</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Workstream Archiving</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Owner can archive a completed Workstream. Archived Workstreams removed from active portfolio view, accessible in archive view with full history preserved.</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Staleness Warning</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System flags Workstreams where no data has been updated beyond the cadence set in the wizard (e.g., no update in 8 days for a weekly-cadence Workstream). Staleness indicator on the portfolio card.</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Portfolio Artifacts</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BABOK-aligned FRD (this document), UML class diagram (data model), BPMN diagram (Workstream lifecycle process), data dictionary.</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4.2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Excluded Item</w:t>
            </w:r>
          </w:p>
        </w:tc>
        <w:tc>
          <w:tcPr>
            <w:tcW w:type="dxa" w:w="67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 / Future Phase Note</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Push Notifications / Email Alerts</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email or push notifications for RAG changes, approaching deadlines, or new comments. Staleness warning is in-app only. Phase 2 consideration.</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Mobile Application</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Web application only. Responsive design is a Phase 2 consideration.</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Gantt / Timeline View</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visual timeline or dependency mapping. Milestone list only in v1.</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Resource Management</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resource allocation tracking, capacity planning, or time logging.</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Document Attachments</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file upload capability. External document links may be added in comments but files are not stored in Meridian.</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Reporting / Export</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PDF export, CSV download, or scheduled reporting. Phase 2 consideration.</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Organisation / Workspace Layer</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organisation-level account that groups multiple users under a shared workspace. Each user has their own account and access is managed per-Workstream.</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API / Integrations</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integrations with Jira, Slack, MS Teams, or any external tool in v1.</w:t>
            </w:r>
          </w:p>
        </w:tc>
      </w:tr>
      <w:tr>
        <w:tc>
          <w:tcPr>
            <w:tcW w:type="dxa" w:w="2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AI-Assisted Features</w:t>
            </w:r>
          </w:p>
        </w:tc>
        <w:tc>
          <w:tcPr>
            <w:tcW w:type="dxa" w:w="6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AI-generated summaries, suggestions, or auto-population. AI features are reserved for the P2 flagship project.</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Custom Scoring Thresholds</w:t>
            </w:r>
          </w:p>
        </w:tc>
        <w:tc>
          <w:tcPr>
            <w:tcW w:type="dxa" w:w="6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Users cannot manually override scoring thresholds. The wizard configures the profile; the engine applies it. Manual threshold customisation is a Phase 2 consideration.</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4.3 System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Inside the System</w:t>
            </w:r>
          </w:p>
        </w:tc>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User accounts and authentication
Workstream data (milestones, budget, blockers)
RAG scoring engine
Collaboration layer (comments, notes, updates)
Invite and role management
Portfolio dashboard view
Workstream archive</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Outside the System</w:t>
            </w:r>
          </w:p>
        </w:tc>
        <w:tc>
          <w:tcPr>
            <w:tcW w:type="dxa" w:w="46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HRIS, project management tools, financial systems
Document storage
Email / notification delivery (other than Supabase auth emails)
Legal compliance or audit reporting
Mobile clients</w:t>
            </w:r>
          </w:p>
        </w:tc>
      </w:tr>
    </w:tbl>
    <w:p>
      <w:pPr>
        <w:spacing w:before="80" w:after="80"/>
      </w:pPr>
      <w:r>
        <w:rPr>
          <w:rFonts w:ascii="Arial" w:cs="Arial" w:eastAsia="Arial" w:hAnsi="Arial"/>
          <w:sz w:val="20"/>
          <w:szCs w:val="20"/>
        </w:rPr>
        <w:t xml:space="preserve"/>
      </w:r>
    </w:p>
    <w:p>
      <w:r>
        <w:br w:type="page"/>
      </w:r>
    </w:p>
    <w:p>
      <w:pPr>
        <w:pStyle w:val="Heading1"/>
        <w:spacing w:before="320" w:after="160"/>
      </w:pPr>
      <w:r>
        <w:rPr>
          <w:rFonts w:ascii="Arial" w:cs="Arial" w:eastAsia="Arial" w:hAnsi="Arial"/>
          <w:b/>
          <w:bCs/>
          <w:color w:val="1B4F72"/>
          <w:sz w:val="32"/>
          <w:szCs w:val="32"/>
        </w:rPr>
        <w:t xml:space="preserve">5. RAG Scoring Engine Design</w:t>
      </w:r>
    </w:p>
    <w:p>
      <w:pPr>
        <w:pBdr>
          <w:bottom w:val="single" w:color="2E86C1" w:sz="6" w:space="1"/>
        </w:pBdr>
        <w:spacing w:before="160" w:after="1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RAG scoring engine is the product's core differentiator. This section documents the design decisions behind the scoring logic with sufficient precision to implement and test it. All threshold values represent the default baseline; wizard answers modify these values as described in Section 5.3.</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5.1 The Context Wizard — 9 Questions</w:t>
      </w:r>
    </w:p>
    <w:p>
      <w:pPr>
        <w:spacing w:before="60" w:after="60"/>
      </w:pPr>
      <w:r>
        <w:rPr>
          <w:rFonts w:ascii="Arial" w:cs="Arial" w:eastAsia="Arial" w:hAnsi="Arial"/>
          <w:sz w:val="20"/>
          <w:szCs w:val="20"/>
        </w:rPr>
        <w:t xml:space="preserve">When a Workstream is created, the Owner answers 9 questions that configure the scoring profile. Each answer modifies one or more scoring parameters. The wizard runs once at creation; the Owner can re-run it if the nature of the Workstream changes materially.</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480"/>
        <w:gridCol w:w="3200"/>
      </w:tblGrid>
      <w:tr>
        <w:tc>
          <w:tcPr>
            <w:tcW w:type="dxa" w:w="48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Question</w:t>
            </w:r>
          </w:p>
        </w:tc>
        <w:tc>
          <w:tcPr>
            <w:tcW w:type="dxa" w:w="348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Answer Options</w:t>
            </w:r>
          </w:p>
        </w:tc>
        <w:tc>
          <w:tcPr>
            <w:tcW w:type="dxa" w:w="3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Scoring Effect</w:t>
            </w:r>
          </w:p>
        </w:tc>
      </w:tr>
      <w:tr>
        <w:tc>
          <w:tcPr>
            <w:tcW w:type="dxa" w:w="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Q1</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Type of work</w:t>
            </w:r>
          </w:p>
        </w:tc>
        <w:tc>
          <w:tcPr>
            <w:tcW w:type="dxa" w:w="3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Delivery, Analysis, Process Improvement, Reporting, Strategy, Other</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Sets base dimension weights</w:t>
            </w:r>
          </w:p>
        </w:tc>
      </w:tr>
      <w:tr>
        <w:tc>
          <w:tcPr>
            <w:tcW w:type="dxa" w:w="4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Q2</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Deadline nature</w:t>
            </w:r>
          </w:p>
        </w:tc>
        <w:tc>
          <w:tcPr>
            <w:tcW w:type="dxa" w:w="34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Hard/contractual, Business-driven, Self-imposed, Ongoing</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Schedule weight multiplier</w:t>
            </w:r>
          </w:p>
        </w:tc>
      </w:tr>
      <w:tr>
        <w:tc>
          <w:tcPr>
            <w:tcW w:type="dxa" w:w="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Q3</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Primary deliverable type</w:t>
            </w:r>
          </w:p>
        </w:tc>
        <w:tc>
          <w:tcPr>
            <w:tcW w:type="dxa" w:w="3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Document/Report, Decision/Approval, Built Solution, Process Change, Recommendation</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Blocker threshold sensitivity</w:t>
            </w:r>
          </w:p>
        </w:tc>
      </w:tr>
      <w:tr>
        <w:tc>
          <w:tcPr>
            <w:tcW w:type="dxa" w:w="4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Q4</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 exposure</w:t>
            </w:r>
          </w:p>
        </w:tc>
        <w:tc>
          <w:tcPr>
            <w:tcW w:type="dxa" w:w="34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Client-billable, Approved internal budget, Informal/no formal budget</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 dimension activation level</w:t>
            </w:r>
          </w:p>
        </w:tc>
      </w:tr>
      <w:tr>
        <w:tc>
          <w:tcPr>
            <w:tcW w:type="dxa" w:w="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Q5</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External dependency level</w:t>
            </w:r>
          </w:p>
        </w:tc>
        <w:tc>
          <w:tcPr>
            <w:tcW w:type="dxa" w:w="3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Fully self-contained, Depends on 1-2 others, Depends on multiple teams, Blocked by external party</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Blocker age threshold tightening</w:t>
            </w:r>
          </w:p>
        </w:tc>
      </w:tr>
      <w:tr>
        <w:tc>
          <w:tcPr>
            <w:tcW w:type="dxa" w:w="4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Q6</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Overall risk level</w:t>
            </w:r>
          </w:p>
        </w:tc>
        <w:tc>
          <w:tcPr>
            <w:tcW w:type="dxa" w:w="34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Low, Medium, High, Critical</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Amber-to-Red band compression</w:t>
            </w:r>
          </w:p>
        </w:tc>
      </w:tr>
      <w:tr>
        <w:tc>
          <w:tcPr>
            <w:tcW w:type="dxa" w:w="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Q7</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Current phase</w:t>
            </w:r>
          </w:p>
        </w:tc>
        <w:tc>
          <w:tcPr>
            <w:tcW w:type="dxa" w:w="3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Discovery, Planning, In-flight, Review/Closing</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Threshold shift by lifecycle position</w:t>
            </w:r>
          </w:p>
        </w:tc>
      </w:tr>
      <w:tr>
        <w:tc>
          <w:tcPr>
            <w:tcW w:type="dxa" w:w="4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Q8</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Update frequency</w:t>
            </w:r>
          </w:p>
        </w:tc>
        <w:tc>
          <w:tcPr>
            <w:tcW w:type="dxa" w:w="348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Daily, Weekly, Bi-weekly, Monthly</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Staleness warning trigger period</w:t>
            </w:r>
          </w:p>
        </w:tc>
      </w:tr>
      <w:tr>
        <w:tc>
          <w:tcPr>
            <w:tcW w:type="dxa" w:w="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Q9</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Primary audience for status</w:t>
            </w:r>
          </w:p>
        </w:tc>
        <w:tc>
          <w:tcPr>
            <w:tcW w:type="dxa" w:w="348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Just me, My team, Senior leadership, External client</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Portfolio card display context</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5.2 The Three Health Dimensions</w:t>
      </w:r>
    </w:p>
    <w:p>
      <w:pPr>
        <w:pStyle w:val="Heading3"/>
        <w:spacing w:before="180" w:after="80"/>
      </w:pPr>
      <w:r>
        <w:rPr>
          <w:rFonts w:ascii="Arial" w:cs="Arial" w:eastAsia="Arial" w:hAnsi="Arial"/>
          <w:b/>
          <w:bCs/>
          <w:color w:val="1B4F72"/>
          <w:sz w:val="22"/>
          <w:szCs w:val="22"/>
        </w:rPr>
        <w:t xml:space="preserve">Schedule Health</w:t>
      </w:r>
    </w:p>
    <w:p>
      <w:pPr>
        <w:spacing w:before="60" w:after="60"/>
      </w:pPr>
      <w:r>
        <w:rPr>
          <w:rFonts w:ascii="Arial" w:cs="Arial" w:eastAsia="Arial" w:hAnsi="Arial"/>
          <w:sz w:val="20"/>
          <w:szCs w:val="20"/>
        </w:rPr>
        <w:t xml:space="preserve">Schedule Health measures whether milestone completion is keeping pace with elapsed time. It is calculated as a Schedule Variance score:</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60" w:after="60"/>
            </w:pPr>
            <w:r>
              <w:rPr>
                <w:rFonts w:ascii="Courier New" w:cs="Courier New" w:eastAsia="Courier New" w:hAnsi="Courier New"/>
                <w:b/>
                <w:bCs/>
                <w:color w:val="1B4F72"/>
                <w:sz w:val="20"/>
                <w:szCs w:val="20"/>
              </w:rPr>
              <w:t xml:space="preserve">Schedule Variance (SV) = Milestone Completion % - Time Elapsed %</w:t>
            </w:r>
          </w:p>
          <w:p>
            <w:pPr>
              <w:spacing w:before="60" w:after="60"/>
            </w:pPr>
            <w:r>
              <w:rPr>
                <w:rFonts w:ascii="Arial" w:cs="Arial" w:eastAsia="Arial" w:hAnsi="Arial"/>
                <w:sz w:val="20"/>
                <w:szCs w:val="20"/>
              </w:rPr>
              <w:t xml:space="preserve">A Workstream is 40% through its timeline but only 25% through its milestones: SV = -15%. A negative variance indicates the work is behind the expected pace.</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c>
          <w:tcPr>
            <w:tcW w:type="dxa" w:w="24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Default Threshold</w:t>
            </w:r>
          </w:p>
        </w:tc>
        <w:tc>
          <w:tcPr>
            <w:tcW w:type="dxa" w:w="57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Interpretation</w:t>
            </w:r>
          </w:p>
        </w:tc>
      </w:tr>
      <w:tr>
        <w:tc>
          <w:tcPr>
            <w:tcW w:type="dxa" w:w="120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Green</w:t>
            </w:r>
          </w:p>
        </w:tc>
        <w:tc>
          <w:tcPr>
            <w:tcW w:type="dxa" w:w="240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SV &gt;= -10%</w:t>
            </w:r>
          </w:p>
        </w:tc>
        <w:tc>
          <w:tcPr>
            <w:tcW w:type="dxa" w:w="57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On track — milestone completion is pacing within acceptable range of elapsed time</w:t>
            </w:r>
          </w:p>
        </w:tc>
      </w:tr>
      <w:tr>
        <w:tc>
          <w:tcPr>
            <w:tcW w:type="dxa" w:w="120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Amber</w:t>
            </w:r>
          </w:p>
        </w:tc>
        <w:tc>
          <w:tcPr>
            <w:tcW w:type="dxa" w:w="240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-10% &gt; SV &gt;= -25%</w:t>
            </w:r>
          </w:p>
        </w:tc>
        <w:tc>
          <w:tcPr>
            <w:tcW w:type="dxa" w:w="576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Behind — milestone completion is lagging elapsed time; attention required</w:t>
            </w:r>
          </w:p>
        </w:tc>
      </w:tr>
      <w:tr>
        <w:tc>
          <w:tcPr>
            <w:tcW w:type="dxa" w:w="120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Red</w:t>
            </w:r>
          </w:p>
        </w:tc>
        <w:tc>
          <w:tcPr>
            <w:tcW w:type="dxa" w:w="240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SV &lt; -25%</w:t>
            </w:r>
          </w:p>
        </w:tc>
        <w:tc>
          <w:tcPr>
            <w:tcW w:type="dxa" w:w="576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At risk — significant schedule lag; intervention likely required</w:t>
            </w:r>
          </w:p>
        </w:tc>
      </w:tr>
    </w:tbl>
    <w:p>
      <w:pPr>
        <w:spacing w:before="80" w:after="80"/>
      </w:pPr>
      <w:r>
        <w:rPr>
          <w:rFonts w:ascii="Arial" w:cs="Arial" w:eastAsia="Arial" w:hAnsi="Arial"/>
          <w:sz w:val="20"/>
          <w:szCs w:val="20"/>
        </w:rPr>
        <w:t xml:space="preserve"/>
      </w:r>
    </w:p>
    <w:p>
      <w:pPr>
        <w:pStyle w:val="Heading3"/>
        <w:spacing w:before="180" w:after="80"/>
      </w:pPr>
      <w:r>
        <w:rPr>
          <w:rFonts w:ascii="Arial" w:cs="Arial" w:eastAsia="Arial" w:hAnsi="Arial"/>
          <w:b/>
          <w:bCs/>
          <w:color w:val="1B4F72"/>
          <w:sz w:val="22"/>
          <w:szCs w:val="22"/>
        </w:rPr>
        <w:t xml:space="preserve">Budget Health</w:t>
      </w:r>
    </w:p>
    <w:p>
      <w:pPr>
        <w:spacing w:before="60" w:after="60"/>
      </w:pPr>
      <w:r>
        <w:rPr>
          <w:rFonts w:ascii="Arial" w:cs="Arial" w:eastAsia="Arial" w:hAnsi="Arial"/>
          <w:sz w:val="20"/>
          <w:szCs w:val="20"/>
        </w:rPr>
        <w:t xml:space="preserve">Budget Health measures whether actual spend is tracking against the planned burn rate for the current point in the Workstream timeline.</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60" w:after="60"/>
            </w:pPr>
            <w:r>
              <w:rPr>
                <w:rFonts w:ascii="Courier New" w:cs="Courier New" w:eastAsia="Courier New" w:hAnsi="Courier New"/>
                <w:b/>
                <w:bCs/>
                <w:color w:val="1B4F72"/>
                <w:sz w:val="20"/>
                <w:szCs w:val="20"/>
              </w:rPr>
              <w:t xml:space="preserve">Budget Variance (BV) = (Planned Spend to Date - Actual Spend to Date) / Total Budget</w:t>
            </w:r>
          </w:p>
          <w:p>
            <w:pPr>
              <w:spacing w:before="60" w:after="60"/>
            </w:pPr>
            <w:r>
              <w:rPr>
                <w:rFonts w:ascii="Arial" w:cs="Arial" w:eastAsia="Arial" w:hAnsi="Arial"/>
                <w:sz w:val="20"/>
                <w:szCs w:val="20"/>
              </w:rPr>
              <w:t xml:space="preserve">Positive BV = under budget. Negative BV = over budget against plan-to-date.</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c>
          <w:tcPr>
            <w:tcW w:type="dxa" w:w="24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Default Threshold</w:t>
            </w:r>
          </w:p>
        </w:tc>
        <w:tc>
          <w:tcPr>
            <w:tcW w:type="dxa" w:w="57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Interpretation</w:t>
            </w:r>
          </w:p>
        </w:tc>
      </w:tr>
      <w:tr>
        <w:tc>
          <w:tcPr>
            <w:tcW w:type="dxa" w:w="120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Green</w:t>
            </w:r>
          </w:p>
        </w:tc>
        <w:tc>
          <w:tcPr>
            <w:tcW w:type="dxa" w:w="240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BV &gt;= -5%</w:t>
            </w:r>
          </w:p>
        </w:tc>
        <w:tc>
          <w:tcPr>
            <w:tcW w:type="dxa" w:w="5760"/>
            <w:tcBorders>
              <w:top w:val="single" w:color="AED6F1" w:sz="1"/>
              <w:left w:val="single" w:color="AED6F1" w:sz="1"/>
              <w:bottom w:val="single" w:color="AED6F1" w:sz="1"/>
              <w:right w:val="single" w:color="AED6F1" w:sz="1"/>
            </w:tcBorders>
            <w:shd w:fill="D5F5E3"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On budget — actual spend within 5% of planned spend to date</w:t>
            </w:r>
          </w:p>
        </w:tc>
      </w:tr>
      <w:tr>
        <w:tc>
          <w:tcPr>
            <w:tcW w:type="dxa" w:w="120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Amber</w:t>
            </w:r>
          </w:p>
        </w:tc>
        <w:tc>
          <w:tcPr>
            <w:tcW w:type="dxa" w:w="240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-5% &gt; BV &gt;= -15%</w:t>
            </w:r>
          </w:p>
        </w:tc>
        <w:tc>
          <w:tcPr>
            <w:tcW w:type="dxa" w:w="576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Over plan — spend is running ahead of schedule; monitor closely</w:t>
            </w:r>
          </w:p>
        </w:tc>
      </w:tr>
      <w:tr>
        <w:tc>
          <w:tcPr>
            <w:tcW w:type="dxa" w:w="120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Red</w:t>
            </w:r>
          </w:p>
        </w:tc>
        <w:tc>
          <w:tcPr>
            <w:tcW w:type="dxa" w:w="240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BV &lt; -15%</w:t>
            </w:r>
          </w:p>
        </w:tc>
        <w:tc>
          <w:tcPr>
            <w:tcW w:type="dxa" w:w="576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 at risk — significant overspend against plan; requires action</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i/>
          <w:iCs/>
          <w:sz w:val="20"/>
          <w:szCs w:val="20"/>
        </w:rPr>
        <w:t xml:space="preserve">Note: If Q4 (Budget Exposure) is set to 'Informal/no formal budget', the Budget dimension weight is reduced to 5% and does not materially affect the composite RAG. The dimension remains visible but is flagged as 'not formally tracked' on the Budget tab.</w:t>
      </w:r>
    </w:p>
    <w:p>
      <w:pPr>
        <w:spacing w:before="80" w:after="80"/>
      </w:pPr>
      <w:r>
        <w:rPr>
          <w:rFonts w:ascii="Arial" w:cs="Arial" w:eastAsia="Arial" w:hAnsi="Arial"/>
          <w:sz w:val="20"/>
          <w:szCs w:val="20"/>
        </w:rPr>
        <w:t xml:space="preserve"/>
      </w:r>
    </w:p>
    <w:p>
      <w:pPr>
        <w:pStyle w:val="Heading3"/>
        <w:spacing w:before="180" w:after="80"/>
      </w:pPr>
      <w:r>
        <w:rPr>
          <w:rFonts w:ascii="Arial" w:cs="Arial" w:eastAsia="Arial" w:hAnsi="Arial"/>
          <w:b/>
          <w:bCs/>
          <w:color w:val="1B4F72"/>
          <w:sz w:val="22"/>
          <w:szCs w:val="22"/>
        </w:rPr>
        <w:t xml:space="preserve">Blocker Health</w:t>
      </w:r>
    </w:p>
    <w:p>
      <w:pPr>
        <w:spacing w:before="60" w:after="60"/>
      </w:pPr>
      <w:r>
        <w:rPr>
          <w:rFonts w:ascii="Arial" w:cs="Arial" w:eastAsia="Arial" w:hAnsi="Arial"/>
          <w:sz w:val="20"/>
          <w:szCs w:val="20"/>
        </w:rPr>
        <w:t xml:space="preserve">Blocker Health measures the risk posed by open, unresolved blockers based on count and age. An open blocker that has been sitting for 10 days on a high-risk engagement is a fundamentally different signal than a blocker raised yesterday on a low-risk internal task.</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3360"/>
      </w:tblGrid>
      <w:tr>
        <w:tc>
          <w:tcPr>
            <w:tcW w:type="dxa" w:w="2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Blocker State</w:t>
            </w:r>
          </w:p>
        </w:tc>
        <w:tc>
          <w:tcPr>
            <w:tcW w:type="dxa" w:w="14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Age</w:t>
            </w:r>
          </w:p>
        </w:tc>
        <w:tc>
          <w:tcPr>
            <w:tcW w:type="dxa" w:w="1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Score</w:t>
            </w:r>
          </w:p>
        </w:tc>
        <w:tc>
          <w:tcPr>
            <w:tcW w:type="dxa" w:w="1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Default Status</w:t>
            </w:r>
          </w:p>
        </w:tc>
        <w:tc>
          <w:tcPr>
            <w:tcW w:type="dxa" w:w="33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Interpretation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No open blockers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100</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Green</w:t>
            </w:r>
          </w:p>
        </w:tc>
        <w:tc>
          <w:tcPr>
            <w:tcW w:type="dxa" w:w="3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blocker risk</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1 blocker, &lt; 3 days</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80</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Green</w:t>
            </w:r>
          </w:p>
        </w:tc>
        <w:tc>
          <w:tcPr>
            <w:tcW w:type="dxa" w:w="3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Recently raised, monitoring period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1 blocker, 3-7 days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55</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Amber</w:t>
            </w:r>
          </w:p>
        </w:tc>
        <w:tc>
          <w:tcPr>
            <w:tcW w:type="dxa" w:w="3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Blocker unresolved past expected response window</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1 blocker, &gt; 7 days</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25</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Red</w:t>
            </w:r>
          </w:p>
        </w:tc>
        <w:tc>
          <w:tcPr>
            <w:tcW w:type="dxa" w:w="3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Blocker significantly aged; escalation warranted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2+ blockers</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Any age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40 max</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Amber+</w:t>
            </w:r>
          </w:p>
        </w:tc>
        <w:tc>
          <w:tcPr>
            <w:tcW w:type="dxa" w:w="3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Multiple open blockers compress score regardless of age</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Blocker marked external</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Any</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-10 penalty</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t>
            </w:r>
          </w:p>
        </w:tc>
        <w:tc>
          <w:tcPr>
            <w:tcW w:type="dxa" w:w="3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Additional penalty applied when Q5 = Blocked by external party</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5.3 Wizard Modifier Matrix</w:t>
      </w:r>
    </w:p>
    <w:p>
      <w:pPr>
        <w:spacing w:before="60" w:after="60"/>
      </w:pPr>
      <w:r>
        <w:rPr>
          <w:rFonts w:ascii="Arial" w:cs="Arial" w:eastAsia="Arial" w:hAnsi="Arial"/>
          <w:sz w:val="20"/>
          <w:szCs w:val="20"/>
        </w:rPr>
        <w:t xml:space="preserve">The following table documents how wizard answers modify the default thresholds and weights. These modifications are applied at scoring time using the stored wizard configuration for each Workstream.</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060"/>
        <w:gridCol w:w="2300"/>
      </w:tblGrid>
      <w:tr>
        <w:tc>
          <w:tcPr>
            <w:tcW w:type="dxa" w:w="26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Wizard Answer</w:t>
            </w:r>
          </w:p>
        </w:tc>
        <w:tc>
          <w:tcPr>
            <w:tcW w:type="dxa" w:w="14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 Affected</w:t>
            </w:r>
          </w:p>
        </w:tc>
        <w:tc>
          <w:tcPr>
            <w:tcW w:type="dxa" w:w="30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Modification</w:t>
            </w:r>
          </w:p>
        </w:tc>
        <w:tc>
          <w:tcPr>
            <w:tcW w:type="dxa" w:w="23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Q2 = Hard/contractual deadline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Schedule</w:t>
            </w:r>
          </w:p>
        </w:tc>
        <w:tc>
          <w:tcPr>
            <w:tcW w:type="dxa" w:w="30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Amber threshold tightens: -10% -&gt; -5%; Red: -25% -&gt; -15%</w:t>
            </w:r>
          </w:p>
        </w:tc>
        <w:tc>
          <w:tcPr>
            <w:tcW w:type="dxa" w:w="23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Hard deadlines have no buffer; early warning is critical</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Q2 = Ongoing / no fixed end</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Schedule</w:t>
            </w:r>
          </w:p>
        </w:tc>
        <w:tc>
          <w:tcPr>
            <w:tcW w:type="dxa" w:w="30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Schedule dimension weight reduced to 10%; thresholds relaxed</w:t>
            </w:r>
          </w:p>
        </w:tc>
        <w:tc>
          <w:tcPr>
            <w:tcW w:type="dxa" w:w="23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deadline means schedule variance is informational only</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Q4 = Client-billable</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w:t>
            </w:r>
          </w:p>
        </w:tc>
        <w:tc>
          <w:tcPr>
            <w:tcW w:type="dxa" w:w="30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 weight increases from 35% to 45%; Amber at -3%, Red at -10%</w:t>
            </w:r>
          </w:p>
        </w:tc>
        <w:tc>
          <w:tcPr>
            <w:tcW w:type="dxa" w:w="23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Client billing makes budget accuracy a trust and commercial issue</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Q4 = Informal / no formal budget</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w:t>
            </w:r>
          </w:p>
        </w:tc>
        <w:tc>
          <w:tcPr>
            <w:tcW w:type="dxa" w:w="30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 weight reduced to 5%; dimension shown as untracked</w:t>
            </w:r>
          </w:p>
        </w:tc>
        <w:tc>
          <w:tcPr>
            <w:tcW w:type="dxa" w:w="23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baseline to measure against; scoring against zero is meaningless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Q5 = Blocked by external party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Blockers</w:t>
            </w:r>
          </w:p>
        </w:tc>
        <w:tc>
          <w:tcPr>
            <w:tcW w:type="dxa" w:w="30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Blocker age thresholds halved: Amber at 1.5 days, Red at 3.5 days</w:t>
            </w:r>
          </w:p>
        </w:tc>
        <w:tc>
          <w:tcPr>
            <w:tcW w:type="dxa" w:w="23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External blockers are outside the team's control; risk accumulates faster</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Q6 = High risk</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All</w:t>
            </w:r>
          </w:p>
        </w:tc>
        <w:tc>
          <w:tcPr>
            <w:tcW w:type="dxa" w:w="30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Amber-to-Red band compressed by 5% across all dimensions</w:t>
            </w:r>
          </w:p>
        </w:tc>
        <w:tc>
          <w:tcPr>
            <w:tcW w:type="dxa" w:w="23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High risk means less tolerance for variance before escalation</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Q6 = Critical risk</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All</w:t>
            </w:r>
          </w:p>
        </w:tc>
        <w:tc>
          <w:tcPr>
            <w:tcW w:type="dxa" w:w="30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Amber-to-Red band compressed by 10%; staleness warning at 50% of normal cadence</w:t>
            </w:r>
          </w:p>
        </w:tc>
        <w:tc>
          <w:tcPr>
            <w:tcW w:type="dxa" w:w="23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Critical work demands tighter monitoring across all dimensions</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Q7 = Review/Closing</w:t>
            </w:r>
          </w:p>
        </w:tc>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Schedule</w:t>
            </w:r>
          </w:p>
        </w:tc>
        <w:tc>
          <w:tcPr>
            <w:tcW w:type="dxa" w:w="30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Schedule Red threshold tightens to -10%; any incomplete milestone &gt; 2 days past due triggers Amber</w:t>
            </w:r>
          </w:p>
        </w:tc>
        <w:tc>
          <w:tcPr>
            <w:tcW w:type="dxa" w:w="23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Late-phase workstreams have no runway left for schedule recovery</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Q7 = Discovery</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w:t>
            </w:r>
          </w:p>
        </w:tc>
        <w:tc>
          <w:tcPr>
            <w:tcW w:type="dxa" w:w="30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 Amber threshold relaxed to -20%</w:t>
            </w:r>
          </w:p>
        </w:tc>
        <w:tc>
          <w:tcPr>
            <w:tcW w:type="dxa" w:w="23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Discovery phases have inherently variable spend; punishing early overage is counterproductive</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5.4 Composite RAG Calculation</w:t>
      </w:r>
    </w:p>
    <w:p>
      <w:pPr>
        <w:spacing w:before="60" w:after="60"/>
      </w:pPr>
      <w:r>
        <w:rPr>
          <w:rFonts w:ascii="Arial" w:cs="Arial" w:eastAsia="Arial" w:hAnsi="Arial"/>
          <w:sz w:val="20"/>
          <w:szCs w:val="20"/>
        </w:rPr>
        <w:t xml:space="preserve">The composite RAG status is a weighted average of the three dimension scores, converted to a 0-100 composite score, then mapped to RAG status using fixed thresholds. Dimension weights are determined by wizard configuration.</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60" w:after="60"/>
            </w:pPr>
            <w:r>
              <w:rPr>
                <w:rFonts w:ascii="Courier New" w:cs="Courier New" w:eastAsia="Courier New" w:hAnsi="Courier New"/>
                <w:b/>
                <w:bCs/>
                <w:color w:val="1B4F72"/>
                <w:sz w:val="20"/>
                <w:szCs w:val="20"/>
              </w:rPr>
              <w:t xml:space="preserve">Composite Score = (Schedule Score x W_s) + (Budget Score x W_b) + (Blocker Score x W_bl)</w:t>
            </w:r>
          </w:p>
          <w:p>
            <w:pPr>
              <w:spacing w:before="60" w:after="60"/>
            </w:pPr>
            <w:r>
              <w:rPr>
                <w:rFonts w:ascii="Arial" w:cs="Arial" w:eastAsia="Arial" w:hAnsi="Arial"/>
                <w:sz w:val="20"/>
                <w:szCs w:val="20"/>
              </w:rPr>
              <w:t xml:space="preserve">Default weights: W_s = 0.40, W_b = 0.35, W_bl = 0.25</w:t>
            </w:r>
          </w:p>
          <w:p>
            <w:pPr>
              <w:spacing w:before="60" w:after="60"/>
            </w:pPr>
            <w:r>
              <w:rPr>
                <w:rFonts w:ascii="Arial" w:cs="Arial" w:eastAsia="Arial" w:hAnsi="Arial"/>
                <w:sz w:val="20"/>
                <w:szCs w:val="20"/>
              </w:rPr>
              <w:t xml:space="preserve">Composite Green: score &gt;= 70  |  Composite Amber: 40 &lt;= score &lt; 70  |  Composite Red: score &lt; 40</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i/>
          <w:iCs/>
          <w:sz w:val="20"/>
          <w:szCs w:val="20"/>
        </w:rPr>
        <w:t xml:space="preserve">Design note: The composite thresholds (70/40) are deliberately asymmetric. A workstream must score well across all three dimensions to be Green; a single weak dimension can push the composite to Amber even if the other two are strong. This reflects the real-world reality that a workstream on schedule and under budget but with a 14-day unresolved external blocker is not healthy.</w:t>
      </w:r>
    </w:p>
    <w:p>
      <w:pPr>
        <w:spacing w:before="80" w:after="80"/>
      </w:pPr>
      <w:r>
        <w:rPr>
          <w:rFonts w:ascii="Arial" w:cs="Arial" w:eastAsia="Arial" w:hAnsi="Arial"/>
          <w:sz w:val="20"/>
          <w:szCs w:val="20"/>
        </w:rPr>
        <w:t xml:space="preserve"/>
      </w:r>
    </w:p>
    <w:p>
      <w:r>
        <w:br w:type="page"/>
      </w:r>
    </w:p>
    <w:p>
      <w:pPr>
        <w:pStyle w:val="Heading1"/>
        <w:spacing w:before="320" w:after="160"/>
      </w:pPr>
      <w:r>
        <w:rPr>
          <w:rFonts w:ascii="Arial" w:cs="Arial" w:eastAsia="Arial" w:hAnsi="Arial"/>
          <w:b/>
          <w:bCs/>
          <w:color w:val="1B4F72"/>
          <w:sz w:val="32"/>
          <w:szCs w:val="32"/>
        </w:rPr>
        <w:t xml:space="preserve">6. Functional Requirements</w:t>
      </w:r>
    </w:p>
    <w:p>
      <w:pPr>
        <w:pBdr>
          <w:bottom w:val="single" w:color="2E86C1" w:sz="6" w:space="1"/>
        </w:pBdr>
        <w:spacing w:before="160" w:after="1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Requirements are organised by functional area. Format: ID | Area | Priority (MoSCoW) / The system shall... / Traces to objective. All Must Have requirements define the v1 deliverable.</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FR-01</w:t>
            </w:r>
            <w:r>
              <w:rPr>
                <w:rFonts w:ascii="Arial" w:cs="Arial" w:eastAsia="Arial" w:hAnsi="Arial"/>
                <w:sz w:val="20"/>
                <w:szCs w:val="20"/>
              </w:rPr>
              <w:t xml:space="preserve"> | Authentication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system shall allow users to register an account using an email address and password via Supabase Auth. Registration shall trigger an email verification step before the account is activated.</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OBJ-04</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FR-02</w:t>
            </w:r>
            <w:r>
              <w:rPr>
                <w:rFonts w:ascii="Arial" w:cs="Arial" w:eastAsia="Arial" w:hAnsi="Arial"/>
                <w:sz w:val="20"/>
                <w:szCs w:val="20"/>
              </w:rPr>
              <w:t xml:space="preserve"> | Authentication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system shall allow registered users to log in and log out securely. Sessions shall expire after a defined inactivity period. Credentials shall never be stored in application code or version control.</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OBJ-04</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FR-03</w:t>
            </w:r>
            <w:r>
              <w:rPr>
                <w:rFonts w:ascii="Arial" w:cs="Arial" w:eastAsia="Arial" w:hAnsi="Arial"/>
                <w:sz w:val="20"/>
                <w:szCs w:val="20"/>
              </w:rPr>
              <w:t xml:space="preserve"> | Authentication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system shall support account creation via an invite link. A user who clicks an invite link and does not have an account shall be directed to a registration page. Upon registration, they shall be automatically added to the Workstream that generated the invite link as a Viewer.</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OBJ-02, OBJ-04</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6.2 Workstream Setup &amp; Context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FR-04</w:t>
            </w:r>
            <w:r>
              <w:rPr>
                <w:rFonts w:ascii="Arial" w:cs="Arial" w:eastAsia="Arial" w:hAnsi="Arial"/>
                <w:sz w:val="20"/>
                <w:szCs w:val="20"/>
              </w:rPr>
              <w:t xml:space="preserve"> | Workstream Setup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system shall allow an authenticated user to create a new Workstream by providing: name, description, start date, target end date, and planned budget (optional). The user creating the Workstream is automatically assigned the Owner role.</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FR-05</w:t>
            </w:r>
            <w:r>
              <w:rPr>
                <w:rFonts w:ascii="Arial" w:cs="Arial" w:eastAsia="Arial" w:hAnsi="Arial"/>
                <w:sz w:val="20"/>
                <w:szCs w:val="20"/>
              </w:rPr>
              <w:t xml:space="preserve"> | Workstream Setup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Upon Workstream creation, the system shall present the Owner with the 9-question context wizard. All 9 questions are required before the Workstream is saved. Wizard answers shall be stored in the database and associated with the Workstream for the lifetime of the scoring calculations.</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
              <w:left w:val="single" w:color="E59866" w:sz="1"/>
              <w:bottom w:val="single" w:color="E59866" w:sz="1"/>
              <w:right w:val="single" w:color="E59866" w:sz="1"/>
            </w:tcBorders>
            <w:shd w:fill="FFFBF0" w:val="clear"/>
            <w:tcMar>
              <w:top w:type="dxa" w:w="80"/>
              <w:left w:type="dxa" w:w="160"/>
              <w:bottom w:type="dxa" w:w="80"/>
              <w:right w:type="dxa" w:w="160"/>
            </w:tcMar>
          </w:tcPr>
          <w:p>
            <w:pPr>
              <w:spacing w:before="40" w:after="60"/>
            </w:pPr>
            <w:r>
              <w:rPr>
                <w:rFonts w:ascii="Arial" w:cs="Arial" w:eastAsia="Arial" w:hAnsi="Arial"/>
                <w:b/>
                <w:bCs/>
                <w:sz w:val="20"/>
                <w:szCs w:val="20"/>
              </w:rPr>
              <w:t xml:space="preserve">FR-06</w:t>
            </w:r>
            <w:r>
              <w:rPr>
                <w:rFonts w:ascii="Arial" w:cs="Arial" w:eastAsia="Arial" w:hAnsi="Arial"/>
                <w:sz w:val="20"/>
                <w:szCs w:val="20"/>
              </w:rPr>
              <w:t xml:space="preserve"> | Workstream Setup | </w:t>
            </w:r>
            <w:r>
              <w:rPr>
                <w:rFonts w:ascii="Arial" w:cs="Arial" w:eastAsia="Arial" w:hAnsi="Arial"/>
                <w:b/>
                <w:bCs/>
                <w:color w:val="784212"/>
                <w:sz w:val="20"/>
                <w:szCs w:val="20"/>
              </w:rPr>
              <w:t xml:space="preserve">Should Have</w:t>
            </w:r>
          </w:p>
          <w:p>
            <w:pPr>
              <w:spacing w:before="40" w:after="60"/>
            </w:pPr>
            <w:r>
              <w:rPr>
                <w:rFonts w:ascii="Arial" w:cs="Arial" w:eastAsia="Arial" w:hAnsi="Arial"/>
                <w:sz w:val="20"/>
                <w:szCs w:val="20"/>
              </w:rPr>
              <w:t xml:space="preserve">The system shall allow the Owner to re-run the context wizard for an existing Workstream. Re-running the wizard updates the stored scoring profile and triggers an immediate re-calculation of all health scores. A change log entry shall record that the wizard was re-configured, by whom, and at what timestamp.</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6.3 RAG Scoring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FR-07</w:t>
            </w:r>
            <w:r>
              <w:rPr>
                <w:rFonts w:ascii="Arial" w:cs="Arial" w:eastAsia="Arial" w:hAnsi="Arial"/>
                <w:sz w:val="20"/>
                <w:szCs w:val="20"/>
              </w:rPr>
              <w:t xml:space="preserve"> | RAG Engine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system shall calculate Schedule Health, Budget Health, and Blocker Health sub-scores automatically from Workstream data entered by users. RAG status shall never be a manually selectable field. The composite RAG status shall be recalculated every time relevant data is updated.</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FR-08</w:t>
            </w:r>
            <w:r>
              <w:rPr>
                <w:rFonts w:ascii="Arial" w:cs="Arial" w:eastAsia="Arial" w:hAnsi="Arial"/>
                <w:sz w:val="20"/>
                <w:szCs w:val="20"/>
              </w:rPr>
              <w:t xml:space="preserve"> | RAG Engine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system shall apply the wizard modifier matrix (Section 5.3) when calculating health scores, using the stored wizard configuration for each Workstream. A Workstream with a hard deadline shall use tighter schedule thresholds than one with an ongoing or self-imposed deadline.</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FR-09</w:t>
            </w:r>
            <w:r>
              <w:rPr>
                <w:rFonts w:ascii="Arial" w:cs="Arial" w:eastAsia="Arial" w:hAnsi="Arial"/>
                <w:sz w:val="20"/>
                <w:szCs w:val="20"/>
              </w:rPr>
              <w:t xml:space="preserve"> | RAG Engine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system shall calculate the composite RAG score as a weighted average of the three dimension scores, using weights derived from the wizard configuration. The composite shall map to Green (&gt;=70), Amber (40-69), or Red (&lt;40) using fixed thresholds that are not user-configurable in v1.</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FR-10</w:t>
            </w:r>
            <w:r>
              <w:rPr>
                <w:rFonts w:ascii="Arial" w:cs="Arial" w:eastAsia="Arial" w:hAnsi="Arial"/>
                <w:sz w:val="20"/>
                <w:szCs w:val="20"/>
              </w:rPr>
              <w:t xml:space="preserve"> | RAG Engine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system shall flag a Workstream as Stale when no data update has been recorded within the period implied by the Q8 update frequency answer (e.g., 8 days for a weekly-cadence Workstream). A staleness flag shall appear on the portfolio card and shall not override the calculated RAG, but shall be displayed alongside it.</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OBJ-02</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6.4 Portfolio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FR-11</w:t>
            </w:r>
            <w:r>
              <w:rPr>
                <w:rFonts w:ascii="Arial" w:cs="Arial" w:eastAsia="Arial" w:hAnsi="Arial"/>
                <w:sz w:val="20"/>
                <w:szCs w:val="20"/>
              </w:rPr>
              <w:t xml:space="preserve"> | Dashboard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system shall display an authenticated user's active portfolio as a card grid. Each card shall show: Workstream name, work type badge, current phase, days until deadline, Schedule/Budget/Blocker sub-score indicators, composite RAG badge, Owner name, and staleness flag if applicable.</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OBJ-02</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FR-12</w:t>
            </w:r>
            <w:r>
              <w:rPr>
                <w:rFonts w:ascii="Arial" w:cs="Arial" w:eastAsia="Arial" w:hAnsi="Arial"/>
                <w:sz w:val="20"/>
                <w:szCs w:val="20"/>
              </w:rPr>
              <w:t xml:space="preserve"> | Dashboard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portfolio dashboard shall include Workstreams where the user is Owner and Workstreams where the user is Contributor or Viewer. The card shall visually distinguish Workstreams the user owns from those they have been invited to.</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OBJ-02, OBJ-04</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
              <w:left w:val="single" w:color="E59866" w:sz="1"/>
              <w:bottom w:val="single" w:color="E59866" w:sz="1"/>
              <w:right w:val="single" w:color="E59866" w:sz="1"/>
            </w:tcBorders>
            <w:shd w:fill="FFFBF0" w:val="clear"/>
            <w:tcMar>
              <w:top w:type="dxa" w:w="80"/>
              <w:left w:type="dxa" w:w="160"/>
              <w:bottom w:type="dxa" w:w="80"/>
              <w:right w:type="dxa" w:w="160"/>
            </w:tcMar>
          </w:tcPr>
          <w:p>
            <w:pPr>
              <w:spacing w:before="40" w:after="60"/>
            </w:pPr>
            <w:r>
              <w:rPr>
                <w:rFonts w:ascii="Arial" w:cs="Arial" w:eastAsia="Arial" w:hAnsi="Arial"/>
                <w:b/>
                <w:bCs/>
                <w:sz w:val="20"/>
                <w:szCs w:val="20"/>
              </w:rPr>
              <w:t xml:space="preserve">FR-13</w:t>
            </w:r>
            <w:r>
              <w:rPr>
                <w:rFonts w:ascii="Arial" w:cs="Arial" w:eastAsia="Arial" w:hAnsi="Arial"/>
                <w:sz w:val="20"/>
                <w:szCs w:val="20"/>
              </w:rPr>
              <w:t xml:space="preserve"> | Dashboard | </w:t>
            </w:r>
            <w:r>
              <w:rPr>
                <w:rFonts w:ascii="Arial" w:cs="Arial" w:eastAsia="Arial" w:hAnsi="Arial"/>
                <w:b/>
                <w:bCs/>
                <w:color w:val="784212"/>
                <w:sz w:val="20"/>
                <w:szCs w:val="20"/>
              </w:rPr>
              <w:t xml:space="preserve">Should Have</w:t>
            </w:r>
          </w:p>
          <w:p>
            <w:pPr>
              <w:spacing w:before="40" w:after="60"/>
            </w:pPr>
            <w:r>
              <w:rPr>
                <w:rFonts w:ascii="Arial" w:cs="Arial" w:eastAsia="Arial" w:hAnsi="Arial"/>
                <w:sz w:val="20"/>
                <w:szCs w:val="20"/>
              </w:rPr>
              <w:t xml:space="preserve">The portfolio dashboard shall support filtering by RAG status (Green / Amber / Red), work type, and phase. Filters shall be applied without page reload and shall persist for the session.</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
              <w:left w:val="single" w:color="E59866" w:sz="1"/>
              <w:bottom w:val="single" w:color="E59866" w:sz="1"/>
              <w:right w:val="single" w:color="E59866" w:sz="1"/>
            </w:tcBorders>
            <w:shd w:fill="FFFBF0" w:val="clear"/>
            <w:tcMar>
              <w:top w:type="dxa" w:w="80"/>
              <w:left w:type="dxa" w:w="160"/>
              <w:bottom w:type="dxa" w:w="80"/>
              <w:right w:type="dxa" w:w="160"/>
            </w:tcMar>
          </w:tcPr>
          <w:p>
            <w:pPr>
              <w:spacing w:before="40" w:after="60"/>
            </w:pPr>
            <w:r>
              <w:rPr>
                <w:rFonts w:ascii="Arial" w:cs="Arial" w:eastAsia="Arial" w:hAnsi="Arial"/>
                <w:b/>
                <w:bCs/>
                <w:sz w:val="20"/>
                <w:szCs w:val="20"/>
              </w:rPr>
              <w:t xml:space="preserve">FR-14</w:t>
            </w:r>
            <w:r>
              <w:rPr>
                <w:rFonts w:ascii="Arial" w:cs="Arial" w:eastAsia="Arial" w:hAnsi="Arial"/>
                <w:sz w:val="20"/>
                <w:szCs w:val="20"/>
              </w:rPr>
              <w:t xml:space="preserve"> | Dashboard | </w:t>
            </w:r>
            <w:r>
              <w:rPr>
                <w:rFonts w:ascii="Arial" w:cs="Arial" w:eastAsia="Arial" w:hAnsi="Arial"/>
                <w:b/>
                <w:bCs/>
                <w:color w:val="784212"/>
                <w:sz w:val="20"/>
                <w:szCs w:val="20"/>
              </w:rPr>
              <w:t xml:space="preserve">Should Have</w:t>
            </w:r>
          </w:p>
          <w:p>
            <w:pPr>
              <w:spacing w:before="40" w:after="60"/>
            </w:pPr>
            <w:r>
              <w:rPr>
                <w:rFonts w:ascii="Arial" w:cs="Arial" w:eastAsia="Arial" w:hAnsi="Arial"/>
                <w:sz w:val="20"/>
                <w:szCs w:val="20"/>
              </w:rPr>
              <w:t xml:space="preserve">The portfolio dashboard shall include a summary strip above the card grid showing: total active Workstreams, count by RAG status, and count of stale Workstreams. This provides an at-a-glance portfolio health signal before the user reads individual cards.</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OBJ-02</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6.5 Workstream Detail —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FR-15</w:t>
            </w:r>
            <w:r>
              <w:rPr>
                <w:rFonts w:ascii="Arial" w:cs="Arial" w:eastAsia="Arial" w:hAnsi="Arial"/>
                <w:sz w:val="20"/>
                <w:szCs w:val="20"/>
              </w:rPr>
              <w:t xml:space="preserve"> | Overview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Overview tab shall display: Workstream name, description, Owner, all team members and their roles, wizard configuration summary (answers to all 9 questions), current composite RAG badge, all three dimension sub-scores with their contributing data, and days to deadline.</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OBJ-02</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FR-16</w:t>
            </w:r>
            <w:r>
              <w:rPr>
                <w:rFonts w:ascii="Arial" w:cs="Arial" w:eastAsia="Arial" w:hAnsi="Arial"/>
                <w:sz w:val="20"/>
                <w:szCs w:val="20"/>
              </w:rPr>
              <w:t xml:space="preserve"> | Overview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Overview tab shall include a workstream-level comment thread. Owners and Contributors may post comments. Viewers may read but not post. Comments shall display author name and timestamp.</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OBJ-02</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6.6 Workstream Detail — Milestones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FR-17</w:t>
            </w:r>
            <w:r>
              <w:rPr>
                <w:rFonts w:ascii="Arial" w:cs="Arial" w:eastAsia="Arial" w:hAnsi="Arial"/>
                <w:sz w:val="20"/>
                <w:szCs w:val="20"/>
              </w:rPr>
              <w:t xml:space="preserve"> | Milestones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Milestones tab shall allow Owners and Contributors to create, update, and delete milestones. Each milestone shall have: name, due date, and status (Not Started, In Progress, Complete). Milestone completion percentage shall feed directly into the Schedule Health calculation.</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FR-18</w:t>
            </w:r>
            <w:r>
              <w:rPr>
                <w:rFonts w:ascii="Arial" w:cs="Arial" w:eastAsia="Arial" w:hAnsi="Arial"/>
                <w:sz w:val="20"/>
                <w:szCs w:val="20"/>
              </w:rPr>
              <w:t xml:space="preserve"> | Milestones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Each milestone shall support a contextual comment thread and a pinned note field. The comment thread is for live discussion about that milestone. The pinned note is a persistent annotation (e.g., 'Due date agreed verbally with client on 14 Feb') that persists independently of the comment thread.</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OBJ-02</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FR-19</w:t>
            </w:r>
            <w:r>
              <w:rPr>
                <w:rFonts w:ascii="Arial" w:cs="Arial" w:eastAsia="Arial" w:hAnsi="Arial"/>
                <w:sz w:val="20"/>
                <w:szCs w:val="20"/>
              </w:rPr>
              <w:t xml:space="preserve"> | Milestones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system shall visually flag milestones that are past their due date and not marked Complete. In Review/Closing phase, any such milestone shall contribute to an Amber or Red schedule signal per the wizard modifier matrix.</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6.7 Workstream Detail — Budget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FR-20</w:t>
            </w:r>
            <w:r>
              <w:rPr>
                <w:rFonts w:ascii="Arial" w:cs="Arial" w:eastAsia="Arial" w:hAnsi="Arial"/>
                <w:sz w:val="20"/>
                <w:szCs w:val="20"/>
              </w:rPr>
              <w:t xml:space="preserve"> | Budget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Budget tab shall display total planned budget, cumulative actual spend to date, budget variance (absolute and percentage), and a burn rate indicator showing whether spend is tracking ahead of or behind the expected plan-to-date. Budget Health score shall be recalculated on each spend entry.</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FR-21</w:t>
            </w:r>
            <w:r>
              <w:rPr>
                <w:rFonts w:ascii="Arial" w:cs="Arial" w:eastAsia="Arial" w:hAnsi="Arial"/>
                <w:sz w:val="20"/>
                <w:szCs w:val="20"/>
              </w:rPr>
              <w:t xml:space="preserve"> | Budget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Owners and Contributors shall be able to log spend entries with: amount, date, category label, and optional description. The system shall maintain a log of all spend entries rather than a single editable figure, creating an auditable spend history.</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OBJ-02, OBJ-03</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
              <w:left w:val="single" w:color="E59866" w:sz="1"/>
              <w:bottom w:val="single" w:color="E59866" w:sz="1"/>
              <w:right w:val="single" w:color="E59866" w:sz="1"/>
            </w:tcBorders>
            <w:shd w:fill="FFFBF0" w:val="clear"/>
            <w:tcMar>
              <w:top w:type="dxa" w:w="80"/>
              <w:left w:type="dxa" w:w="160"/>
              <w:bottom w:type="dxa" w:w="80"/>
              <w:right w:type="dxa" w:w="160"/>
            </w:tcMar>
          </w:tcPr>
          <w:p>
            <w:pPr>
              <w:spacing w:before="40" w:after="60"/>
            </w:pPr>
            <w:r>
              <w:rPr>
                <w:rFonts w:ascii="Arial" w:cs="Arial" w:eastAsia="Arial" w:hAnsi="Arial"/>
                <w:b/>
                <w:bCs/>
                <w:sz w:val="20"/>
                <w:szCs w:val="20"/>
              </w:rPr>
              <w:t xml:space="preserve">FR-22</w:t>
            </w:r>
            <w:r>
              <w:rPr>
                <w:rFonts w:ascii="Arial" w:cs="Arial" w:eastAsia="Arial" w:hAnsi="Arial"/>
                <w:sz w:val="20"/>
                <w:szCs w:val="20"/>
              </w:rPr>
              <w:t xml:space="preserve"> | Budget Tab | </w:t>
            </w:r>
            <w:r>
              <w:rPr>
                <w:rFonts w:ascii="Arial" w:cs="Arial" w:eastAsia="Arial" w:hAnsi="Arial"/>
                <w:b/>
                <w:bCs/>
                <w:color w:val="784212"/>
                <w:sz w:val="20"/>
                <w:szCs w:val="20"/>
              </w:rPr>
              <w:t xml:space="preserve">Should Have</w:t>
            </w:r>
          </w:p>
          <w:p>
            <w:pPr>
              <w:spacing w:before="40" w:after="60"/>
            </w:pPr>
            <w:r>
              <w:rPr>
                <w:rFonts w:ascii="Arial" w:cs="Arial" w:eastAsia="Arial" w:hAnsi="Arial"/>
                <w:sz w:val="20"/>
                <w:szCs w:val="20"/>
              </w:rPr>
              <w:t xml:space="preserve">If Q4 (budget exposure) was set to 'Informal/no formal budget' in the wizard, the Budget tab shall display a clear indicator that budget health is not formally tracked for this Workstream, and the Budget dimension shall be shown as suppressed in the scoring breakdown.</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6.8 Workstream Detail — Blockers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FR-23</w:t>
            </w:r>
            <w:r>
              <w:rPr>
                <w:rFonts w:ascii="Arial" w:cs="Arial" w:eastAsia="Arial" w:hAnsi="Arial"/>
                <w:sz w:val="20"/>
                <w:szCs w:val="20"/>
              </w:rPr>
              <w:t xml:space="preserve"> | Blockers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Blockers tab shall allow Owners and Contributors to log blockers with: description, date raised, status (Open / Resolved), and an optional resolution note. The system shall track age of each open blocker from the date raised. Blocker Health shall be recalculated on each status change.</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FR-24</w:t>
            </w:r>
            <w:r>
              <w:rPr>
                <w:rFonts w:ascii="Arial" w:cs="Arial" w:eastAsia="Arial" w:hAnsi="Arial"/>
                <w:sz w:val="20"/>
                <w:szCs w:val="20"/>
              </w:rPr>
              <w:t xml:space="preserve"> | Blockers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Each blocker shall support a contextual comment thread for resolution tracking and a pinned note. The comment thread is the expected place for 'chasing' communication — updates on who was contacted, what the latest response was, and what the next action is.</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OBJ-02</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FR-25</w:t>
            </w:r>
            <w:r>
              <w:rPr>
                <w:rFonts w:ascii="Arial" w:cs="Arial" w:eastAsia="Arial" w:hAnsi="Arial"/>
                <w:sz w:val="20"/>
                <w:szCs w:val="20"/>
              </w:rPr>
              <w:t xml:space="preserve"> | Blockers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system shall visually indicate the age of each open blocker on the Blockers tab, using colour coding consistent with the Blocker Health thresholds (green &lt; 3 days, amber 3-7 days, red &gt; 7 days) modified by the Q5 and Q6 wizard answers.</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6.9 Workstream Detail — Updates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FR-26</w:t>
            </w:r>
            <w:r>
              <w:rPr>
                <w:rFonts w:ascii="Arial" w:cs="Arial" w:eastAsia="Arial" w:hAnsi="Arial"/>
                <w:sz w:val="20"/>
                <w:szCs w:val="20"/>
              </w:rPr>
              <w:t xml:space="preserve"> | Updates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Updates tab shall allow structured posts with a required type tag. Post types available to Owners: Status Update, Decision Made, Risk Raised, Milestone Reached, General Announcement. Post types available to Contributors: Decision Made, Risk Raised, Milestone Reached, General Announcement. Status Update posts are restricted to Owners only to maintain authority of the official status narrative.</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OBJ-02</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FR-27</w:t>
            </w:r>
            <w:r>
              <w:rPr>
                <w:rFonts w:ascii="Arial" w:cs="Arial" w:eastAsia="Arial" w:hAnsi="Arial"/>
                <w:sz w:val="20"/>
                <w:szCs w:val="20"/>
              </w:rPr>
              <w:t xml:space="preserve"> | Updates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Each post on the Updates tab shall display: post type badge, title, body, author name, and timestamp. Posts shall be displayed in reverse chronological order. Posts cannot be deleted — they may be edited by the author within 15 minutes of posting, after which they are locked.</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OBJ-02</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FR-28</w:t>
            </w:r>
            <w:r>
              <w:rPr>
                <w:rFonts w:ascii="Arial" w:cs="Arial" w:eastAsia="Arial" w:hAnsi="Arial"/>
                <w:sz w:val="20"/>
                <w:szCs w:val="20"/>
              </w:rPr>
              <w:t xml:space="preserve"> | Updates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Updates tab shall be readable by Viewers. Viewers may not post to the Updates tab. This is consistent with the Viewer read-only model and ensures the Updates tab serves as a reliable, curated record of significant workstream events.</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OBJ-02, OBJ-04</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6.10 Workstream Detail — Team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FR-29</w:t>
            </w:r>
            <w:r>
              <w:rPr>
                <w:rFonts w:ascii="Arial" w:cs="Arial" w:eastAsia="Arial" w:hAnsi="Arial"/>
                <w:sz w:val="20"/>
                <w:szCs w:val="20"/>
              </w:rPr>
              <w:t xml:space="preserve"> | Team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Team tab shall display all members of the Workstream with their assigned role (Owner, Contributor, Viewer) and the date they joined. The Owner shall be able to change any member's role between Contributor and Viewer. The Owner role cannot be transferred in v1.</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OBJ-04</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FR-30</w:t>
            </w:r>
            <w:r>
              <w:rPr>
                <w:rFonts w:ascii="Arial" w:cs="Arial" w:eastAsia="Arial" w:hAnsi="Arial"/>
                <w:sz w:val="20"/>
                <w:szCs w:val="20"/>
              </w:rPr>
              <w:t xml:space="preserve"> | Team Tab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Team tab shall allow the Owner to generate a shareable invite link for the Workstream. The link shall be copyable from the Team tab. Any user who accesses the link and registers or logs in shall be added to the Workstream as a Viewer. The Owner shall see newly joined Viewers on the Team tab and may promote them to Contributor.</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OBJ-04</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
              <w:left w:val="single" w:color="E59866" w:sz="1"/>
              <w:bottom w:val="single" w:color="E59866" w:sz="1"/>
              <w:right w:val="single" w:color="E59866" w:sz="1"/>
            </w:tcBorders>
            <w:shd w:fill="FFFBF0" w:val="clear"/>
            <w:tcMar>
              <w:top w:type="dxa" w:w="80"/>
              <w:left w:type="dxa" w:w="160"/>
              <w:bottom w:type="dxa" w:w="80"/>
              <w:right w:type="dxa" w:w="160"/>
            </w:tcMar>
          </w:tcPr>
          <w:p>
            <w:pPr>
              <w:spacing w:before="40" w:after="60"/>
            </w:pPr>
            <w:r>
              <w:rPr>
                <w:rFonts w:ascii="Arial" w:cs="Arial" w:eastAsia="Arial" w:hAnsi="Arial"/>
                <w:b/>
                <w:bCs/>
                <w:sz w:val="20"/>
                <w:szCs w:val="20"/>
              </w:rPr>
              <w:t xml:space="preserve">FR-31</w:t>
            </w:r>
            <w:r>
              <w:rPr>
                <w:rFonts w:ascii="Arial" w:cs="Arial" w:eastAsia="Arial" w:hAnsi="Arial"/>
                <w:sz w:val="20"/>
                <w:szCs w:val="20"/>
              </w:rPr>
              <w:t xml:space="preserve"> | Team Tab | </w:t>
            </w:r>
            <w:r>
              <w:rPr>
                <w:rFonts w:ascii="Arial" w:cs="Arial" w:eastAsia="Arial" w:hAnsi="Arial"/>
                <w:b/>
                <w:bCs/>
                <w:color w:val="784212"/>
                <w:sz w:val="20"/>
                <w:szCs w:val="20"/>
              </w:rPr>
              <w:t xml:space="preserve">Should Have</w:t>
            </w:r>
          </w:p>
          <w:p>
            <w:pPr>
              <w:spacing w:before="40" w:after="60"/>
            </w:pPr>
            <w:r>
              <w:rPr>
                <w:rFonts w:ascii="Arial" w:cs="Arial" w:eastAsia="Arial" w:hAnsi="Arial"/>
                <w:sz w:val="20"/>
                <w:szCs w:val="20"/>
              </w:rPr>
              <w:t xml:space="preserve">The Owner shall be able to remove a member from the Workstream from the Team tab. Removing a member revokes their access to the Workstream. Their historical comments, notes, and Updates posts shall be retained and attributed to their name, but marked as 'Former member'.</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OBJ-04</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6.11 Workstream Archiving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FR-32</w:t>
            </w:r>
            <w:r>
              <w:rPr>
                <w:rFonts w:ascii="Arial" w:cs="Arial" w:eastAsia="Arial" w:hAnsi="Arial"/>
                <w:sz w:val="20"/>
                <w:szCs w:val="20"/>
              </w:rPr>
              <w:t xml:space="preserve"> | Archiving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Owner shall be able to archive a Workstream. Archived Workstreams are removed from the active portfolio card grid and placed in an Archive view accessible from the main navigation. All data, history, comments, and Updates posts are preserved in full.</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OBJ-02</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6.12 Portfolio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FR-33</w:t>
            </w:r>
            <w:r>
              <w:rPr>
                <w:rFonts w:ascii="Arial" w:cs="Arial" w:eastAsia="Arial" w:hAnsi="Arial"/>
                <w:sz w:val="20"/>
                <w:szCs w:val="20"/>
              </w:rPr>
              <w:t xml:space="preserve"> | Documentation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project shall include a BABOK-aligned FRD (this document) documenting the problem statement, objectives, stakeholders, scope, RAG scoring engine design, functional requirements, non-functional requirements, and constraints and assumptions.</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OBJ-05</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FR-34</w:t>
            </w:r>
            <w:r>
              <w:rPr>
                <w:rFonts w:ascii="Arial" w:cs="Arial" w:eastAsia="Arial" w:hAnsi="Arial"/>
                <w:sz w:val="20"/>
                <w:szCs w:val="20"/>
              </w:rPr>
              <w:t xml:space="preserve"> | Documentation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project shall include a UML class diagram documenting the data model: all entities, attributes, data types, and relationships including the workstream_members junction table and the wizard_config entity.</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OBJ-05</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FR-35</w:t>
            </w:r>
            <w:r>
              <w:rPr>
                <w:rFonts w:ascii="Arial" w:cs="Arial" w:eastAsia="Arial" w:hAnsi="Arial"/>
                <w:sz w:val="20"/>
                <w:szCs w:val="20"/>
              </w:rPr>
              <w:t xml:space="preserve"> | Documentation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project shall include a BPMN process diagram illustrating the Workstream lifecycle: creation and wizard configuration, active management and scoring, collaboration and updates, and archiving. The BPMN shall include the invite and role promotion flow as a sub-process.</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OBJ-05</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6.13 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000"/>
        <w:gridCol w:w="4600"/>
        <w:gridCol w:w="1800"/>
      </w:tblGrid>
      <w:tr>
        <w:tc>
          <w:tcPr>
            <w:tcW w:type="dxa" w:w="9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20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Area</w:t>
            </w:r>
          </w:p>
        </w:tc>
        <w:tc>
          <w:tcPr>
            <w:tcW w:type="dxa" w:w="46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 Summary</w:t>
            </w:r>
          </w:p>
        </w:tc>
        <w:tc>
          <w:tcPr>
            <w:tcW w:type="dxa" w:w="18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FR-01</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Authentication</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Email/password registration + verification</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FR-02</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Authentication</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Login, logout, session management</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FR-03</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Authentication</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Invite-link account creation -&gt; Viewer role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FR-04</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Workstream Setup</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Create Workstream with core fields</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FR-05</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Workstream Setup</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9-question wizard — required at creation</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FR-06</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Workstream Setup</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Re-run wizard with change log</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Should</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FR-07</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RAG Engine</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Auto-calculate all three health dimensions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FR-08</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RAG Engine</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Apply wizard modifier matrix to thresholds</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FR-09</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RAG Engine</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Composite RAG from weighted dimension scores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FR-10</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RAG Engine</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Staleness flag when data update cadence exceeded</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FR-11</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Dashboard</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Card grid with RAG badge + sub-scores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FR-12</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Dashboard</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Show own + invited Workstreams, visually distinct</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FR-13</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Dashboard</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Filter by RAG status, type, phase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Should</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FR-14</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Dashboard</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Summary strip: totals by RAG + stale count</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Should</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FR-15</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Overview Tab</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Wizard summary + composite scores + team</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FR-16</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Overview Tab</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Workstream-level comment thread</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FR-17</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Milestones Tab</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CRUD milestones feeding Schedule Health</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FR-18</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Milestones Tab</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Per-milestone comment thread + pinned note</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FR-19</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Milestones Tab</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Visual flag for overdue incomplete milestones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FR-20</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 Tab</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Planned vs actual, variance, burn rate display</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FR-21</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 Tab</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Spend entry log with full history</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FR-22</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Budget Tab</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Suppressed dimension display for no-budget work</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Should</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FR-23</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Blockers Tab</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Blocker log with age tracking + Blocker Health</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FR-24</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Blockers Tab</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Per-blocker comment thread + pinned note</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FR-25</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Blockers Tab</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Age colour coding per wizard-adjusted thresholds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FR-26</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Updates Tab</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Structured posts by type; Owner-only Status Update</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FR-27</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Updates Tab</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Post display with badge, author, timestamp; locked after 15min</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FR-28</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Updates Tab</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Viewers can read Updates, not post</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FR-29</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Team Tab</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Member list with roles; Owner can change roles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FR-30</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Team Tab</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Invite link generation; new users join as Viewer</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FR-31</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Team Tab</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Remove member; retain historical contributions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Should</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FR-32</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Archiving</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Archive Workstream; preserve full history</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FR-33</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Artifacts</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BABOK-aligned FRD</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FR-34</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Artifacts</w:t>
            </w:r>
          </w:p>
        </w:tc>
        <w:tc>
          <w:tcPr>
            <w:tcW w:type="dxa" w:w="4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UML class diagram — data model</w:t>
            </w:r>
          </w:p>
        </w:tc>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r>
        <w:tc>
          <w:tcPr>
            <w:tcW w:type="dxa" w:w="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FR-35</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Artifacts</w:t>
            </w:r>
          </w:p>
        </w:tc>
        <w:tc>
          <w:tcPr>
            <w:tcW w:type="dxa" w:w="4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BPMN — Workstream lifecycle + invite sub-process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Must</w:t>
            </w:r>
          </w:p>
        </w:tc>
      </w:tr>
    </w:tbl>
    <w:p>
      <w:pPr>
        <w:spacing w:before="80" w:after="80"/>
      </w:pPr>
      <w:r>
        <w:rPr>
          <w:rFonts w:ascii="Arial" w:cs="Arial" w:eastAsia="Arial" w:hAnsi="Arial"/>
          <w:sz w:val="20"/>
          <w:szCs w:val="20"/>
        </w:rPr>
        <w:t xml:space="preserve"/>
      </w:r>
    </w:p>
    <w:p>
      <w:r>
        <w:br w:type="page"/>
      </w:r>
    </w:p>
    <w:p>
      <w:pPr>
        <w:pStyle w:val="Heading1"/>
        <w:spacing w:before="320" w:after="160"/>
      </w:pPr>
      <w:r>
        <w:rPr>
          <w:rFonts w:ascii="Arial" w:cs="Arial" w:eastAsia="Arial" w:hAnsi="Arial"/>
          <w:b/>
          <w:bCs/>
          <w:color w:val="1B4F72"/>
          <w:sz w:val="32"/>
          <w:szCs w:val="32"/>
        </w:rPr>
        <w:t xml:space="preserve">7. Non-Functional Requirements</w:t>
      </w:r>
    </w:p>
    <w:p>
      <w:pPr>
        <w:pBdr>
          <w:bottom w:val="single" w:color="2E86C1" w:sz="6" w:space="1"/>
        </w:pBdr>
        <w:spacing w:before="160" w:after="16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7.1 Scoring Integrity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NFR-01a</w:t>
            </w:r>
            <w:r>
              <w:rPr>
                <w:rFonts w:ascii="Arial" w:cs="Arial" w:eastAsia="Arial" w:hAnsi="Arial"/>
                <w:sz w:val="20"/>
                <w:szCs w:val="20"/>
              </w:rPr>
              <w:t xml:space="preserve"> | Scoring Integrity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RAG composite score and all three dimension sub-scores shall be recalculated from source data on every relevant data change. Scores shall never be cached in a way that could become stale relative to the underlying data.</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NFR-01b</w:t>
            </w:r>
            <w:r>
              <w:rPr>
                <w:rFonts w:ascii="Arial" w:cs="Arial" w:eastAsia="Arial" w:hAnsi="Arial"/>
                <w:sz w:val="20"/>
                <w:szCs w:val="20"/>
              </w:rPr>
              <w:t xml:space="preserve"> | Scoring Integrity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wizard modifier matrix shall be applied consistently using the stored wizard configuration at the time of each score calculation. If the wizard is re-run (FR-06), all scores shall be recalculated using the new configuration immediately.</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 OBJ-03</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i/>
          <w:iCs/>
          <w:sz w:val="20"/>
          <w:szCs w:val="20"/>
        </w:rPr>
        <w:t xml:space="preserve">Rationale: The entire product promise rests on the score being trustworthy and automatic. A stale or inconsistently calculated score is worse than no score — it creates false confidence.</w:t>
      </w:r>
    </w:p>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7.2 Security —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NFR-02a</w:t>
            </w:r>
            <w:r>
              <w:rPr>
                <w:rFonts w:ascii="Arial" w:cs="Arial" w:eastAsia="Arial" w:hAnsi="Arial"/>
                <w:sz w:val="20"/>
                <w:szCs w:val="20"/>
              </w:rPr>
              <w:t xml:space="preserve"> | Security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Every data operation (read, write, delete) on a Workstream shall be authorised against the user's role in that Workstream via row-level security (RLS) in Supabase. A Viewer attempting a write operation shall receive an authorisation error, not a silent failure.</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OBJ-04</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NFR-02b</w:t>
            </w:r>
            <w:r>
              <w:rPr>
                <w:rFonts w:ascii="Arial" w:cs="Arial" w:eastAsia="Arial" w:hAnsi="Arial"/>
                <w:sz w:val="20"/>
                <w:szCs w:val="20"/>
              </w:rPr>
              <w:t xml:space="preserve"> | Security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Database credentials, Supabase service keys, and any API secrets shall be stored in environment variables or Streamlit Cloud secrets. No credentials shall appear in source code, documentation, or version control.</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OBJ-04, OBJ-05</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NFR-02c</w:t>
            </w:r>
            <w:r>
              <w:rPr>
                <w:rFonts w:ascii="Arial" w:cs="Arial" w:eastAsia="Arial" w:hAnsi="Arial"/>
                <w:sz w:val="20"/>
                <w:szCs w:val="20"/>
              </w:rPr>
              <w:t xml:space="preserve"> | Security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A user who is removed from a Workstream (FR-31) shall immediately lose access to all Workstream data. Their session shall not retain cached data from the removed Workstream.</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OBJ-04</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7.3 Availability —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0F9FF" w:val="clear"/>
            <w:tcMar>
              <w:top w:type="dxa" w:w="80"/>
              <w:left w:type="dxa" w:w="160"/>
              <w:bottom w:type="dxa" w:w="80"/>
              <w:right w:type="dxa" w:w="160"/>
            </w:tcMar>
          </w:tcPr>
          <w:p>
            <w:pPr>
              <w:spacing w:before="40" w:after="60"/>
            </w:pPr>
            <w:r>
              <w:rPr>
                <w:rFonts w:ascii="Arial" w:cs="Arial" w:eastAsia="Arial" w:hAnsi="Arial"/>
                <w:b/>
                <w:bCs/>
                <w:sz w:val="20"/>
                <w:szCs w:val="20"/>
              </w:rPr>
              <w:t xml:space="preserve">NFR-03a</w:t>
            </w:r>
            <w:r>
              <w:rPr>
                <w:rFonts w:ascii="Arial" w:cs="Arial" w:eastAsia="Arial" w:hAnsi="Arial"/>
                <w:sz w:val="20"/>
                <w:szCs w:val="20"/>
              </w:rPr>
              <w:t xml:space="preserve"> | Availability | </w:t>
            </w:r>
            <w:r>
              <w:rPr>
                <w:rFonts w:ascii="Arial" w:cs="Arial" w:eastAsia="Arial" w:hAnsi="Arial"/>
                <w:b/>
                <w:bCs/>
                <w:color w:val="1A5276"/>
                <w:sz w:val="20"/>
                <w:szCs w:val="20"/>
              </w:rPr>
              <w:t xml:space="preserve">Must Have</w:t>
            </w:r>
          </w:p>
          <w:p>
            <w:pPr>
              <w:spacing w:before="40" w:after="60"/>
            </w:pPr>
            <w:r>
              <w:rPr>
                <w:rFonts w:ascii="Arial" w:cs="Arial" w:eastAsia="Arial" w:hAnsi="Arial"/>
                <w:sz w:val="20"/>
                <w:szCs w:val="20"/>
              </w:rPr>
              <w:t xml:space="preserve">The application shall be available to authenticated users during standard business hours (8am-6pm, Monday-Friday) with a target uptime consistent with Streamlit Community Cloud's service availability. Cold starts on the free tier are acceptable but shall not exceed 30 seconds.</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
              <w:left w:val="single" w:color="E59866" w:sz="1"/>
              <w:bottom w:val="single" w:color="E59866" w:sz="1"/>
              <w:right w:val="single" w:color="E59866" w:sz="1"/>
            </w:tcBorders>
            <w:shd w:fill="FFFBF0" w:val="clear"/>
            <w:tcMar>
              <w:top w:type="dxa" w:w="80"/>
              <w:left w:type="dxa" w:w="160"/>
              <w:bottom w:type="dxa" w:w="80"/>
              <w:right w:type="dxa" w:w="160"/>
            </w:tcMar>
          </w:tcPr>
          <w:p>
            <w:pPr>
              <w:spacing w:before="40" w:after="60"/>
            </w:pPr>
            <w:r>
              <w:rPr>
                <w:rFonts w:ascii="Arial" w:cs="Arial" w:eastAsia="Arial" w:hAnsi="Arial"/>
                <w:b/>
                <w:bCs/>
                <w:sz w:val="20"/>
                <w:szCs w:val="20"/>
              </w:rPr>
              <w:t xml:space="preserve">NFR-03b</w:t>
            </w:r>
            <w:r>
              <w:rPr>
                <w:rFonts w:ascii="Arial" w:cs="Arial" w:eastAsia="Arial" w:hAnsi="Arial"/>
                <w:sz w:val="20"/>
                <w:szCs w:val="20"/>
              </w:rPr>
              <w:t xml:space="preserve"> | Availability | </w:t>
            </w:r>
            <w:r>
              <w:rPr>
                <w:rFonts w:ascii="Arial" w:cs="Arial" w:eastAsia="Arial" w:hAnsi="Arial"/>
                <w:b/>
                <w:bCs/>
                <w:color w:val="784212"/>
                <w:sz w:val="20"/>
                <w:szCs w:val="20"/>
              </w:rPr>
              <w:t xml:space="preserve">Should Have</w:t>
            </w:r>
          </w:p>
          <w:p>
            <w:pPr>
              <w:spacing w:before="40" w:after="60"/>
            </w:pPr>
            <w:r>
              <w:rPr>
                <w:rFonts w:ascii="Arial" w:cs="Arial" w:eastAsia="Arial" w:hAnsi="Arial"/>
                <w:sz w:val="20"/>
                <w:szCs w:val="20"/>
              </w:rPr>
              <w:t xml:space="preserve">In the event of a Supabase connectivity failure, the application shall display a clear error message rather than rendering a blank or broken dashboard. The last successfully loaded data shall not be presented as current if the connection has been lost.</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OBJ-01</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7.4 Maintainability —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
              <w:left w:val="single" w:color="E59866" w:sz="1"/>
              <w:bottom w:val="single" w:color="E59866" w:sz="1"/>
              <w:right w:val="single" w:color="E59866" w:sz="1"/>
            </w:tcBorders>
            <w:shd w:fill="FFFBF0" w:val="clear"/>
            <w:tcMar>
              <w:top w:type="dxa" w:w="80"/>
              <w:left w:type="dxa" w:w="160"/>
              <w:bottom w:type="dxa" w:w="80"/>
              <w:right w:type="dxa" w:w="160"/>
            </w:tcMar>
          </w:tcPr>
          <w:p>
            <w:pPr>
              <w:spacing w:before="40" w:after="60"/>
            </w:pPr>
            <w:r>
              <w:rPr>
                <w:rFonts w:ascii="Arial" w:cs="Arial" w:eastAsia="Arial" w:hAnsi="Arial"/>
                <w:b/>
                <w:bCs/>
                <w:sz w:val="20"/>
                <w:szCs w:val="20"/>
              </w:rPr>
              <w:t xml:space="preserve">NFR-04a</w:t>
            </w:r>
            <w:r>
              <w:rPr>
                <w:rFonts w:ascii="Arial" w:cs="Arial" w:eastAsia="Arial" w:hAnsi="Arial"/>
                <w:sz w:val="20"/>
                <w:szCs w:val="20"/>
              </w:rPr>
              <w:t xml:space="preserve"> | Maintainability | </w:t>
            </w:r>
            <w:r>
              <w:rPr>
                <w:rFonts w:ascii="Arial" w:cs="Arial" w:eastAsia="Arial" w:hAnsi="Arial"/>
                <w:b/>
                <w:bCs/>
                <w:color w:val="784212"/>
                <w:sz w:val="20"/>
                <w:szCs w:val="20"/>
              </w:rPr>
              <w:t xml:space="preserve">Should Have</w:t>
            </w:r>
          </w:p>
          <w:p>
            <w:pPr>
              <w:spacing w:before="40" w:after="60"/>
            </w:pPr>
            <w:r>
              <w:rPr>
                <w:rFonts w:ascii="Arial" w:cs="Arial" w:eastAsia="Arial" w:hAnsi="Arial"/>
                <w:sz w:val="20"/>
                <w:szCs w:val="20"/>
              </w:rPr>
              <w:t xml:space="preserve">The application code shall be structured in clearly separated modules: scoring engine, database layer, UI components, and authentication. The scoring engine module shall be independently testable with known inputs and expected outputs.</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OBJ-05</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
              <w:left w:val="single" w:color="E59866" w:sz="1"/>
              <w:bottom w:val="single" w:color="E59866" w:sz="1"/>
              <w:right w:val="single" w:color="E59866" w:sz="1"/>
            </w:tcBorders>
            <w:shd w:fill="FFFBF0" w:val="clear"/>
            <w:tcMar>
              <w:top w:type="dxa" w:w="80"/>
              <w:left w:type="dxa" w:w="160"/>
              <w:bottom w:type="dxa" w:w="80"/>
              <w:right w:type="dxa" w:w="160"/>
            </w:tcMar>
          </w:tcPr>
          <w:p>
            <w:pPr>
              <w:spacing w:before="40" w:after="60"/>
            </w:pPr>
            <w:r>
              <w:rPr>
                <w:rFonts w:ascii="Arial" w:cs="Arial" w:eastAsia="Arial" w:hAnsi="Arial"/>
                <w:b/>
                <w:bCs/>
                <w:sz w:val="20"/>
                <w:szCs w:val="20"/>
              </w:rPr>
              <w:t xml:space="preserve">NFR-04b</w:t>
            </w:r>
            <w:r>
              <w:rPr>
                <w:rFonts w:ascii="Arial" w:cs="Arial" w:eastAsia="Arial" w:hAnsi="Arial"/>
                <w:sz w:val="20"/>
                <w:szCs w:val="20"/>
              </w:rPr>
              <w:t xml:space="preserve"> | Maintainability | </w:t>
            </w:r>
            <w:r>
              <w:rPr>
                <w:rFonts w:ascii="Arial" w:cs="Arial" w:eastAsia="Arial" w:hAnsi="Arial"/>
                <w:b/>
                <w:bCs/>
                <w:color w:val="784212"/>
                <w:sz w:val="20"/>
                <w:szCs w:val="20"/>
              </w:rPr>
              <w:t xml:space="preserve">Should Have</w:t>
            </w:r>
          </w:p>
          <w:p>
            <w:pPr>
              <w:spacing w:before="40" w:after="60"/>
            </w:pPr>
            <w:r>
              <w:rPr>
                <w:rFonts w:ascii="Arial" w:cs="Arial" w:eastAsia="Arial" w:hAnsi="Arial"/>
                <w:sz w:val="20"/>
                <w:szCs w:val="20"/>
              </w:rPr>
              <w:t xml:space="preserve">All scoring thresholds, wizard modifier values, and weight defaults shall be defined in a configuration file or constants module — not hardcoded inline. This enables threshold tuning without refactoring application logic.</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OBJ-05</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866" w:sz="1"/>
              <w:left w:val="single" w:color="E59866" w:sz="1"/>
              <w:bottom w:val="single" w:color="E59866" w:sz="1"/>
              <w:right w:val="single" w:color="E59866" w:sz="1"/>
            </w:tcBorders>
            <w:shd w:fill="FFFBF0" w:val="clear"/>
            <w:tcMar>
              <w:top w:type="dxa" w:w="80"/>
              <w:left w:type="dxa" w:w="160"/>
              <w:bottom w:type="dxa" w:w="80"/>
              <w:right w:type="dxa" w:w="160"/>
            </w:tcMar>
          </w:tcPr>
          <w:p>
            <w:pPr>
              <w:spacing w:before="40" w:after="60"/>
            </w:pPr>
            <w:r>
              <w:rPr>
                <w:rFonts w:ascii="Arial" w:cs="Arial" w:eastAsia="Arial" w:hAnsi="Arial"/>
                <w:b/>
                <w:bCs/>
                <w:sz w:val="20"/>
                <w:szCs w:val="20"/>
              </w:rPr>
              <w:t xml:space="preserve">NFR-04c</w:t>
            </w:r>
            <w:r>
              <w:rPr>
                <w:rFonts w:ascii="Arial" w:cs="Arial" w:eastAsia="Arial" w:hAnsi="Arial"/>
                <w:sz w:val="20"/>
                <w:szCs w:val="20"/>
              </w:rPr>
              <w:t xml:space="preserve"> | Maintainability | </w:t>
            </w:r>
            <w:r>
              <w:rPr>
                <w:rFonts w:ascii="Arial" w:cs="Arial" w:eastAsia="Arial" w:hAnsi="Arial"/>
                <w:b/>
                <w:bCs/>
                <w:color w:val="784212"/>
                <w:sz w:val="20"/>
                <w:szCs w:val="20"/>
              </w:rPr>
              <w:t xml:space="preserve">Should Have</w:t>
            </w:r>
          </w:p>
          <w:p>
            <w:pPr>
              <w:spacing w:before="40" w:after="60"/>
            </w:pPr>
            <w:r>
              <w:rPr>
                <w:rFonts w:ascii="Arial" w:cs="Arial" w:eastAsia="Arial" w:hAnsi="Arial"/>
                <w:sz w:val="20"/>
                <w:szCs w:val="20"/>
              </w:rPr>
              <w:t xml:space="preserve">The project README shall be sufficient for a technically proficient person to set up the local environment, configure Supabase, run the application, and deploy to Streamlit Cloud without verbal instruction.</w:t>
            </w:r>
          </w:p>
          <w:p>
            <w:pPr>
              <w:spacing w:before="20" w:after="40"/>
            </w:pPr>
            <w:r>
              <w:rPr>
                <w:rFonts w:ascii="Arial" w:cs="Arial" w:eastAsia="Arial" w:hAnsi="Arial"/>
                <w:b/>
                <w:bCs/>
                <w:sz w:val="20"/>
                <w:szCs w:val="20"/>
              </w:rPr>
              <w:t xml:space="preserve">Traces to: </w:t>
            </w:r>
            <w:r>
              <w:rPr>
                <w:rFonts w:ascii="Arial" w:cs="Arial" w:eastAsia="Arial" w:hAnsi="Arial"/>
                <w:i/>
                <w:iCs/>
                <w:sz w:val="20"/>
                <w:szCs w:val="20"/>
              </w:rPr>
              <w:t xml:space="preserve">OBJ-05</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7.5 Non-Functional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60"/>
        <w:gridCol w:w="1600"/>
      </w:tblGrid>
      <w:tr>
        <w:tc>
          <w:tcPr>
            <w:tcW w:type="dxa" w:w="1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20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45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 Summary</w:t>
            </w:r>
          </w:p>
        </w:tc>
        <w:tc>
          <w:tcPr>
            <w:tcW w:type="dxa" w:w="16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NFR-01a</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Scoring Integrity</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Scores recalculated from source on every relevant change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Critical</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NFR-01b</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Scoring Integrity</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Wizard modifier applied consistently; re-run triggers recalculation</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Critical</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NFR-02a</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Security</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Row-level security on all Workstream data operations</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High</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NFR-02b</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Security</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credentials in source code or version control</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High</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NFR-02c</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Security</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Removed members lose access immediately</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High</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NFR-03a</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Availability</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Available during business hours; cold start &lt; 30 seconds</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Medium</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NFR-03b</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Availability</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Clear error state on DB connectivity failure</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Medium</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NFR-04a</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Maintainability</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Modular code structure; scoring engine independently testable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Medium</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NFR-04b</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Maintainability</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All thresholds and weights in config, not hardcoded</w:t>
            </w:r>
          </w:p>
        </w:tc>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Medium</w:t>
            </w:r>
          </w:p>
        </w:tc>
      </w:tr>
      <w:tr>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NFR-04c</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Maintainability</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README sufficient for setup and deployment without verbal guidance</w:t>
            </w:r>
          </w:p>
        </w:tc>
        <w:tc>
          <w:tcPr>
            <w:tcW w:type="dxa" w:w="1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Medium</w:t>
            </w:r>
          </w:p>
        </w:tc>
      </w:tr>
    </w:tbl>
    <w:p>
      <w:pPr>
        <w:spacing w:before="80" w:after="80"/>
      </w:pPr>
      <w:r>
        <w:rPr>
          <w:rFonts w:ascii="Arial" w:cs="Arial" w:eastAsia="Arial" w:hAnsi="Arial"/>
          <w:sz w:val="20"/>
          <w:szCs w:val="20"/>
        </w:rPr>
        <w:t xml:space="preserve"/>
      </w:r>
    </w:p>
    <w:p>
      <w:r>
        <w:br w:type="page"/>
      </w:r>
    </w:p>
    <w:p>
      <w:pPr>
        <w:pStyle w:val="Heading1"/>
        <w:spacing w:before="320" w:after="160"/>
      </w:pPr>
      <w:r>
        <w:rPr>
          <w:rFonts w:ascii="Arial" w:cs="Arial" w:eastAsia="Arial" w:hAnsi="Arial"/>
          <w:b/>
          <w:bCs/>
          <w:color w:val="1B4F72"/>
          <w:sz w:val="32"/>
          <w:szCs w:val="32"/>
        </w:rPr>
        <w:t xml:space="preserve">8. Constraints and Assumptions</w:t>
      </w:r>
    </w:p>
    <w:p>
      <w:pPr>
        <w:pBdr>
          <w:bottom w:val="single" w:color="2E86C1" w:sz="6" w:space="1"/>
        </w:pBdr>
        <w:spacing w:before="160" w:after="16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8.1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ID</w:t>
            </w:r>
          </w:p>
        </w:tc>
        <w:tc>
          <w:tcPr>
            <w:tcW w:type="dxa" w:w="81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w:t>
            </w:r>
          </w:p>
        </w:tc>
      </w:tr>
      <w:tr>
        <w:tc>
          <w:tcPr>
            <w:tcW w:type="dxa" w:w="1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CON-01</w:t>
            </w:r>
          </w:p>
        </w:tc>
        <w:tc>
          <w:tcPr>
            <w:tcW w:type="dxa" w:w="8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Authentication and database services are provided exclusively by Supabase free tier. Rate limits, storage caps, and service availability are bounded by Supabase's free tier SLA.</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CON-02</w:t>
            </w:r>
          </w:p>
        </w:tc>
        <w:tc>
          <w:tcPr>
            <w:tcW w:type="dxa" w:w="8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Deployment is to Streamlit Community Cloud free tier. Memory limits, concurrent user limits, and cold start behaviour are bounded by the free tier service level.</w:t>
            </w:r>
          </w:p>
        </w:tc>
      </w:tr>
      <w:tr>
        <w:tc>
          <w:tcPr>
            <w:tcW w:type="dxa" w:w="1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CON-03</w:t>
            </w:r>
          </w:p>
        </w:tc>
        <w:tc>
          <w:tcPr>
            <w:tcW w:type="dxa" w:w="8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RAG scoring thresholds and wizard modifier values are fixed in v1. Users cannot customise thresholds. The scoring model reflects the designer's documented business logic, not user preference.</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CON-04</w:t>
            </w:r>
          </w:p>
        </w:tc>
        <w:tc>
          <w:tcPr>
            <w:tcW w:type="dxa" w:w="8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The Owner role cannot be transferred between users in v1. There is exactly one Owner per Workstream for the lifetime of that Workstream in the current version.</w:t>
            </w:r>
          </w:p>
        </w:tc>
      </w:tr>
      <w:tr>
        <w:tc>
          <w:tcPr>
            <w:tcW w:type="dxa" w:w="1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CON-05</w:t>
            </w:r>
          </w:p>
        </w:tc>
        <w:tc>
          <w:tcPr>
            <w:tcW w:type="dxa" w:w="8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No email notifications are in scope for v1. The invite system relies on the user sharing the invite link through their own channels. Supabase Auth emails (verification, password reset) are the only system-generated emails.</w:t>
            </w:r>
          </w:p>
        </w:tc>
      </w:tr>
      <w:tr>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CON-06</w:t>
            </w:r>
          </w:p>
        </w:tc>
        <w:tc>
          <w:tcPr>
            <w:tcW w:type="dxa" w:w="8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File attachments are not supported. Meridian stores structured data only. Document links may be included in comment text but files are not uploaded or hosted.</w:t>
            </w:r>
          </w:p>
        </w:tc>
      </w:tr>
      <w:tr>
        <w:tc>
          <w:tcPr>
            <w:tcW w:type="dxa" w:w="1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CON-07</w:t>
            </w:r>
          </w:p>
        </w:tc>
        <w:tc>
          <w:tcPr>
            <w:tcW w:type="dxa" w:w="8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The application is English-language only in v1. Internationalisation is not in scope.</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8.2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4F6F7" w:val="clear"/>
            <w:tcMar>
              <w:top w:type="dxa" w:w="100"/>
              <w:left w:type="dxa" w:w="160"/>
              <w:bottom w:type="dxa" w:w="100"/>
              <w:right w:type="dxa" w:w="160"/>
            </w:tcMar>
          </w:tcPr>
          <w:p>
            <w:pPr>
              <w:spacing w:before="40" w:after="80"/>
            </w:pPr>
            <w:r>
              <w:rPr>
                <w:rFonts w:ascii="Arial" w:cs="Arial" w:eastAsia="Arial" w:hAnsi="Arial"/>
                <w:b/>
                <w:bCs/>
                <w:color w:val="1B4F72"/>
                <w:sz w:val="22"/>
                <w:szCs w:val="22"/>
              </w:rPr>
              <w:t xml:space="preserve">ASM-01 — User Device &amp; Connectivity</w:t>
            </w:r>
          </w:p>
          <w:p>
            <w:pPr>
              <w:spacing w:before="40" w:after="60"/>
            </w:pPr>
            <w:r>
              <w:rPr>
                <w:rFonts w:ascii="Arial" w:cs="Arial" w:eastAsia="Arial" w:hAnsi="Arial"/>
                <w:b/>
                <w:bCs/>
                <w:sz w:val="20"/>
                <w:szCs w:val="20"/>
              </w:rPr>
              <w:t xml:space="preserve">Assumption: </w:t>
            </w:r>
            <w:r>
              <w:rPr>
                <w:rFonts w:ascii="Arial" w:cs="Arial" w:eastAsia="Arial" w:hAnsi="Arial"/>
                <w:sz w:val="20"/>
                <w:szCs w:val="20"/>
              </w:rPr>
              <w:t xml:space="preserve">Users access Meridian via a modern desktop or laptop web browser with a stable internet connection. Mobile browser usage may work but is not optimised or tested in v1.</w:t>
            </w:r>
          </w:p>
          <w:p>
            <w:pPr>
              <w:spacing w:before="40" w:after="60"/>
            </w:pPr>
            <w:r>
              <w:rPr>
                <w:rFonts w:ascii="Arial" w:cs="Arial" w:eastAsia="Arial" w:hAnsi="Arial"/>
                <w:b/>
                <w:bCs/>
                <w:sz w:val="20"/>
                <w:szCs w:val="20"/>
              </w:rPr>
              <w:t xml:space="preserve">Risk if Wrong: </w:t>
            </w:r>
            <w:r>
              <w:rPr>
                <w:rFonts w:ascii="Arial" w:cs="Arial" w:eastAsia="Arial" w:hAnsi="Arial"/>
                <w:sz w:val="20"/>
                <w:szCs w:val="20"/>
              </w:rPr>
              <w:t xml:space="preserve">Mobile users may encounter layout issues or interaction friction on the Streamlit interface. Portfolio cards and tab layouts are designed for desktop viewport widths.</w:t>
            </w:r>
          </w:p>
          <w:p>
            <w:pPr>
              <w:spacing w:before="40" w:after="40"/>
            </w:pPr>
            <w:r>
              <w:rPr>
                <w:rFonts w:ascii="Arial" w:cs="Arial" w:eastAsia="Arial" w:hAnsi="Arial"/>
                <w:b/>
                <w:bCs/>
                <w:sz w:val="20"/>
                <w:szCs w:val="20"/>
              </w:rPr>
              <w:t xml:space="preserve">Mitigation: </w:t>
            </w:r>
            <w:r>
              <w:rPr>
                <w:rFonts w:ascii="Arial" w:cs="Arial" w:eastAsia="Arial" w:hAnsi="Arial"/>
                <w:sz w:val="20"/>
                <w:szCs w:val="20"/>
              </w:rPr>
              <w:t xml:space="preserve">Streamlit's built-in responsive behaviour provides a baseline. Mobile optimisation is noted as a Phase 2 item.</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4F6F7" w:val="clear"/>
            <w:tcMar>
              <w:top w:type="dxa" w:w="100"/>
              <w:left w:type="dxa" w:w="160"/>
              <w:bottom w:type="dxa" w:w="100"/>
              <w:right w:type="dxa" w:w="160"/>
            </w:tcMar>
          </w:tcPr>
          <w:p>
            <w:pPr>
              <w:spacing w:before="40" w:after="80"/>
            </w:pPr>
            <w:r>
              <w:rPr>
                <w:rFonts w:ascii="Arial" w:cs="Arial" w:eastAsia="Arial" w:hAnsi="Arial"/>
                <w:b/>
                <w:bCs/>
                <w:color w:val="1B4F72"/>
                <w:sz w:val="22"/>
                <w:szCs w:val="22"/>
              </w:rPr>
              <w:t xml:space="preserve">ASM-02 — Scoring Model Validity</w:t>
            </w:r>
          </w:p>
          <w:p>
            <w:pPr>
              <w:spacing w:before="40" w:after="60"/>
            </w:pPr>
            <w:r>
              <w:rPr>
                <w:rFonts w:ascii="Arial" w:cs="Arial" w:eastAsia="Arial" w:hAnsi="Arial"/>
                <w:b/>
                <w:bCs/>
                <w:sz w:val="20"/>
                <w:szCs w:val="20"/>
              </w:rPr>
              <w:t xml:space="preserve">Assumption: </w:t>
            </w:r>
            <w:r>
              <w:rPr>
                <w:rFonts w:ascii="Arial" w:cs="Arial" w:eastAsia="Arial" w:hAnsi="Arial"/>
                <w:sz w:val="20"/>
                <w:szCs w:val="20"/>
              </w:rPr>
              <w:t xml:space="preserve">The RAG scoring thresholds and wizard modifier values defined in Section 5 represent reasonable defaults for the target user population. A workstream with a hard deadline and a -15% schedule variance is meaningfully different from one with a self-imposed deadline at the same variance.</w:t>
            </w:r>
          </w:p>
          <w:p>
            <w:pPr>
              <w:spacing w:before="40" w:after="60"/>
            </w:pPr>
            <w:r>
              <w:rPr>
                <w:rFonts w:ascii="Arial" w:cs="Arial" w:eastAsia="Arial" w:hAnsi="Arial"/>
                <w:b/>
                <w:bCs/>
                <w:sz w:val="20"/>
                <w:szCs w:val="20"/>
              </w:rPr>
              <w:t xml:space="preserve">Risk if Wrong: </w:t>
            </w:r>
            <w:r>
              <w:rPr>
                <w:rFonts w:ascii="Arial" w:cs="Arial" w:eastAsia="Arial" w:hAnsi="Arial"/>
                <w:sz w:val="20"/>
                <w:szCs w:val="20"/>
              </w:rPr>
              <w:t xml:space="preserve">If the default thresholds do not reflect real-world conditions for a significant portion of users, the scoring model will produce signals that feel wrong, eroding trust in the tool's core value proposition.</w:t>
            </w:r>
          </w:p>
          <w:p>
            <w:pPr>
              <w:spacing w:before="40" w:after="40"/>
            </w:pPr>
            <w:r>
              <w:rPr>
                <w:rFonts w:ascii="Arial" w:cs="Arial" w:eastAsia="Arial" w:hAnsi="Arial"/>
                <w:b/>
                <w:bCs/>
                <w:sz w:val="20"/>
                <w:szCs w:val="20"/>
              </w:rPr>
              <w:t xml:space="preserve">Mitigation: </w:t>
            </w:r>
            <w:r>
              <w:rPr>
                <w:rFonts w:ascii="Arial" w:cs="Arial" w:eastAsia="Arial" w:hAnsi="Arial"/>
                <w:sz w:val="20"/>
                <w:szCs w:val="20"/>
              </w:rPr>
              <w:t xml:space="preserve">Section 5 documents the rationale for each threshold value. User feedback in v1 should be used to validate or adjust thresholds before v2. Custom threshold configuration is planned for Phase 2.</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4F6F7" w:val="clear"/>
            <w:tcMar>
              <w:top w:type="dxa" w:w="100"/>
              <w:left w:type="dxa" w:w="160"/>
              <w:bottom w:type="dxa" w:w="100"/>
              <w:right w:type="dxa" w:w="160"/>
            </w:tcMar>
          </w:tcPr>
          <w:p>
            <w:pPr>
              <w:spacing w:before="40" w:after="80"/>
            </w:pPr>
            <w:r>
              <w:rPr>
                <w:rFonts w:ascii="Arial" w:cs="Arial" w:eastAsia="Arial" w:hAnsi="Arial"/>
                <w:b/>
                <w:bCs/>
                <w:color w:val="1B4F72"/>
                <w:sz w:val="22"/>
                <w:szCs w:val="22"/>
              </w:rPr>
              <w:t xml:space="preserve">ASM-03 — Wizard Completion Honesty</w:t>
            </w:r>
          </w:p>
          <w:p>
            <w:pPr>
              <w:spacing w:before="40" w:after="60"/>
            </w:pPr>
            <w:r>
              <w:rPr>
                <w:rFonts w:ascii="Arial" w:cs="Arial" w:eastAsia="Arial" w:hAnsi="Arial"/>
                <w:b/>
                <w:bCs/>
                <w:sz w:val="20"/>
                <w:szCs w:val="20"/>
              </w:rPr>
              <w:t xml:space="preserve">Assumption: </w:t>
            </w:r>
            <w:r>
              <w:rPr>
                <w:rFonts w:ascii="Arial" w:cs="Arial" w:eastAsia="Arial" w:hAnsi="Arial"/>
                <w:sz w:val="20"/>
                <w:szCs w:val="20"/>
              </w:rPr>
              <w:t xml:space="preserve">Users will answer the 9-question context wizard accurately. The scoring model is only as good as the context it is given. A user who selects 'Low risk' for a high-stakes client engagement will receive scores calibrated to a low-risk profile.</w:t>
            </w:r>
          </w:p>
          <w:p>
            <w:pPr>
              <w:spacing w:before="40" w:after="60"/>
            </w:pPr>
            <w:r>
              <w:rPr>
                <w:rFonts w:ascii="Arial" w:cs="Arial" w:eastAsia="Arial" w:hAnsi="Arial"/>
                <w:b/>
                <w:bCs/>
                <w:sz w:val="20"/>
                <w:szCs w:val="20"/>
              </w:rPr>
              <w:t xml:space="preserve">Risk if Wrong: </w:t>
            </w:r>
            <w:r>
              <w:rPr>
                <w:rFonts w:ascii="Arial" w:cs="Arial" w:eastAsia="Arial" w:hAnsi="Arial"/>
                <w:sz w:val="20"/>
                <w:szCs w:val="20"/>
              </w:rPr>
              <w:t xml:space="preserve">If users game or misread the wizard, scores will be systematically miscalibrated for their Workstreams. The tool will still calculate automatically, but from incorrect premises.</w:t>
            </w:r>
          </w:p>
          <w:p>
            <w:pPr>
              <w:spacing w:before="40" w:after="40"/>
            </w:pPr>
            <w:r>
              <w:rPr>
                <w:rFonts w:ascii="Arial" w:cs="Arial" w:eastAsia="Arial" w:hAnsi="Arial"/>
                <w:b/>
                <w:bCs/>
                <w:sz w:val="20"/>
                <w:szCs w:val="20"/>
              </w:rPr>
              <w:t xml:space="preserve">Mitigation: </w:t>
            </w:r>
            <w:r>
              <w:rPr>
                <w:rFonts w:ascii="Arial" w:cs="Arial" w:eastAsia="Arial" w:hAnsi="Arial"/>
                <w:sz w:val="20"/>
                <w:szCs w:val="20"/>
              </w:rPr>
              <w:t xml:space="preserve">Wizard questions are written in plain, concrete language (Section 5.1) to minimise misinterpretation. The ability to re-run the wizard (FR-06) allows correction without requiring a full Workstream rebuild.</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4F6F7" w:val="clear"/>
            <w:tcMar>
              <w:top w:type="dxa" w:w="100"/>
              <w:left w:type="dxa" w:w="160"/>
              <w:bottom w:type="dxa" w:w="100"/>
              <w:right w:type="dxa" w:w="160"/>
            </w:tcMar>
          </w:tcPr>
          <w:p>
            <w:pPr>
              <w:spacing w:before="40" w:after="80"/>
            </w:pPr>
            <w:r>
              <w:rPr>
                <w:rFonts w:ascii="Arial" w:cs="Arial" w:eastAsia="Arial" w:hAnsi="Arial"/>
                <w:b/>
                <w:bCs/>
                <w:color w:val="1B4F72"/>
                <w:sz w:val="22"/>
                <w:szCs w:val="22"/>
              </w:rPr>
              <w:t xml:space="preserve">ASM-04 — Supabase Free Tier Sufficiency</w:t>
            </w:r>
          </w:p>
          <w:p>
            <w:pPr>
              <w:spacing w:before="40" w:after="60"/>
            </w:pPr>
            <w:r>
              <w:rPr>
                <w:rFonts w:ascii="Arial" w:cs="Arial" w:eastAsia="Arial" w:hAnsi="Arial"/>
                <w:b/>
                <w:bCs/>
                <w:sz w:val="20"/>
                <w:szCs w:val="20"/>
              </w:rPr>
              <w:t xml:space="preserve">Assumption: </w:t>
            </w:r>
            <w:r>
              <w:rPr>
                <w:rFonts w:ascii="Arial" w:cs="Arial" w:eastAsia="Arial" w:hAnsi="Arial"/>
                <w:sz w:val="20"/>
                <w:szCs w:val="20"/>
              </w:rPr>
              <w:t xml:space="preserve">Supabase's free tier provides sufficient database storage, row limits, and API call capacity for a portfolio demonstration with up to 10 users and 50 Workstreams.</w:t>
            </w:r>
          </w:p>
          <w:p>
            <w:pPr>
              <w:spacing w:before="40" w:after="60"/>
            </w:pPr>
            <w:r>
              <w:rPr>
                <w:rFonts w:ascii="Arial" w:cs="Arial" w:eastAsia="Arial" w:hAnsi="Arial"/>
                <w:b/>
                <w:bCs/>
                <w:sz w:val="20"/>
                <w:szCs w:val="20"/>
              </w:rPr>
              <w:t xml:space="preserve">Risk if Wrong: </w:t>
            </w:r>
            <w:r>
              <w:rPr>
                <w:rFonts w:ascii="Arial" w:cs="Arial" w:eastAsia="Arial" w:hAnsi="Arial"/>
                <w:sz w:val="20"/>
                <w:szCs w:val="20"/>
              </w:rPr>
              <w:t xml:space="preserve">Supabase free tier limits (500MB database, 50,000 monthly active users) are not a concern for portfolio demonstration purposes. However, if Meridian were scaled to a real user base, Supabase's paid tiers or a self-hosted PostgreSQL instance would be required.</w:t>
            </w:r>
          </w:p>
          <w:p>
            <w:pPr>
              <w:spacing w:before="40" w:after="40"/>
            </w:pPr>
            <w:r>
              <w:rPr>
                <w:rFonts w:ascii="Arial" w:cs="Arial" w:eastAsia="Arial" w:hAnsi="Arial"/>
                <w:b/>
                <w:bCs/>
                <w:sz w:val="20"/>
                <w:szCs w:val="20"/>
              </w:rPr>
              <w:t xml:space="preserve">Mitigation: </w:t>
            </w:r>
            <w:r>
              <w:rPr>
                <w:rFonts w:ascii="Arial" w:cs="Arial" w:eastAsia="Arial" w:hAnsi="Arial"/>
                <w:sz w:val="20"/>
                <w:szCs w:val="20"/>
              </w:rPr>
              <w:t xml:space="preserve">Documented as a Phase 2 infrastructure consideration. Free tier is sufficient for v1 demonstration scope.</w:t>
            </w:r>
          </w:p>
        </w:tc>
      </w:tr>
    </w:tbl>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4F6F7" w:val="clear"/>
            <w:tcMar>
              <w:top w:type="dxa" w:w="100"/>
              <w:left w:type="dxa" w:w="160"/>
              <w:bottom w:type="dxa" w:w="100"/>
              <w:right w:type="dxa" w:w="160"/>
            </w:tcMar>
          </w:tcPr>
          <w:p>
            <w:pPr>
              <w:spacing w:before="40" w:after="80"/>
            </w:pPr>
            <w:r>
              <w:rPr>
                <w:rFonts w:ascii="Arial" w:cs="Arial" w:eastAsia="Arial" w:hAnsi="Arial"/>
                <w:b/>
                <w:bCs/>
                <w:color w:val="1B4F72"/>
                <w:sz w:val="22"/>
                <w:szCs w:val="22"/>
              </w:rPr>
              <w:t xml:space="preserve">ASM-05 — Streamlit Multi-User Suitability</w:t>
            </w:r>
          </w:p>
          <w:p>
            <w:pPr>
              <w:spacing w:before="40" w:after="60"/>
            </w:pPr>
            <w:r>
              <w:rPr>
                <w:rFonts w:ascii="Arial" w:cs="Arial" w:eastAsia="Arial" w:hAnsi="Arial"/>
                <w:b/>
                <w:bCs/>
                <w:sz w:val="20"/>
                <w:szCs w:val="20"/>
              </w:rPr>
              <w:t xml:space="preserve">Assumption: </w:t>
            </w:r>
            <w:r>
              <w:rPr>
                <w:rFonts w:ascii="Arial" w:cs="Arial" w:eastAsia="Arial" w:hAnsi="Arial"/>
                <w:sz w:val="20"/>
                <w:szCs w:val="20"/>
              </w:rPr>
              <w:t xml:space="preserve">Streamlit's session model is sufficient for a multi-user application where each user session is independent and all shared state is managed through the PostgreSQL database layer, not Streamlit's in-memory session state.</w:t>
            </w:r>
          </w:p>
          <w:p>
            <w:pPr>
              <w:spacing w:before="40" w:after="60"/>
            </w:pPr>
            <w:r>
              <w:rPr>
                <w:rFonts w:ascii="Arial" w:cs="Arial" w:eastAsia="Arial" w:hAnsi="Arial"/>
                <w:b/>
                <w:bCs/>
                <w:sz w:val="20"/>
                <w:szCs w:val="20"/>
              </w:rPr>
              <w:t xml:space="preserve">Risk if Wrong: </w:t>
            </w:r>
            <w:r>
              <w:rPr>
                <w:rFonts w:ascii="Arial" w:cs="Arial" w:eastAsia="Arial" w:hAnsi="Arial"/>
                <w:sz w:val="20"/>
                <w:szCs w:val="20"/>
              </w:rPr>
              <w:t xml:space="preserve">Streamlit is not a conventional multi-user application framework. If state management is handled incorrectly (e.g., global variables instead of database-persisted state), users may see each other's data or experience session bleed.</w:t>
            </w:r>
          </w:p>
          <w:p>
            <w:pPr>
              <w:spacing w:before="40" w:after="40"/>
            </w:pPr>
            <w:r>
              <w:rPr>
                <w:rFonts w:ascii="Arial" w:cs="Arial" w:eastAsia="Arial" w:hAnsi="Arial"/>
                <w:b/>
                <w:bCs/>
                <w:sz w:val="20"/>
                <w:szCs w:val="20"/>
              </w:rPr>
              <w:t xml:space="preserve">Mitigation: </w:t>
            </w:r>
            <w:r>
              <w:rPr>
                <w:rFonts w:ascii="Arial" w:cs="Arial" w:eastAsia="Arial" w:hAnsi="Arial"/>
                <w:sz w:val="20"/>
                <w:szCs w:val="20"/>
              </w:rPr>
              <w:t xml:space="preserve">All persistent state shall be read from and written to PostgreSQL via parameterised queries. Streamlit session_state is used only for UI state (current page, selected filters) and never for user data.</w:t>
            </w:r>
          </w:p>
        </w:tc>
      </w:tr>
    </w:tbl>
    <w:p>
      <w:pPr>
        <w:spacing w:before="80" w:after="80"/>
      </w:pPr>
      <w:r>
        <w:rPr>
          <w:rFonts w:ascii="Arial" w:cs="Arial" w:eastAsia="Arial" w:hAnsi="Arial"/>
          <w:sz w:val="20"/>
          <w:szCs w:val="20"/>
        </w:rPr>
        <w:t xml:space="preserve"/>
      </w:r>
    </w:p>
    <w:p>
      <w:pPr>
        <w:pStyle w:val="Heading2"/>
        <w:spacing w:before="240" w:after="120"/>
      </w:pPr>
      <w:r>
        <w:rPr>
          <w:rFonts w:ascii="Arial" w:cs="Arial" w:eastAsia="Arial" w:hAnsi="Arial"/>
          <w:b/>
          <w:bCs/>
          <w:color w:val="2E86C1"/>
          <w:sz w:val="26"/>
          <w:szCs w:val="26"/>
        </w:rPr>
        <w:t xml:space="preserve">8.3 Open Items Requiring Resolution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000"/>
        <w:gridCol w:w="4060"/>
      </w:tblGrid>
      <w:tr>
        <w:tc>
          <w:tcPr>
            <w:tcW w:type="dxa" w:w="7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6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Open Item</w:t>
            </w:r>
          </w:p>
        </w:tc>
        <w:tc>
          <w:tcPr>
            <w:tcW w:type="dxa" w:w="200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c>
          <w:tcPr>
            <w:tcW w:type="dxa" w:w="4060"/>
            <w:gridSpan w:val="1"/>
            <w:tcBorders>
              <w:top w:val="single" w:color="FFFFFF" w:sz="1"/>
              <w:left w:val="single" w:color="FFFFFF" w:sz="1"/>
              <w:bottom w:val="single" w:color="FFFFFF" w:sz="1"/>
              <w:right w:val="single" w:color="FFFFFF"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 if Unresolved</w:t>
            </w:r>
          </w:p>
        </w:tc>
      </w:tr>
      <w:tr>
        <w:tc>
          <w:tcPr>
            <w:tcW w:type="dxa" w:w="7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OI-01</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Supabase RLS policy design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Developer</w:t>
            </w:r>
          </w:p>
        </w:tc>
        <w:tc>
          <w:tcPr>
            <w:tcW w:type="dxa" w:w="40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Role-based data access cannot be implemented without defined RLS rules per table</w:t>
            </w:r>
          </w:p>
        </w:tc>
      </w:tr>
      <w:tr>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OI-02</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Invite link generation and storage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Developer</w:t>
            </w:r>
          </w:p>
        </w:tc>
        <w:tc>
          <w:tcPr>
            <w:tcW w:type="dxa" w:w="40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Invite link mechanism (token-based vs. Supabase magic link) must be decided before FR-30 implementation</w:t>
            </w:r>
          </w:p>
        </w:tc>
      </w:tr>
      <w:tr>
        <w:tc>
          <w:tcPr>
            <w:tcW w:type="dxa" w:w="7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OI-03</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Scoring engine test case suite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Developer / BA</w:t>
            </w:r>
          </w:p>
        </w:tc>
        <w:tc>
          <w:tcPr>
            <w:tcW w:type="dxa" w:w="40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A defined set of test inputs and expected RAG outputs must be created before engine build to validate scoring logic</w:t>
            </w:r>
          </w:p>
        </w:tc>
      </w:tr>
      <w:tr>
        <w:tc>
          <w:tcPr>
            <w:tcW w:type="dxa" w:w="7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bCs/>
                <w:color w:val="000000"/>
                <w:sz w:val="20"/>
                <w:szCs w:val="20"/>
              </w:rPr>
              <w:t xml:space="preserve">OI-04</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Staleness period calculation</w:t>
            </w:r>
          </w:p>
        </w:tc>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Product Owner</w:t>
            </w:r>
          </w:p>
        </w:tc>
        <w:tc>
          <w:tcPr>
            <w:tcW w:type="dxa" w:w="40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vAlign w:val="top"/>
          </w:tcPr>
          <w:p>
            <w:pPr>
              <w:spacing w:before="40" w:after="40"/>
            </w:pPr>
            <w:r>
              <w:rPr>
                <w:rFonts w:ascii="Arial" w:cs="Arial" w:eastAsia="Arial" w:hAnsi="Arial"/>
                <w:b w:val="false"/>
                <w:bCs w:val="false"/>
                <w:color w:val="000000"/>
                <w:sz w:val="20"/>
                <w:szCs w:val="20"/>
              </w:rPr>
              <w:t xml:space="preserve">The exact staleness multiplier per Q8 answer (Daily = 2 days, Weekly = 8 days, etc.) must be confirmed and documented before FR-10 implementation</w:t>
            </w:r>
          </w:p>
        </w:tc>
      </w:tr>
    </w:tbl>
    <w:p>
      <w:pPr>
        <w:spacing w:before="80" w:after="80"/>
      </w:pPr>
      <w:r>
        <w:rPr>
          <w:rFonts w:ascii="Arial" w:cs="Arial" w:eastAsia="Arial" w:hAnsi="Arial"/>
          <w:sz w:val="20"/>
          <w:szCs w:val="20"/>
        </w:rPr>
        <w:t xml:space="preserve"/>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spacing w:before="0"/>
    </w:pPr>
    <w:r>
      <w:rPr>
        <w:rFonts w:ascii="Arial" w:cs="Arial" w:eastAsia="Arial" w:hAnsi="Arial"/>
        <w:color w:val="888888"/>
        <w:sz w:val="16"/>
        <w:szCs w:val="16"/>
      </w:rPr>
      <w:t xml:space="preserve">BA Portfolio Project 3 — Hadi Mercer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spacing w:after="0"/>
    </w:pPr>
    <w:r>
      <w:rPr>
        <w:rFonts w:ascii="Arial" w:cs="Arial" w:eastAsia="Arial" w:hAnsi="Arial"/>
        <w:b/>
        <w:bCs/>
        <w:color w:val="1B4F72"/>
        <w:sz w:val="18"/>
        <w:szCs w:val="18"/>
      </w:rPr>
      <w:t xml:space="preserve">MERIDIAN</w:t>
    </w:r>
    <w:r>
      <w:rPr>
        <w:rFonts w:ascii="Arial" w:cs="Arial" w:eastAsia="Arial" w:hAnsi="Arial"/>
        <w:color w:val="888888"/>
        <w:sz w:val="18"/>
        <w:szCs w:val="18"/>
      </w:rPr>
      <w:t xml:space="preserve">   |   Workstream Portfolio Health Dashboard   |   FRD-MERIDIAN-001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6C1"/>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2026-02-24T14:21:03.298Z</dcterms:created>
  <dcterms:modified xsi:type="dcterms:W3CDTF">2026-02-24T14:21:03.299Z</dcterms:modified>
</cp:coreProperties>
</file>

<file path=docProps/custom.xml><?xml version="1.0" encoding="utf-8"?>
<Properties xmlns="http://schemas.openxmlformats.org/officeDocument/2006/custom-properties" xmlns:vt="http://schemas.openxmlformats.org/officeDocument/2006/docPropsVTypes"/>
</file>