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120" w:before="240"/>
      </w:pPr>
      <w:r>
        <w:t xml:space="preserve">Lunar QA Automation: Bitbucket Code Review Workspace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Target: http://localhost:5173/bitbucket | Status: PASSED (100%) | Date: 2026-09-29</w:t>
      </w:r>
    </w:p>
    <w:p>
      <w:pPr>
        <w:pStyle w:val="Heading2"/>
        <w:spacing w:after="120" w:before="240"/>
      </w:pPr>
      <w:r>
        <w:t xml:space="preserve">Test Scenarios &amp; Results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1. Bitbucket Code Review Workspace Overview Rendering - Passed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2. Pushed Branches Filtering (Ready, Stale, All) - Passed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3. Open Pull Requests Filtering (Assigned to me, AI Flagged, All) - Passed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4. Create Pull Request Modal Submission &amp; Toast Notification - Passed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5. PR Review Modal, Git Diff Inspection, AI Review Synthesis &amp; Comment Prefill - Passed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6. PR Review Status Actions (Approve, Needs Work, Decline) - Passed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7. Custom Comment Submission &amp; Confirmation Toast - Passed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8. Clean Empty States (Zero Pushes, Zero PRs) - Passed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9. [Negative] Invalid or Expired Bitbucket PAT (HTTP 401) Error Banner &amp; Settings Link - Passed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10. [Negative] VPN Disconnect / Gateway Timeout (HTTP 502) Guidance Banner - Passed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11. [Negative] Repository Access Forbidden (HTTP 403) Permission Warning - Passed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12. [Negative] PAT Unconfigured Warning Banner with Settings Redirection - Passed</w:t>
      </w:r>
    </w:p>
    <w:p>
      <w:pPr>
        <w:pStyle w:val="Heading2"/>
        <w:spacing w:after="120" w:before="240"/>
      </w:pPr>
      <w:r>
        <w:t xml:space="preserve">Visual Evidence</w:t>
      </w:r>
    </w:p>
    <w:p>
      <w:pPr>
        <w:spacing w:after="80" w:before="180"/>
        <w:jc w:val="center"/>
      </w:pPr>
      <w:r>
        <w:drawing>
          <wp:inline distT="0" distB="0" distL="0" distR="0">
            <wp:extent cx="5524500" cy="3238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323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cs="Calibri" w:eastAsia="Calibri" w:hAnsi="Calibri"/>
          <w:i/>
          <w:iCs/>
          <w:color w:val="666666"/>
          <w:sz w:val="18"/>
          <w:szCs w:val="18"/>
        </w:rPr>
        <w:t xml:space="preserve">Figure 1: Bitbucket Workspace Overview</w:t>
      </w:r>
    </w:p>
    <w:p>
      <w:pPr>
        <w:spacing w:after="80" w:before="180"/>
        <w:jc w:val="center"/>
      </w:pPr>
      <w:r>
        <w:drawing>
          <wp:inline distT="0" distB="0" distL="0" distR="0">
            <wp:extent cx="5524500" cy="3238500"/>
            <wp:effectExtent t="0" r="0" b="0" l="0"/>
            <wp:docPr id="2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323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cs="Calibri" w:eastAsia="Calibri" w:hAnsi="Calibri"/>
          <w:i/>
          <w:iCs/>
          <w:color w:val="666666"/>
          <w:sz w:val="18"/>
          <w:szCs w:val="18"/>
        </w:rPr>
        <w:t xml:space="preserve">Figure 2: Filter Pushed Branches: Ready Only</w:t>
      </w:r>
    </w:p>
    <w:p>
      <w:pPr>
        <w:spacing w:after="80" w:before="180"/>
        <w:jc w:val="center"/>
      </w:pPr>
      <w:r>
        <w:drawing>
          <wp:inline distT="0" distB="0" distL="0" distR="0">
            <wp:extent cx="5524500" cy="3238500"/>
            <wp:effectExtent t="0" r="0" b="0" l="0"/>
            <wp:docPr id="3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323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cs="Calibri" w:eastAsia="Calibri" w:hAnsi="Calibri"/>
          <w:i/>
          <w:iCs/>
          <w:color w:val="666666"/>
          <w:sz w:val="18"/>
          <w:szCs w:val="18"/>
        </w:rPr>
        <w:t xml:space="preserve">Figure 3: Filter Pull Requests: AI Flagged</w:t>
      </w:r>
    </w:p>
    <w:p>
      <w:pPr>
        <w:spacing w:after="80" w:before="180"/>
        <w:jc w:val="center"/>
      </w:pPr>
      <w:r>
        <w:drawing>
          <wp:inline distT="0" distB="0" distL="0" distR="0">
            <wp:extent cx="5524500" cy="3238500"/>
            <wp:effectExtent t="0" r="0" b="0" l="0"/>
            <wp:docPr id="4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323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cs="Calibri" w:eastAsia="Calibri" w:hAnsi="Calibri"/>
          <w:i/>
          <w:iCs/>
          <w:color w:val="666666"/>
          <w:sz w:val="18"/>
          <w:szCs w:val="18"/>
        </w:rPr>
        <w:t xml:space="preserve">Figure 4: Create Pull Request Modal</w:t>
      </w:r>
    </w:p>
    <w:p>
      <w:pPr>
        <w:spacing w:after="80" w:before="180"/>
        <w:jc w:val="center"/>
      </w:pPr>
      <w:r>
        <w:drawing>
          <wp:inline distT="0" distB="0" distL="0" distR="0">
            <wp:extent cx="5524500" cy="3238500"/>
            <wp:effectExtent t="0" r="0" b="0" l="0"/>
            <wp:docPr id="5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323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cs="Calibri" w:eastAsia="Calibri" w:hAnsi="Calibri"/>
          <w:i/>
          <w:iCs/>
          <w:color w:val="666666"/>
          <w:sz w:val="18"/>
          <w:szCs w:val="18"/>
        </w:rPr>
        <w:t xml:space="preserve">Figure 5: Pull Request Created Toast Notification</w:t>
      </w:r>
    </w:p>
    <w:p>
      <w:pPr>
        <w:spacing w:after="80" w:before="180"/>
        <w:jc w:val="center"/>
      </w:pPr>
      <w:r>
        <w:drawing>
          <wp:inline distT="0" distB="0" distL="0" distR="0">
            <wp:extent cx="5524500" cy="3238500"/>
            <wp:effectExtent t="0" r="0" b="0" l="0"/>
            <wp:docPr id="6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323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cs="Calibri" w:eastAsia="Calibri" w:hAnsi="Calibri"/>
          <w:i/>
          <w:iCs/>
          <w:color w:val="666666"/>
          <w:sz w:val="18"/>
          <w:szCs w:val="18"/>
        </w:rPr>
        <w:t xml:space="preserve">Figure 6: PR Review Modal (Initial State)</w:t>
      </w:r>
    </w:p>
    <w:p>
      <w:pPr>
        <w:spacing w:after="80" w:before="180"/>
        <w:jc w:val="center"/>
      </w:pPr>
      <w:r>
        <w:drawing>
          <wp:inline distT="0" distB="0" distL="0" distR="0">
            <wp:extent cx="5524500" cy="3238500"/>
            <wp:effectExtent t="0" r="0" b="0" l="0"/>
            <wp:docPr id="7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323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cs="Calibri" w:eastAsia="Calibri" w:hAnsi="Calibri"/>
          <w:i/>
          <w:iCs/>
          <w:color w:val="666666"/>
          <w:sz w:val="18"/>
          <w:szCs w:val="18"/>
        </w:rPr>
        <w:t xml:space="preserve">Figure 7: AI Code Review Synthesis &amp; Comment Population</w:t>
      </w:r>
    </w:p>
    <w:p>
      <w:pPr>
        <w:spacing w:after="80" w:before="180"/>
        <w:jc w:val="center"/>
      </w:pPr>
      <w:r>
        <w:drawing>
          <wp:inline distT="0" distB="0" distL="0" distR="0">
            <wp:extent cx="5524500" cy="3238500"/>
            <wp:effectExtent t="0" r="0" b="0" l="0"/>
            <wp:docPr id="8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323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cs="Calibri" w:eastAsia="Calibri" w:hAnsi="Calibri"/>
          <w:i/>
          <w:iCs/>
          <w:color w:val="666666"/>
          <w:sz w:val="18"/>
          <w:szCs w:val="18"/>
        </w:rPr>
        <w:t xml:space="preserve">Figure 8: Review Approval Status Action</w:t>
      </w:r>
    </w:p>
    <w:p>
      <w:pPr>
        <w:spacing w:after="80" w:before="180"/>
        <w:jc w:val="center"/>
      </w:pPr>
      <w:r>
        <w:drawing>
          <wp:inline distT="0" distB="0" distL="0" distR="0">
            <wp:extent cx="5524500" cy="3238500"/>
            <wp:effectExtent t="0" r="0" b="0" l="0"/>
            <wp:docPr id="9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323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cs="Calibri" w:eastAsia="Calibri" w:hAnsi="Calibri"/>
          <w:i/>
          <w:iCs/>
          <w:color w:val="666666"/>
          <w:sz w:val="18"/>
          <w:szCs w:val="18"/>
        </w:rPr>
        <w:t xml:space="preserve">Figure 9: Custom Review Comment Posted</w:t>
      </w:r>
    </w:p>
    <w:p>
      <w:pPr>
        <w:spacing w:after="80" w:before="180"/>
        <w:jc w:val="center"/>
      </w:pPr>
      <w:r>
        <w:drawing>
          <wp:inline distT="0" distB="0" distL="0" distR="0">
            <wp:extent cx="5524500" cy="3238500"/>
            <wp:effectExtent t="0" r="0" b="0" l="0"/>
            <wp:docPr id="10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323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cs="Calibri" w:eastAsia="Calibri" w:hAnsi="Calibri"/>
          <w:i/>
          <w:iCs/>
          <w:color w:val="666666"/>
          <w:sz w:val="18"/>
          <w:szCs w:val="18"/>
        </w:rPr>
        <w:t xml:space="preserve">Figure 10: Clean Empty State for Pushes and Pull Requests</w:t>
      </w:r>
    </w:p>
    <w:p>
      <w:pPr>
        <w:spacing w:after="80" w:before="180"/>
        <w:jc w:val="center"/>
      </w:pPr>
      <w:r>
        <w:drawing>
          <wp:inline distT="0" distB="0" distL="0" distR="0">
            <wp:extent cx="5524500" cy="3238500"/>
            <wp:effectExtent t="0" r="0" b="0" l="0"/>
            <wp:docPr id="1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323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cs="Calibri" w:eastAsia="Calibri" w:hAnsi="Calibri"/>
          <w:i/>
          <w:iCs/>
          <w:color w:val="666666"/>
          <w:sz w:val="18"/>
          <w:szCs w:val="18"/>
        </w:rPr>
        <w:t xml:space="preserve">Figure 11: Negative Test - Invalid/Expired Bitbucket PAT Banner</w:t>
      </w:r>
    </w:p>
    <w:p>
      <w:pPr>
        <w:spacing w:after="80" w:before="180"/>
        <w:jc w:val="center"/>
      </w:pPr>
      <w:r>
        <w:drawing>
          <wp:inline distT="0" distB="0" distL="0" distR="0">
            <wp:extent cx="5524500" cy="3238500"/>
            <wp:effectExtent t="0" r="0" b="0" l="0"/>
            <wp:docPr id="12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323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cs="Calibri" w:eastAsia="Calibri" w:hAnsi="Calibri"/>
          <w:i/>
          <w:iCs/>
          <w:color w:val="666666"/>
          <w:sz w:val="18"/>
          <w:szCs w:val="18"/>
        </w:rPr>
        <w:t xml:space="preserve">Figure 12: Negative Test - VPN Disconnect Guidance Banner</w:t>
      </w:r>
    </w:p>
    <w:p>
      <w:pPr>
        <w:spacing w:after="80" w:before="180"/>
        <w:jc w:val="center"/>
      </w:pPr>
      <w:r>
        <w:drawing>
          <wp:inline distT="0" distB="0" distL="0" distR="0">
            <wp:extent cx="5524500" cy="3238500"/>
            <wp:effectExtent t="0" r="0" b="0" l="0"/>
            <wp:docPr id="13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323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cs="Calibri" w:eastAsia="Calibri" w:hAnsi="Calibri"/>
          <w:i/>
          <w:iCs/>
          <w:color w:val="666666"/>
          <w:sz w:val="18"/>
          <w:szCs w:val="18"/>
        </w:rPr>
        <w:t xml:space="preserve">Figure 13: Negative Test - Access Forbidden Permission Warning</w:t>
      </w:r>
    </w:p>
    <w:p>
      <w:pPr>
        <w:spacing w:after="80" w:before="180"/>
        <w:jc w:val="center"/>
      </w:pPr>
      <w:r>
        <w:drawing>
          <wp:inline distT="0" distB="0" distL="0" distR="0">
            <wp:extent cx="5524500" cy="3238500"/>
            <wp:effectExtent t="0" r="0" b="0" l="0"/>
            <wp:docPr id="14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323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cs="Calibri" w:eastAsia="Calibri" w:hAnsi="Calibri"/>
          <w:i/>
          <w:iCs/>
          <w:color w:val="666666"/>
          <w:sz w:val="18"/>
          <w:szCs w:val="18"/>
        </w:rPr>
        <w:t xml:space="preserve">Figure 14: Negative Test - PAT Unconfigured Warning Banner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image" Target="media/75b658f1f296d3a02953664669270da8c89b42aa.undefined"/><Relationship Id="rId8" Type="http://schemas.openxmlformats.org/officeDocument/2006/relationships/image" Target="media/cf0431109e90bdedc6d24f6e6d8df3a1568b5bdd.undefined"/><Relationship Id="rId9" Type="http://schemas.openxmlformats.org/officeDocument/2006/relationships/image" Target="media/5be43a40d69a57dd1a2a041a1343ad6cfd6b0c45.undefined"/><Relationship Id="rId10" Type="http://schemas.openxmlformats.org/officeDocument/2006/relationships/image" Target="media/a9c53f4b80685671a909cdb640c24535889ba423.undefined"/><Relationship Id="rId11" Type="http://schemas.openxmlformats.org/officeDocument/2006/relationships/image" Target="media/2d7b566d2a7460acddc2941d1f57e7cc54f6f7a9.undefined"/><Relationship Id="rId12" Type="http://schemas.openxmlformats.org/officeDocument/2006/relationships/image" Target="media/2a40cee0d9a526b329c9aa61b8610887375e9279.undefined"/><Relationship Id="rId13" Type="http://schemas.openxmlformats.org/officeDocument/2006/relationships/image" Target="media/8c68b87d69b2f822e4cdcd18cbaa39f3096c2996.undefined"/><Relationship Id="rId14" Type="http://schemas.openxmlformats.org/officeDocument/2006/relationships/image" Target="media/21a166b64f11a29a49cb9786e10ab3a3d6aa76b9.undefined"/><Relationship Id="rId15" Type="http://schemas.openxmlformats.org/officeDocument/2006/relationships/image" Target="media/fdbe8a27cb29cacbd241b8adb1bdde2b48a45849.undefined"/><Relationship Id="rId16" Type="http://schemas.openxmlformats.org/officeDocument/2006/relationships/image" Target="media/51ce63ea4d9ccc0219b9bdc4f0d91cae575992b7.undefined"/><Relationship Id="rId17" Type="http://schemas.openxmlformats.org/officeDocument/2006/relationships/image" Target="media/5456894be3d6c40452ab6d5b05b2b72e4042b18d.undefined"/><Relationship Id="rId18" Type="http://schemas.openxmlformats.org/officeDocument/2006/relationships/image" Target="media/056dc029e4e47fcc5512bfc49c16f43897e0b4f3.undefined"/><Relationship Id="rId19" Type="http://schemas.openxmlformats.org/officeDocument/2006/relationships/image" Target="media/1d4a666180a2351cf3cdb13061bda0145cdd7835.undefined"/><Relationship Id="rId20" Type="http://schemas.openxmlformats.org/officeDocument/2006/relationships/image" Target="media/c6fea5c333aa9f6ebd64cff97c7a3fc080d0df2f.undefined"/><Relationship Id="rId2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2026-09-29T14:53:13.628Z</dcterms:created>
  <dcterms:modified xsi:type="dcterms:W3CDTF">2026-09-29T14:53:13.629Z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