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</w:pPr>
      <w:r>
        <w:t xml:space="preserve">Lunar QA Automation: Settings &amp; Credential Vault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Target: http://localhost:5173/settings | Status: PASSED (100%) | Date: 2026-09-29</w:t>
      </w:r>
    </w:p>
    <w:p>
      <w:pPr>
        <w:pStyle w:val="Heading2"/>
        <w:spacing w:after="120" w:before="240"/>
      </w:pPr>
      <w:r>
        <w:t xml:space="preserve">Test Scenarios &amp; Results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 Integrations Settings Tab Initial State - Passed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2. Populating Jira, Bitbucket, and Confluence PATs - Passed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3. Saving Integration Credentials to AES-256-GCM Vault - Passed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4. Official AI Providers Validation (GPT-6 Astra, Claude Opus 5.5, Gemini 3.8 Flash, deepseek-v4-pro, mimo-v2.5-pro) - Passed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5. Standardized Placeholders &amp; Saving Gemini and DeepSeek Keys - Passed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6. Security &amp; Encryption Details Overview - Passed</w:t>
      </w:r>
    </w:p>
    <w:p>
      <w:pPr>
        <w:pStyle w:val="Heading2"/>
        <w:spacing w:after="120" w:before="240"/>
      </w:pPr>
      <w:r>
        <w:t xml:space="preserve">Visual Evidence</w:t>
      </w:r>
    </w:p>
    <w:p>
      <w:pPr>
        <w:spacing w:after="80" w:before="180"/>
        <w:jc w:val="center"/>
      </w:pPr>
      <w:r>
        <w:drawing>
          <wp:inline distT="0" distB="0" distL="0" distR="0">
            <wp:extent cx="5524500" cy="32385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1: Integrations Tab Initial State</w:t>
      </w:r>
    </w:p>
    <w:p>
      <w:pPr>
        <w:spacing w:after="80" w:before="180"/>
        <w:jc w:val="center"/>
      </w:pPr>
      <w:r>
        <w:drawing>
          <wp:inline distT="0" distB="0" distL="0" distR="0">
            <wp:extent cx="5524500" cy="32385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2: Populated Atlassian Credentials</w:t>
      </w:r>
    </w:p>
    <w:p>
      <w:pPr>
        <w:spacing w:after="80" w:before="180"/>
        <w:jc w:val="center"/>
      </w:pPr>
      <w:r>
        <w:drawing>
          <wp:inline distT="0" distB="0" distL="0" distR="0">
            <wp:extent cx="5524500" cy="323850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3: Encrypted Credentials Saved Toast</w:t>
      </w:r>
    </w:p>
    <w:p>
      <w:pPr>
        <w:spacing w:after="80" w:before="180"/>
        <w:jc w:val="center"/>
      </w:pPr>
      <w:r>
        <w:drawing>
          <wp:inline distT="0" distB="0" distL="0" distR="0">
            <wp:extent cx="5524500" cy="323850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4: Official AI Providers Management Tab</w:t>
      </w:r>
    </w:p>
    <w:p>
      <w:pPr>
        <w:spacing w:after="80" w:before="180"/>
        <w:jc w:val="center"/>
      </w:pPr>
      <w:r>
        <w:drawing>
          <wp:inline distT="0" distB="0" distL="0" distR="0">
            <wp:extent cx="5524500" cy="323850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5: Encrypted API Key Saved Toast</w:t>
      </w:r>
    </w:p>
    <w:p>
      <w:pPr>
        <w:spacing w:after="80" w:before="180"/>
        <w:jc w:val="center"/>
      </w:pPr>
      <w:r>
        <w:drawing>
          <wp:inline distT="0" distB="0" distL="0" distR="0">
            <wp:extent cx="5524500" cy="323850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6: Cryptographic Vault Specifications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feeb8ae823a32110fecaccfa06c1e0bbbea9cf76.undefined"/><Relationship Id="rId8" Type="http://schemas.openxmlformats.org/officeDocument/2006/relationships/image" Target="media/d63e93b2929eee7afa8ebce29481090499fbc219.undefined"/><Relationship Id="rId9" Type="http://schemas.openxmlformats.org/officeDocument/2006/relationships/image" Target="media/0afad3fdb4496fad934b3be58a6dedf7321afea9.undefined"/><Relationship Id="rId10" Type="http://schemas.openxmlformats.org/officeDocument/2006/relationships/image" Target="media/ea144707745daef037f693c257ce228102291fb6.undefined"/><Relationship Id="rId11" Type="http://schemas.openxmlformats.org/officeDocument/2006/relationships/image" Target="media/1b2596ccf23ffb6a70cee9e9b4d39d9f0566f9f4.undefined"/><Relationship Id="rId12" Type="http://schemas.openxmlformats.org/officeDocument/2006/relationships/image" Target="media/dc901c737e1e03e8db2317f106459e69397271f5.undefined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2026-09-29T13:44:47.566Z</dcterms:created>
  <dcterms:modified xsi:type="dcterms:W3CDTF">2026-09-29T13:44:47.566Z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