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74EA6"/>
          <w:sz w:val="30"/>
          <w:szCs w:val="30"/>
        </w:rPr>
        <w:t xml:space="preserve">Google Cloud (GKE) — Cost Comparison</w:t>
      </w:r>
    </w:p>
    <w:p>
      <w:pPr>
        <w:pBdr>
          <w:bottom w:val="single" w:color="1A73E8" w:sz="6" w:space="6"/>
        </w:pBdr>
        <w:spacing w:after="160"/>
      </w:pPr>
      <w:r>
        <w:rPr>
          <w:i/>
          <w:iCs/>
          <w:color w:val="5F6368"/>
          <w:sz w:val="16"/>
          <w:szCs w:val="16"/>
        </w:rPr>
        <w:t xml:space="preserve">Source: Google Cloud Pricing Calculator  •  Currency: USD  •  Region: us-central1 (Iowa)  •  Prepared 2 Jul 2026</w:t>
      </w:r>
    </w:p>
    <w:tbl>
      <w:tblPr>
        <w:tblW w:type="dxa" w:w="10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3000"/>
        <w:gridCol w:w="2360"/>
        <w:gridCol w:w="2360"/>
        <w:gridCol w:w="2360"/>
      </w:tblGrid>
      <w:tr>
        <w:trPr>
          <w:tblHeader/>
        </w:trPr>
        <w:tc>
          <w:tcPr>
            <w:tcW w:type="dxa" w:w="3000"/>
            <w:shd w:fill="1A73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360"/>
            <w:shd w:fill="1A73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Estimate 1</w:t>
            </w:r>
          </w:p>
        </w:tc>
        <w:tc>
          <w:tcPr>
            <w:tcW w:type="dxa" w:w="2360"/>
            <w:shd w:fill="1A73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Estimate 2</w:t>
            </w:r>
          </w:p>
        </w:tc>
        <w:tc>
          <w:tcPr>
            <w:tcW w:type="dxa" w:w="2360"/>
            <w:shd w:fill="1A73E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Estimate 3</w:t>
            </w:r>
          </w:p>
        </w:tc>
      </w:tr>
      <w:tr>
        <w:tc>
          <w:tcPr>
            <w:tcW w:type="dxa" w:w="3000"/>
            <w:shd w:fill="E8F0F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20"/>
                <w:szCs w:val="20"/>
              </w:rPr>
              <w:t xml:space="preserve">Estimated monthly cost</w:t>
            </w:r>
          </w:p>
        </w:tc>
        <w:tc>
          <w:tcPr>
            <w:tcW w:type="dxa" w:w="2360"/>
            <w:shd w:fill="E8F0F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74EA6"/>
                <w:sz w:val="20"/>
                <w:szCs w:val="20"/>
              </w:rPr>
              <w:t xml:space="preserve">$396.51</w:t>
            </w:r>
          </w:p>
        </w:tc>
        <w:tc>
          <w:tcPr>
            <w:tcW w:type="dxa" w:w="2360"/>
            <w:shd w:fill="E8F0F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74EA6"/>
                <w:sz w:val="20"/>
                <w:szCs w:val="20"/>
              </w:rPr>
              <w:t xml:space="preserve">$591.82</w:t>
            </w:r>
          </w:p>
        </w:tc>
        <w:tc>
          <w:tcPr>
            <w:tcW w:type="dxa" w:w="2360"/>
            <w:shd w:fill="E8F0F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74EA6"/>
                <w:sz w:val="20"/>
                <w:szCs w:val="20"/>
              </w:rPr>
              <w:t xml:space="preserve">$190.84</w:t>
            </w:r>
          </w:p>
        </w:tc>
      </w:tr>
      <w:tr>
        <w:tc>
          <w:tcPr>
            <w:tcW w:type="dxa" w:w="30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Service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GKE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GKE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GKE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Region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us-central1 (Iowa)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us-central1 (Iowa)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us-central1 (Iowa)</w:t>
            </w:r>
          </w:p>
        </w:tc>
      </w:tr>
      <w:tr>
        <w:tc>
          <w:tcPr>
            <w:tcW w:type="dxa" w:w="30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Cluster type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1 Regional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1 Zonal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1 Zonal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Number of nodes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Machine type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e2-standard-4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Custom (E2)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e2-standard-2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vCPUs (per node)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Memory (per node)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16 GiB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12 GiB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8 GiB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Provisioning model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Regular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Regular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30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Container-optimized (free)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Container-optimized (free)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Container-optimized (free)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Boot disk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100 GiB Balanced PD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100 GiB Balanced PD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100 GiB Balanced PD</w:t>
            </w:r>
          </w:p>
        </w:tc>
      </w:tr>
      <w:tr>
        <w:tc>
          <w:tcPr>
            <w:tcW w:type="dxa" w:w="30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Node usage time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2,190 hrs/mo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3,650 hrs/mo</w:t>
            </w:r>
          </w:p>
        </w:tc>
        <w:tc>
          <w:tcPr>
            <w:tcW w:type="dxa" w:w="236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1,460 hrs/mo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F6368"/>
                <w:sz w:val="18"/>
                <w:szCs w:val="18"/>
              </w:rPr>
              <w:t xml:space="preserve">Cost per node / mo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$132.17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$118.36</w:t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02124"/>
                <w:sz w:val="18"/>
                <w:szCs w:val="18"/>
              </w:rPr>
              <w:t xml:space="preserve">$95.42</w:t>
            </w:r>
          </w:p>
        </w:tc>
      </w:tr>
    </w:tbl>
    <w:p>
      <w:pPr>
        <w:spacing w:after="60" w:before="220"/>
      </w:pPr>
      <w:r>
        <w:rPr>
          <w:b/>
          <w:bCs/>
          <w:color w:val="174EA6"/>
          <w:sz w:val="22"/>
          <w:szCs w:val="22"/>
        </w:rPr>
        <w:t xml:space="preserve">Summary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  <w:color w:val="202124"/>
          <w:sz w:val="18"/>
          <w:szCs w:val="18"/>
        </w:rPr>
        <w:t xml:space="preserve">Lowest cost: </w:t>
      </w:r>
      <w:r>
        <w:rPr>
          <w:color w:val="202124"/>
          <w:sz w:val="18"/>
          <w:szCs w:val="18"/>
        </w:rPr>
        <w:t xml:space="preserve">Estimate 3 at $190.84/mo — the smallest footprint (2 × e2-standard-2, 2 vCPU / 8 GiB each) on a single zonal cluster.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  <w:color w:val="202124"/>
          <w:sz w:val="18"/>
          <w:szCs w:val="18"/>
        </w:rPr>
        <w:t xml:space="preserve">Highest cost: </w:t>
      </w:r>
      <w:r>
        <w:rPr>
          <w:color w:val="202124"/>
          <w:sz w:val="18"/>
          <w:szCs w:val="18"/>
        </w:rPr>
        <w:t xml:space="preserve">Estimate 2 at $591.82/mo — the largest footprint (5 custom E2 nodes, 4 vCPU / 12 GiB each). Cost scales with node count more than per-node size.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  <w:color w:val="202124"/>
          <w:sz w:val="18"/>
          <w:szCs w:val="18"/>
        </w:rPr>
        <w:t xml:space="preserve">Estimate 1 ($396.51/mo) </w:t>
      </w:r>
      <w:r>
        <w:rPr>
          <w:color w:val="202124"/>
          <w:sz w:val="18"/>
          <w:szCs w:val="18"/>
        </w:rPr>
        <w:t xml:space="preserve">is the only option using a regional cluster, which spreads nodes across zones for higher availability but adds a cluster management fee and control-plane cost that the zonal options avoid.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  <w:color w:val="202124"/>
          <w:sz w:val="18"/>
          <w:szCs w:val="18"/>
        </w:rPr>
        <w:t xml:space="preserve">Constant across all three: </w:t>
      </w:r>
      <w:r>
        <w:rPr>
          <w:color w:val="202124"/>
          <w:sz w:val="18"/>
          <w:szCs w:val="18"/>
        </w:rPr>
        <w:t xml:space="preserve">General Purpose E2 machines, Regular (on-demand) provisioning, free Container-optimized OS, 100 GiB Balanced persistent disk, us-central1, and all nodes running 24/7 (730 hrs/node/mo).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  <w:color w:val="202124"/>
          <w:sz w:val="18"/>
          <w:szCs w:val="18"/>
        </w:rPr>
        <w:t xml:space="preserve">Value note: </w:t>
      </w:r>
      <w:r>
        <w:rPr>
          <w:color w:val="202124"/>
          <w:sz w:val="18"/>
          <w:szCs w:val="18"/>
        </w:rPr>
        <w:t xml:space="preserve">On a per-node basis the larger machines are marginally cheaper per node ($95–$132/node/mo), but total spend is driven primarily by how many nodes each estimate runs and whether the cluster is regional or zonal.</w:t>
      </w:r>
    </w:p>
    <w:p>
      <w:pPr>
        <w:spacing w:before="160"/>
      </w:pPr>
      <w:r>
        <w:rPr>
          <w:i/>
          <w:iCs/>
          <w:color w:val="5F6368"/>
          <w:sz w:val="14"/>
          <w:szCs w:val="14"/>
        </w:rPr>
        <w:t xml:space="preserve">Figures are list-price estimates from the public calculator and exclude committed-use discounts, network egress, load balancing, and other add-on charges. Actual billing may vary.</w:t>
      </w:r>
    </w:p>
    <w:sectPr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2026-07-02T17:26:55.948Z</dcterms:created>
  <dcterms:modified xsi:type="dcterms:W3CDTF">2026-07-02T17:26:55.948Z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