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EB Garamond" w:cs="EB Garamond" w:eastAsia="EB Garamond" w:hAnsi="EB Garamond"/>
          <w:b w:val="1"/>
          <w:color w:val="000000"/>
          <w:sz w:val="36"/>
          <w:szCs w:val="36"/>
        </w:rPr>
      </w:pPr>
      <w:bookmarkStart w:colFirst="0" w:colLast="0" w:name="_78o5c9e10ean" w:id="0"/>
      <w:bookmarkEnd w:id="0"/>
      <w:r w:rsidDel="00000000" w:rsidR="00000000" w:rsidRPr="00000000">
        <w:rPr>
          <w:rFonts w:ascii="EB Garamond" w:cs="EB Garamond" w:eastAsia="EB Garamond" w:hAnsi="EB Garamond"/>
          <w:b w:val="1"/>
          <w:color w:val="000000"/>
          <w:sz w:val="36"/>
          <w:szCs w:val="36"/>
          <w:rtl w:val="0"/>
        </w:rPr>
        <w:t xml:space="preserve">Project Title:</w:t>
      </w:r>
    </w:p>
    <w:p w:rsidR="00000000" w:rsidDel="00000000" w:rsidP="00000000" w:rsidRDefault="00000000" w:rsidRPr="00000000" w14:paraId="00000002">
      <w:pPr>
        <w:spacing w:after="240" w:before="240" w:lineRule="auto"/>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Analysis of Global Military Expenditure Trends (1960–2018)</w:t>
      </w:r>
    </w:p>
    <w:p w:rsidR="00000000" w:rsidDel="00000000" w:rsidP="00000000" w:rsidRDefault="00000000" w:rsidRPr="00000000" w14:paraId="00000003">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EB Garamond" w:cs="EB Garamond" w:eastAsia="EB Garamond" w:hAnsi="EB Garamond"/>
          <w:b w:val="1"/>
          <w:color w:val="000000"/>
          <w:sz w:val="36"/>
          <w:szCs w:val="36"/>
        </w:rPr>
      </w:pPr>
      <w:bookmarkStart w:colFirst="0" w:colLast="0" w:name="_cgreh47tmsu0" w:id="1"/>
      <w:bookmarkEnd w:id="1"/>
      <w:r w:rsidDel="00000000" w:rsidR="00000000" w:rsidRPr="00000000">
        <w:rPr>
          <w:rFonts w:ascii="EB Garamond" w:cs="EB Garamond" w:eastAsia="EB Garamond" w:hAnsi="EB Garamond"/>
          <w:b w:val="1"/>
          <w:color w:val="000000"/>
          <w:sz w:val="36"/>
          <w:szCs w:val="36"/>
          <w:rtl w:val="0"/>
        </w:rPr>
        <w:t xml:space="preserve">Project Objective:</w:t>
      </w:r>
    </w:p>
    <w:p w:rsidR="00000000" w:rsidDel="00000000" w:rsidP="00000000" w:rsidRDefault="00000000" w:rsidRPr="00000000" w14:paraId="00000005">
      <w:pPr>
        <w:spacing w:after="240" w:before="240" w:lineRule="auto"/>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The objective of this project is to analyze global military spending patterns from 1960 to 2018 using historical expenditure data. The analysis aims to uncover trends over time, identify top and bottom spenders, evaluate regional and country-level priorities, and assess spending growth across decades.</w:t>
      </w:r>
    </w:p>
    <w:p w:rsidR="00000000" w:rsidDel="00000000" w:rsidP="00000000" w:rsidRDefault="00000000" w:rsidRPr="00000000" w14:paraId="00000006">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rFonts w:ascii="EB Garamond" w:cs="EB Garamond" w:eastAsia="EB Garamond" w:hAnsi="EB Garamond"/>
          <w:b w:val="1"/>
          <w:color w:val="000000"/>
          <w:sz w:val="36"/>
          <w:szCs w:val="36"/>
        </w:rPr>
      </w:pPr>
      <w:bookmarkStart w:colFirst="0" w:colLast="0" w:name="_eysiructbczj" w:id="2"/>
      <w:bookmarkEnd w:id="2"/>
      <w:r w:rsidDel="00000000" w:rsidR="00000000" w:rsidRPr="00000000">
        <w:rPr>
          <w:rFonts w:ascii="EB Garamond" w:cs="EB Garamond" w:eastAsia="EB Garamond" w:hAnsi="EB Garamond"/>
          <w:b w:val="1"/>
          <w:color w:val="000000"/>
          <w:sz w:val="36"/>
          <w:szCs w:val="36"/>
          <w:rtl w:val="0"/>
        </w:rPr>
        <w:t xml:space="preserve">Deliverables:</w:t>
      </w:r>
    </w:p>
    <w:p w:rsidR="00000000" w:rsidDel="00000000" w:rsidP="00000000" w:rsidRDefault="00000000" w:rsidRPr="00000000" w14:paraId="00000008">
      <w:pPr>
        <w:numPr>
          <w:ilvl w:val="0"/>
          <w:numId w:val="4"/>
        </w:numPr>
        <w:spacing w:after="0" w:afterAutospacing="0" w:before="24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Combined actual + cleaned dataset (</w:t>
      </w:r>
      <w:r w:rsidDel="00000000" w:rsidR="00000000" w:rsidRPr="00000000">
        <w:rPr>
          <w:rFonts w:ascii="Roboto Mono" w:cs="Roboto Mono" w:eastAsia="Roboto Mono" w:hAnsi="Roboto Mono"/>
          <w:color w:val="188038"/>
          <w:sz w:val="32"/>
          <w:szCs w:val="32"/>
          <w:rtl w:val="0"/>
        </w:rPr>
        <w:t xml:space="preserve">.xlsx</w:t>
      </w:r>
      <w:r w:rsidDel="00000000" w:rsidR="00000000" w:rsidRPr="00000000">
        <w:rPr>
          <w:rFonts w:ascii="EB Garamond" w:cs="EB Garamond" w:eastAsia="EB Garamond" w:hAnsi="EB Garamond"/>
          <w:sz w:val="32"/>
          <w:szCs w:val="32"/>
          <w:rtl w:val="0"/>
        </w:rPr>
        <w:t xml:space="preserve">)</w:t>
      </w:r>
      <w:r w:rsidDel="00000000" w:rsidR="00000000" w:rsidRPr="00000000">
        <w:rPr>
          <w:rtl w:val="0"/>
        </w:rPr>
      </w:r>
    </w:p>
    <w:p w:rsidR="00000000" w:rsidDel="00000000" w:rsidP="00000000" w:rsidRDefault="00000000" w:rsidRPr="00000000" w14:paraId="00000009">
      <w:pPr>
        <w:numPr>
          <w:ilvl w:val="0"/>
          <w:numId w:val="4"/>
        </w:numPr>
        <w:spacing w:after="0" w:afterAutospacing="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Exploratory Data Analysis (EDA) report (country-wise and year-wise)</w:t>
      </w:r>
    </w:p>
    <w:p w:rsidR="00000000" w:rsidDel="00000000" w:rsidP="00000000" w:rsidRDefault="00000000" w:rsidRPr="00000000" w14:paraId="0000000A">
      <w:pPr>
        <w:numPr>
          <w:ilvl w:val="0"/>
          <w:numId w:val="4"/>
        </w:numPr>
        <w:spacing w:after="0" w:afterAutospacing="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Visualizations using Tableau Public</w:t>
      </w:r>
    </w:p>
    <w:p w:rsidR="00000000" w:rsidDel="00000000" w:rsidP="00000000" w:rsidRDefault="00000000" w:rsidRPr="00000000" w14:paraId="0000000B">
      <w:pPr>
        <w:numPr>
          <w:ilvl w:val="0"/>
          <w:numId w:val="4"/>
        </w:numPr>
        <w:spacing w:after="0" w:afterAutospacing="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Final analytical report with insights</w:t>
      </w:r>
    </w:p>
    <w:p w:rsidR="00000000" w:rsidDel="00000000" w:rsidP="00000000" w:rsidRDefault="00000000" w:rsidRPr="00000000" w14:paraId="0000000C">
      <w:pPr>
        <w:numPr>
          <w:ilvl w:val="0"/>
          <w:numId w:val="4"/>
        </w:numPr>
        <w:spacing w:after="24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GitHub repository containing all project files and documentation</w:t>
        <w:br w:type="textWrapping"/>
      </w:r>
    </w:p>
    <w:p w:rsidR="00000000" w:rsidDel="00000000" w:rsidP="00000000" w:rsidRDefault="00000000" w:rsidRPr="00000000" w14:paraId="0000000D">
      <w:pPr>
        <w:pStyle w:val="Heading3"/>
        <w:keepNext w:val="0"/>
        <w:keepLines w:val="0"/>
        <w:spacing w:before="280" w:lineRule="auto"/>
        <w:rPr>
          <w:rFonts w:ascii="EB Garamond" w:cs="EB Garamond" w:eastAsia="EB Garamond" w:hAnsi="EB Garamond"/>
          <w:b w:val="1"/>
          <w:color w:val="000000"/>
          <w:sz w:val="36"/>
          <w:szCs w:val="36"/>
        </w:rPr>
      </w:pPr>
      <w:bookmarkStart w:colFirst="0" w:colLast="0" w:name="_r8adb9qfpktd" w:id="3"/>
      <w:bookmarkEnd w:id="3"/>
      <w:r w:rsidDel="00000000" w:rsidR="00000000" w:rsidRPr="00000000">
        <w:rPr>
          <w:rFonts w:ascii="EB Garamond" w:cs="EB Garamond" w:eastAsia="EB Garamond" w:hAnsi="EB Garamond"/>
          <w:b w:val="1"/>
          <w:color w:val="000000"/>
          <w:sz w:val="36"/>
          <w:szCs w:val="36"/>
          <w:rtl w:val="0"/>
        </w:rPr>
        <w:t xml:space="preserve">Timeline:</w:t>
      </w:r>
    </w:p>
    <w:p w:rsidR="00000000" w:rsidDel="00000000" w:rsidP="00000000" w:rsidRDefault="00000000" w:rsidRPr="00000000" w14:paraId="0000000E">
      <w:pPr>
        <w:numPr>
          <w:ilvl w:val="0"/>
          <w:numId w:val="2"/>
        </w:numPr>
        <w:spacing w:after="0" w:afterAutospacing="0" w:before="24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b w:val="1"/>
          <w:sz w:val="32"/>
          <w:szCs w:val="32"/>
          <w:rtl w:val="0"/>
        </w:rPr>
        <w:t xml:space="preserve">Days 1–2:</w:t>
      </w:r>
      <w:r w:rsidDel="00000000" w:rsidR="00000000" w:rsidRPr="00000000">
        <w:rPr>
          <w:rFonts w:ascii="EB Garamond" w:cs="EB Garamond" w:eastAsia="EB Garamond" w:hAnsi="EB Garamond"/>
          <w:sz w:val="32"/>
          <w:szCs w:val="32"/>
          <w:rtl w:val="0"/>
        </w:rPr>
        <w:t xml:space="preserve"> Data understanding and wrangling.</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b w:val="1"/>
          <w:sz w:val="32"/>
          <w:szCs w:val="32"/>
          <w:rtl w:val="0"/>
        </w:rPr>
        <w:t xml:space="preserve">Days 3–9:</w:t>
      </w:r>
      <w:r w:rsidDel="00000000" w:rsidR="00000000" w:rsidRPr="00000000">
        <w:rPr>
          <w:rFonts w:ascii="EB Garamond" w:cs="EB Garamond" w:eastAsia="EB Garamond" w:hAnsi="EB Garamond"/>
          <w:sz w:val="32"/>
          <w:szCs w:val="32"/>
          <w:rtl w:val="0"/>
        </w:rPr>
        <w:t xml:space="preserve"> Exploratory Data Analysis (EDA) and question formulation</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b w:val="1"/>
          <w:sz w:val="32"/>
          <w:szCs w:val="32"/>
          <w:rtl w:val="0"/>
        </w:rPr>
        <w:t xml:space="preserve">Days 10–13:</w:t>
      </w:r>
      <w:r w:rsidDel="00000000" w:rsidR="00000000" w:rsidRPr="00000000">
        <w:rPr>
          <w:rFonts w:ascii="EB Garamond" w:cs="EB Garamond" w:eastAsia="EB Garamond" w:hAnsi="EB Garamond"/>
          <w:sz w:val="32"/>
          <w:szCs w:val="32"/>
          <w:rtl w:val="0"/>
        </w:rPr>
        <w:t xml:space="preserve"> Dataset restructuring (wide to long format)</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b w:val="1"/>
          <w:sz w:val="32"/>
          <w:szCs w:val="32"/>
          <w:rtl w:val="0"/>
        </w:rPr>
        <w:t xml:space="preserve">Days 14–15:</w:t>
      </w:r>
      <w:r w:rsidDel="00000000" w:rsidR="00000000" w:rsidRPr="00000000">
        <w:rPr>
          <w:rFonts w:ascii="EB Garamond" w:cs="EB Garamond" w:eastAsia="EB Garamond" w:hAnsi="EB Garamond"/>
          <w:sz w:val="32"/>
          <w:szCs w:val="32"/>
          <w:rtl w:val="0"/>
        </w:rPr>
        <w:t xml:space="preserve"> Short break</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b w:val="1"/>
          <w:sz w:val="32"/>
          <w:szCs w:val="32"/>
          <w:rtl w:val="0"/>
        </w:rPr>
        <w:t xml:space="preserve">Day 16:</w:t>
      </w:r>
      <w:r w:rsidDel="00000000" w:rsidR="00000000" w:rsidRPr="00000000">
        <w:rPr>
          <w:rFonts w:ascii="EB Garamond" w:cs="EB Garamond" w:eastAsia="EB Garamond" w:hAnsi="EB Garamond"/>
          <w:sz w:val="32"/>
          <w:szCs w:val="32"/>
          <w:rtl w:val="0"/>
        </w:rPr>
        <w:t xml:space="preserve"> Finalized format conversion</w:t>
      </w:r>
    </w:p>
    <w:p w:rsidR="00000000" w:rsidDel="00000000" w:rsidP="00000000" w:rsidRDefault="00000000" w:rsidRPr="00000000" w14:paraId="00000013">
      <w:pPr>
        <w:numPr>
          <w:ilvl w:val="0"/>
          <w:numId w:val="2"/>
        </w:numPr>
        <w:spacing w:after="24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b w:val="1"/>
          <w:sz w:val="32"/>
          <w:szCs w:val="32"/>
          <w:rtl w:val="0"/>
        </w:rPr>
        <w:t xml:space="preserve">Day 17:</w:t>
      </w:r>
      <w:r w:rsidDel="00000000" w:rsidR="00000000" w:rsidRPr="00000000">
        <w:rPr>
          <w:rFonts w:ascii="EB Garamond" w:cs="EB Garamond" w:eastAsia="EB Garamond" w:hAnsi="EB Garamond"/>
          <w:sz w:val="32"/>
          <w:szCs w:val="32"/>
          <w:rtl w:val="0"/>
        </w:rPr>
        <w:t xml:space="preserve"> Built and refined visualizations in Tabulae</w:t>
        <w:br w:type="textWrapping"/>
      </w:r>
    </w:p>
    <w:p w:rsidR="00000000" w:rsidDel="00000000" w:rsidP="00000000" w:rsidRDefault="00000000" w:rsidRPr="00000000" w14:paraId="00000014">
      <w:pPr>
        <w:pStyle w:val="Heading3"/>
        <w:keepNext w:val="0"/>
        <w:keepLines w:val="0"/>
        <w:spacing w:before="280" w:lineRule="auto"/>
        <w:rPr>
          <w:rFonts w:ascii="EB Garamond" w:cs="EB Garamond" w:eastAsia="EB Garamond" w:hAnsi="EB Garamond"/>
          <w:b w:val="1"/>
          <w:color w:val="000000"/>
          <w:sz w:val="36"/>
          <w:szCs w:val="36"/>
        </w:rPr>
      </w:pPr>
      <w:bookmarkStart w:colFirst="0" w:colLast="0" w:name="_7amnvzg69o3p" w:id="4"/>
      <w:bookmarkEnd w:id="4"/>
      <w:r w:rsidDel="00000000" w:rsidR="00000000" w:rsidRPr="00000000">
        <w:rPr>
          <w:rFonts w:ascii="EB Garamond" w:cs="EB Garamond" w:eastAsia="EB Garamond" w:hAnsi="EB Garamond"/>
          <w:b w:val="1"/>
          <w:color w:val="000000"/>
          <w:sz w:val="36"/>
          <w:szCs w:val="36"/>
          <w:rtl w:val="0"/>
        </w:rPr>
        <w:t xml:space="preserve">Data Source:</w:t>
      </w:r>
    </w:p>
    <w:p w:rsidR="00000000" w:rsidDel="00000000" w:rsidP="00000000" w:rsidRDefault="00000000" w:rsidRPr="00000000" w14:paraId="00000015">
      <w:pPr>
        <w:numPr>
          <w:ilvl w:val="0"/>
          <w:numId w:val="5"/>
        </w:numPr>
        <w:spacing w:after="0" w:afterAutospacing="0" w:before="24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b w:val="1"/>
          <w:sz w:val="32"/>
          <w:szCs w:val="32"/>
          <w:rtl w:val="0"/>
        </w:rPr>
        <w:t xml:space="preserve">Source:</w:t>
      </w:r>
      <w:r w:rsidDel="00000000" w:rsidR="00000000" w:rsidRPr="00000000">
        <w:rPr>
          <w:rFonts w:ascii="EB Garamond" w:cs="EB Garamond" w:eastAsia="EB Garamond" w:hAnsi="EB Garamond"/>
          <w:sz w:val="32"/>
          <w:szCs w:val="32"/>
          <w:rtl w:val="0"/>
        </w:rPr>
        <w:t xml:space="preserve"> Kaggle – </w:t>
      </w:r>
      <w:r w:rsidDel="00000000" w:rsidR="00000000" w:rsidRPr="00000000">
        <w:rPr>
          <w:rFonts w:ascii="EB Garamond" w:cs="EB Garamond" w:eastAsia="EB Garamond" w:hAnsi="EB Garamond"/>
          <w:i w:val="1"/>
          <w:sz w:val="32"/>
          <w:szCs w:val="32"/>
          <w:rtl w:val="0"/>
        </w:rPr>
        <w:t xml:space="preserve">Military Spending of Countries (1960–2019)</w:t>
      </w:r>
    </w:p>
    <w:p w:rsidR="00000000" w:rsidDel="00000000" w:rsidP="00000000" w:rsidRDefault="00000000" w:rsidRPr="00000000" w14:paraId="00000016">
      <w:pPr>
        <w:numPr>
          <w:ilvl w:val="0"/>
          <w:numId w:val="5"/>
        </w:numPr>
        <w:spacing w:after="0" w:afterAutospacing="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b w:val="1"/>
          <w:sz w:val="32"/>
          <w:szCs w:val="32"/>
          <w:rtl w:val="0"/>
        </w:rPr>
        <w:t xml:space="preserve">Original Format:</w:t>
      </w:r>
      <w:r w:rsidDel="00000000" w:rsidR="00000000" w:rsidRPr="00000000">
        <w:rPr>
          <w:rFonts w:ascii="EB Garamond" w:cs="EB Garamond" w:eastAsia="EB Garamond" w:hAnsi="EB Garamond"/>
          <w:sz w:val="32"/>
          <w:szCs w:val="32"/>
          <w:rtl w:val="0"/>
        </w:rPr>
        <w:t xml:space="preserve"> Wide format (109 rows × 59 columns)</w:t>
      </w:r>
    </w:p>
    <w:p w:rsidR="00000000" w:rsidDel="00000000" w:rsidP="00000000" w:rsidRDefault="00000000" w:rsidRPr="00000000" w14:paraId="00000017">
      <w:pPr>
        <w:numPr>
          <w:ilvl w:val="0"/>
          <w:numId w:val="5"/>
        </w:numPr>
        <w:spacing w:after="0" w:afterAutospacing="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b w:val="1"/>
          <w:sz w:val="32"/>
          <w:szCs w:val="32"/>
          <w:rtl w:val="0"/>
        </w:rPr>
        <w:t xml:space="preserve">Final Format:</w:t>
      </w:r>
      <w:r w:rsidDel="00000000" w:rsidR="00000000" w:rsidRPr="00000000">
        <w:rPr>
          <w:rFonts w:ascii="EB Garamond" w:cs="EB Garamond" w:eastAsia="EB Garamond" w:hAnsi="EB Garamond"/>
          <w:sz w:val="32"/>
          <w:szCs w:val="32"/>
          <w:rtl w:val="0"/>
        </w:rPr>
        <w:t xml:space="preserve"> Long format (6,373 rows × 5 columns)</w:t>
      </w:r>
    </w:p>
    <w:p w:rsidR="00000000" w:rsidDel="00000000" w:rsidP="00000000" w:rsidRDefault="00000000" w:rsidRPr="00000000" w14:paraId="00000018">
      <w:pPr>
        <w:numPr>
          <w:ilvl w:val="0"/>
          <w:numId w:val="5"/>
        </w:numPr>
        <w:spacing w:after="24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b w:val="1"/>
          <w:sz w:val="32"/>
          <w:szCs w:val="32"/>
          <w:rtl w:val="0"/>
        </w:rPr>
        <w:t xml:space="preserve">File Type:</w:t>
      </w:r>
      <w:r w:rsidDel="00000000" w:rsidR="00000000" w:rsidRPr="00000000">
        <w:rPr>
          <w:rFonts w:ascii="EB Garamond" w:cs="EB Garamond" w:eastAsia="EB Garamond" w:hAnsi="EB Garamond"/>
          <w:sz w:val="32"/>
          <w:szCs w:val="32"/>
          <w:rtl w:val="0"/>
        </w:rPr>
        <w:t xml:space="preserve"> </w:t>
      </w:r>
      <w:r w:rsidDel="00000000" w:rsidR="00000000" w:rsidRPr="00000000">
        <w:rPr>
          <w:rFonts w:ascii="Roboto Mono" w:cs="Roboto Mono" w:eastAsia="Roboto Mono" w:hAnsi="Roboto Mono"/>
          <w:color w:val="188038"/>
          <w:sz w:val="32"/>
          <w:szCs w:val="32"/>
          <w:rtl w:val="0"/>
        </w:rPr>
        <w:t xml:space="preserve">.xlsx</w:t>
        <w:br w:type="textWrapping"/>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EB Garamond" w:cs="EB Garamond" w:eastAsia="EB Garamond" w:hAnsi="EB Garamond"/>
          <w:b w:val="1"/>
          <w:color w:val="000000"/>
          <w:sz w:val="36"/>
          <w:szCs w:val="36"/>
        </w:rPr>
      </w:pPr>
      <w:bookmarkStart w:colFirst="0" w:colLast="0" w:name="_yptpa79lf0n8" w:id="5"/>
      <w:bookmarkEnd w:id="5"/>
      <w:r w:rsidDel="00000000" w:rsidR="00000000" w:rsidRPr="00000000">
        <w:rPr>
          <w:rFonts w:ascii="EB Garamond" w:cs="EB Garamond" w:eastAsia="EB Garamond" w:hAnsi="EB Garamond"/>
          <w:b w:val="1"/>
          <w:color w:val="000000"/>
          <w:sz w:val="36"/>
          <w:szCs w:val="36"/>
          <w:rtl w:val="0"/>
        </w:rPr>
        <w:t xml:space="preserve">Tools and Technologies:</w:t>
      </w:r>
    </w:p>
    <w:p w:rsidR="00000000" w:rsidDel="00000000" w:rsidP="00000000" w:rsidRDefault="00000000" w:rsidRPr="00000000" w14:paraId="0000001A">
      <w:pPr>
        <w:numPr>
          <w:ilvl w:val="0"/>
          <w:numId w:val="3"/>
        </w:numPr>
        <w:spacing w:after="0" w:afterAutospacing="0" w:before="24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b w:val="1"/>
          <w:sz w:val="32"/>
          <w:szCs w:val="32"/>
          <w:rtl w:val="0"/>
        </w:rPr>
        <w:t xml:space="preserve">Google Sheets</w:t>
      </w:r>
      <w:r w:rsidDel="00000000" w:rsidR="00000000" w:rsidRPr="00000000">
        <w:rPr>
          <w:rFonts w:ascii="EB Garamond" w:cs="EB Garamond" w:eastAsia="EB Garamond" w:hAnsi="EB Garamond"/>
          <w:sz w:val="32"/>
          <w:szCs w:val="32"/>
          <w:rtl w:val="0"/>
        </w:rPr>
        <w:t xml:space="preserve"> – Data wrangling and cleaning</w:t>
      </w:r>
    </w:p>
    <w:p w:rsidR="00000000" w:rsidDel="00000000" w:rsidP="00000000" w:rsidRDefault="00000000" w:rsidRPr="00000000" w14:paraId="0000001B">
      <w:pPr>
        <w:numPr>
          <w:ilvl w:val="0"/>
          <w:numId w:val="3"/>
        </w:numPr>
        <w:spacing w:after="0" w:afterAutospacing="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b w:val="1"/>
          <w:sz w:val="32"/>
          <w:szCs w:val="32"/>
          <w:rtl w:val="0"/>
        </w:rPr>
        <w:t xml:space="preserve">Google Docs</w:t>
      </w:r>
      <w:r w:rsidDel="00000000" w:rsidR="00000000" w:rsidRPr="00000000">
        <w:rPr>
          <w:rFonts w:ascii="EB Garamond" w:cs="EB Garamond" w:eastAsia="EB Garamond" w:hAnsi="EB Garamond"/>
          <w:sz w:val="32"/>
          <w:szCs w:val="32"/>
          <w:rtl w:val="0"/>
        </w:rPr>
        <w:t xml:space="preserve"> – Documentation and manual version tracking</w:t>
      </w:r>
    </w:p>
    <w:p w:rsidR="00000000" w:rsidDel="00000000" w:rsidP="00000000" w:rsidRDefault="00000000" w:rsidRPr="00000000" w14:paraId="0000001C">
      <w:pPr>
        <w:numPr>
          <w:ilvl w:val="0"/>
          <w:numId w:val="3"/>
        </w:numPr>
        <w:spacing w:after="0" w:afterAutospacing="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b w:val="1"/>
          <w:sz w:val="32"/>
          <w:szCs w:val="32"/>
          <w:rtl w:val="0"/>
        </w:rPr>
        <w:t xml:space="preserve">Tabulae (Tableau Public)</w:t>
      </w:r>
      <w:r w:rsidDel="00000000" w:rsidR="00000000" w:rsidRPr="00000000">
        <w:rPr>
          <w:rFonts w:ascii="EB Garamond" w:cs="EB Garamond" w:eastAsia="EB Garamond" w:hAnsi="EB Garamond"/>
          <w:sz w:val="32"/>
          <w:szCs w:val="32"/>
          <w:rtl w:val="0"/>
        </w:rPr>
        <w:t xml:space="preserve"> – Interactive visualizations and dashboards</w:t>
      </w:r>
    </w:p>
    <w:p w:rsidR="00000000" w:rsidDel="00000000" w:rsidP="00000000" w:rsidRDefault="00000000" w:rsidRPr="00000000" w14:paraId="0000001D">
      <w:pPr>
        <w:numPr>
          <w:ilvl w:val="0"/>
          <w:numId w:val="3"/>
        </w:numPr>
        <w:spacing w:after="24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b w:val="1"/>
          <w:sz w:val="32"/>
          <w:szCs w:val="32"/>
          <w:rtl w:val="0"/>
        </w:rPr>
        <w:t xml:space="preserve">GitHub</w:t>
      </w:r>
      <w:r w:rsidDel="00000000" w:rsidR="00000000" w:rsidRPr="00000000">
        <w:rPr>
          <w:rFonts w:ascii="EB Garamond" w:cs="EB Garamond" w:eastAsia="EB Garamond" w:hAnsi="EB Garamond"/>
          <w:sz w:val="32"/>
          <w:szCs w:val="32"/>
          <w:rtl w:val="0"/>
        </w:rPr>
        <w:t xml:space="preserve"> – Project hosting, version control, and collaboration</w:t>
        <w:br w:type="textWrapping"/>
      </w:r>
    </w:p>
    <w:p w:rsidR="00000000" w:rsidDel="00000000" w:rsidP="00000000" w:rsidRDefault="00000000" w:rsidRPr="00000000" w14:paraId="0000001E">
      <w:pPr>
        <w:pStyle w:val="Heading3"/>
        <w:keepNext w:val="0"/>
        <w:keepLines w:val="0"/>
        <w:spacing w:before="280" w:lineRule="auto"/>
        <w:rPr>
          <w:rFonts w:ascii="EB Garamond" w:cs="EB Garamond" w:eastAsia="EB Garamond" w:hAnsi="EB Garamond"/>
          <w:b w:val="1"/>
          <w:color w:val="000000"/>
          <w:sz w:val="36"/>
          <w:szCs w:val="36"/>
        </w:rPr>
      </w:pPr>
      <w:bookmarkStart w:colFirst="0" w:colLast="0" w:name="_7a1o54dvtfn3" w:id="6"/>
      <w:bookmarkEnd w:id="6"/>
      <w:r w:rsidDel="00000000" w:rsidR="00000000" w:rsidRPr="00000000">
        <w:rPr>
          <w:rFonts w:ascii="EB Garamond" w:cs="EB Garamond" w:eastAsia="EB Garamond" w:hAnsi="EB Garamond"/>
          <w:b w:val="1"/>
          <w:color w:val="000000"/>
          <w:sz w:val="36"/>
          <w:szCs w:val="36"/>
          <w:rtl w:val="0"/>
        </w:rPr>
        <w:t xml:space="preserve">Methodology Summary:</w:t>
      </w:r>
    </w:p>
    <w:p w:rsidR="00000000" w:rsidDel="00000000" w:rsidP="00000000" w:rsidRDefault="00000000" w:rsidRPr="00000000" w14:paraId="0000001F">
      <w:pPr>
        <w:numPr>
          <w:ilvl w:val="0"/>
          <w:numId w:val="6"/>
        </w:numPr>
        <w:spacing w:after="0" w:afterAutospacing="0" w:before="24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Addressed missing values using row-level missing percentage and filled gaps with average expenditure values (per country).</w:t>
      </w:r>
    </w:p>
    <w:p w:rsidR="00000000" w:rsidDel="00000000" w:rsidP="00000000" w:rsidRDefault="00000000" w:rsidRPr="00000000" w14:paraId="00000020">
      <w:pPr>
        <w:numPr>
          <w:ilvl w:val="0"/>
          <w:numId w:val="6"/>
        </w:numPr>
        <w:spacing w:after="0" w:afterAutospacing="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Conducted EDA separately for countries and years, supported by statistical summaries and charts.</w:t>
      </w:r>
    </w:p>
    <w:p w:rsidR="00000000" w:rsidDel="00000000" w:rsidP="00000000" w:rsidRDefault="00000000" w:rsidRPr="00000000" w14:paraId="00000021">
      <w:pPr>
        <w:numPr>
          <w:ilvl w:val="0"/>
          <w:numId w:val="6"/>
        </w:numPr>
        <w:spacing w:after="0" w:afterAutospacing="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Converted dataset to long format for advanced visual analysis.</w:t>
      </w:r>
    </w:p>
    <w:p w:rsidR="00000000" w:rsidDel="00000000" w:rsidP="00000000" w:rsidRDefault="00000000" w:rsidRPr="00000000" w14:paraId="00000022">
      <w:pPr>
        <w:numPr>
          <w:ilvl w:val="0"/>
          <w:numId w:val="6"/>
        </w:numPr>
        <w:spacing w:after="240" w:before="0" w:beforeAutospacing="0" w:lineRule="auto"/>
        <w:ind w:left="720" w:hanging="360"/>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Explored decade-wise trends and global spending shifts</w:t>
      </w:r>
    </w:p>
    <w:p w:rsidR="00000000" w:rsidDel="00000000" w:rsidP="00000000" w:rsidRDefault="00000000" w:rsidRPr="00000000" w14:paraId="00000023">
      <w:pPr>
        <w:spacing w:after="240" w:before="240" w:lineRule="auto"/>
        <w:ind w:left="0" w:firstLine="0"/>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0" w:firstLine="0"/>
        <w:rPr>
          <w:rFonts w:ascii="EB Garamond" w:cs="EB Garamond" w:eastAsia="EB Garamond" w:hAnsi="EB Garamond"/>
          <w:b w:val="1"/>
          <w:color w:val="000000"/>
          <w:sz w:val="34"/>
          <w:szCs w:val="34"/>
        </w:rPr>
      </w:pPr>
      <w:bookmarkStart w:colFirst="0" w:colLast="0" w:name="_657st2p3548x" w:id="7"/>
      <w:bookmarkEnd w:id="7"/>
      <w:r w:rsidDel="00000000" w:rsidR="00000000" w:rsidRPr="00000000">
        <w:rPr>
          <w:rFonts w:ascii="EB Garamond" w:cs="EB Garamond" w:eastAsia="EB Garamond" w:hAnsi="EB Garamond"/>
          <w:b w:val="1"/>
          <w:color w:val="000000"/>
          <w:sz w:val="34"/>
          <w:szCs w:val="34"/>
          <w:rtl w:val="0"/>
        </w:rPr>
        <w:t xml:space="preserve">Project Role and Responsibilities:</w:t>
      </w:r>
    </w:p>
    <w:p w:rsidR="00000000" w:rsidDel="00000000" w:rsidP="00000000" w:rsidRDefault="00000000" w:rsidRPr="00000000" w14:paraId="00000025">
      <w:pPr>
        <w:numPr>
          <w:ilvl w:val="0"/>
          <w:numId w:val="1"/>
        </w:numPr>
        <w:spacing w:after="240" w:before="240" w:lineRule="auto"/>
        <w:ind w:left="720" w:hanging="360"/>
        <w:rPr>
          <w:sz w:val="32"/>
          <w:szCs w:val="32"/>
        </w:rPr>
      </w:pPr>
      <w:r w:rsidDel="00000000" w:rsidR="00000000" w:rsidRPr="00000000">
        <w:rPr>
          <w:rFonts w:ascii="EB Garamond" w:cs="EB Garamond" w:eastAsia="EB Garamond" w:hAnsi="EB Garamond"/>
          <w:b w:val="1"/>
          <w:sz w:val="32"/>
          <w:szCs w:val="32"/>
          <w:rtl w:val="0"/>
        </w:rPr>
        <w:t xml:space="preserve">Analyst:</w:t>
      </w:r>
      <w:r w:rsidDel="00000000" w:rsidR="00000000" w:rsidRPr="00000000">
        <w:rPr>
          <w:rFonts w:ascii="EB Garamond" w:cs="EB Garamond" w:eastAsia="EB Garamond" w:hAnsi="EB Garamond"/>
          <w:sz w:val="32"/>
          <w:szCs w:val="32"/>
          <w:rtl w:val="0"/>
        </w:rPr>
        <w:t xml:space="preserve"> </w:t>
      </w:r>
      <w:r w:rsidDel="00000000" w:rsidR="00000000" w:rsidRPr="00000000">
        <w:rPr>
          <w:rFonts w:ascii="EB Garamond" w:cs="EB Garamond" w:eastAsia="EB Garamond" w:hAnsi="EB Garamond"/>
          <w:i w:val="1"/>
          <w:sz w:val="32"/>
          <w:szCs w:val="32"/>
          <w:rtl w:val="0"/>
        </w:rPr>
        <w:t xml:space="preserve">Hadisa Fatima Syed</w:t>
        <w:br w:type="textWrapping"/>
      </w:r>
      <w:r w:rsidDel="00000000" w:rsidR="00000000" w:rsidRPr="00000000">
        <w:rPr>
          <w:rFonts w:ascii="EB Garamond" w:cs="EB Garamond" w:eastAsia="EB Garamond" w:hAnsi="EB Garamond"/>
          <w:sz w:val="32"/>
          <w:szCs w:val="32"/>
          <w:rtl w:val="0"/>
        </w:rPr>
        <w:t xml:space="preserve"> </w:t>
      </w:r>
      <w:r w:rsidDel="00000000" w:rsidR="00000000" w:rsidRPr="00000000">
        <w:rPr>
          <w:rFonts w:ascii="EB Garamond" w:cs="EB Garamond" w:eastAsia="EB Garamond" w:hAnsi="EB Garamond"/>
          <w:b w:val="1"/>
          <w:sz w:val="32"/>
          <w:szCs w:val="32"/>
          <w:rtl w:val="0"/>
        </w:rPr>
        <w:t xml:space="preserve">Responsibilities:</w:t>
      </w:r>
      <w:r w:rsidDel="00000000" w:rsidR="00000000" w:rsidRPr="00000000">
        <w:rPr>
          <w:rFonts w:ascii="EB Garamond" w:cs="EB Garamond" w:eastAsia="EB Garamond" w:hAnsi="EB Garamond"/>
          <w:sz w:val="32"/>
          <w:szCs w:val="32"/>
          <w:rtl w:val="0"/>
        </w:rPr>
        <w:t xml:space="preserve"> Data wrangling, EDA, insight generation, visualization, documentation, and reporting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