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360" w:after="360"/>
        <w:jc w:val="center"/>
      </w:pPr>
      <w:r>
        <w:rPr>
          <w:rFonts w:ascii="Arial" w:hAnsi="Arial" w:eastAsia="Arial Unicode MS"/>
          <w:b/>
          <w:color w:val="000000"/>
          <w:sz w:val="50"/>
        </w:rPr>
        <w:t>SLC 日内交易策略底层逻辑设计说明</w:t>
      </w:r>
    </w:p>
    <w:p>
      <w:pPr>
        <w:pStyle w:val="Subtitle"/>
        <w:spacing w:after="640"/>
        <w:jc w:val="center"/>
      </w:pPr>
      <w:r>
        <w:rPr>
          <w:rFonts w:ascii="Arial" w:hAnsi="Arial" w:eastAsia="Arial Unicode MS"/>
          <w:color w:val="000000"/>
          <w:sz w:val="28"/>
        </w:rPr>
        <w:t>基于 NautilusTrader 与 Longbridge 的多标的实盘实现</w:t>
      </w:r>
    </w:p>
    <w:p>
      <w:pPr>
        <w:keepNext w:val="0"/>
        <w:widowControl/>
        <w:spacing w:before="0" w:after="320" w:line="360" w:lineRule="auto"/>
        <w:ind w:left="1037" w:right="1037"/>
        <w:jc w:val="left"/>
      </w:pPr>
      <w:r>
        <w:rPr>
          <w:rFonts w:ascii="Arial" w:hAnsi="Arial" w:eastAsia="Arial Unicode MS"/>
          <w:color w:val="000000"/>
          <w:sz w:val="23"/>
        </w:rPr>
        <w:t>本说明围绕当前 Rust 策略脚本，解释 SLC 的结构、区域和确认如何被转换成可计算规则，以及订单、风险与故障处理为什么这样设计。核心结论是：SLC 通过逐层过滤减少低质量交易，但它不能保证盈利；实盘可靠性取决于信号质量、成交条件和风险上限共同生效。</w:t>
      </w:r>
    </w:p>
    <w:p>
      <w:pPr>
        <w:keepNext w:val="0"/>
        <w:widowControl/>
        <w:spacing w:before="960" w:after="0" w:line="300" w:lineRule="auto"/>
        <w:jc w:val="center"/>
      </w:pPr>
      <w:r>
        <w:rPr>
          <w:rFonts w:ascii="Arial" w:hAnsi="Arial" w:eastAsia="Arial Unicode MS"/>
          <w:color w:val="666666"/>
          <w:sz w:val="19"/>
        </w:rPr>
        <w:t>实现基线  2026 年 9 月  ·  适用市场  Longbridge 美国股票</w:t>
      </w:r>
    </w:p>
    <w:p>
      <w:r>
        <w:br w:type="page"/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策略定位与核心结论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SLC 是 Structure Level Confirmation 的缩写。它不是用单一指标预测下一根 K 线，而是把一次交易拆成三个依赖关系明确的问题：当前市场是否有方向，价格是否到达值得观察的位置，以及该位置是否出现动能回归。只有三个条件按顺序成立，策略才允许进入执行层。</w:t>
      </w:r>
    </w:p>
    <w:p>
      <w:pPr>
        <w:keepNext w:val="0"/>
        <w:widowControl/>
        <w:spacing w:before="160" w:after="240" w:line="300" w:lineRule="auto"/>
        <w:jc w:val="center"/>
      </w:pPr>
      <w:r>
        <w:rPr>
          <w:rFonts w:ascii="Arial" w:hAnsi="Arial" w:eastAsia="Arial Unicode MS"/>
          <w:b/>
          <w:color w:val="16324F"/>
          <w:sz w:val="21"/>
        </w:rPr>
        <w:t>四小时结构</w:t>
      </w:r>
      <w:r>
        <w:rPr>
          <w:rFonts w:ascii="Arial" w:hAnsi="Arial" w:eastAsia="Arial Unicode MS"/>
          <w:b/>
          <w:color w:val="2D5F8B"/>
          <w:sz w:val="22"/>
        </w:rPr>
        <w:t xml:space="preserve">  →  </w:t>
      </w:r>
      <w:r>
        <w:rPr>
          <w:rFonts w:ascii="Arial" w:hAnsi="Arial" w:eastAsia="Arial Unicode MS"/>
          <w:b/>
          <w:color w:val="16324F"/>
          <w:sz w:val="21"/>
        </w:rPr>
        <w:t>五分钟区域</w:t>
      </w:r>
      <w:r>
        <w:rPr>
          <w:rFonts w:ascii="Arial" w:hAnsi="Arial" w:eastAsia="Arial Unicode MS"/>
          <w:b/>
          <w:color w:val="2D5F8B"/>
          <w:sz w:val="22"/>
        </w:rPr>
        <w:t xml:space="preserve">  →  </w:t>
      </w:r>
      <w:r>
        <w:rPr>
          <w:rFonts w:ascii="Arial" w:hAnsi="Arial" w:eastAsia="Arial Unicode MS"/>
          <w:b/>
          <w:color w:val="16324F"/>
          <w:sz w:val="21"/>
        </w:rPr>
        <w:t>随机指标确认</w:t>
      </w:r>
      <w:r>
        <w:rPr>
          <w:rFonts w:ascii="Arial" w:hAnsi="Arial" w:eastAsia="Arial Unicode MS"/>
          <w:b/>
          <w:color w:val="2D5F8B"/>
          <w:sz w:val="22"/>
        </w:rPr>
        <w:t xml:space="preserve">  →  </w:t>
      </w:r>
      <w:r>
        <w:rPr>
          <w:rFonts w:ascii="Arial" w:hAnsi="Arial" w:eastAsia="Arial Unicode MS"/>
          <w:b/>
          <w:color w:val="16324F"/>
          <w:sz w:val="21"/>
        </w:rPr>
        <w:t>共享风险预留</w:t>
      </w:r>
      <w:r>
        <w:rPr>
          <w:rFonts w:ascii="Arial" w:hAnsi="Arial" w:eastAsia="Arial Unicode MS"/>
          <w:b/>
          <w:color w:val="2D5F8B"/>
          <w:sz w:val="22"/>
        </w:rPr>
        <w:t xml:space="preserve">  →  </w:t>
      </w:r>
      <w:r>
        <w:rPr>
          <w:rFonts w:ascii="Arial" w:hAnsi="Arial" w:eastAsia="Arial Unicode MS"/>
          <w:b/>
          <w:color w:val="16324F"/>
          <w:sz w:val="21"/>
        </w:rPr>
        <w:t>限价进场</w:t>
      </w:r>
      <w:r>
        <w:rPr>
          <w:rFonts w:ascii="Arial" w:hAnsi="Arial" w:eastAsia="Arial Unicode MS"/>
          <w:b/>
          <w:color w:val="2D5F8B"/>
          <w:sz w:val="22"/>
        </w:rPr>
        <w:t xml:space="preserve">  →  </w:t>
      </w:r>
      <w:r>
        <w:rPr>
          <w:rFonts w:ascii="Arial" w:hAnsi="Arial" w:eastAsia="Arial Unicode MS"/>
          <w:b/>
          <w:color w:val="16324F"/>
          <w:sz w:val="21"/>
        </w:rPr>
        <w:t>止损与二倍目标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当前实现使用四小时 K 线识别结构，使用五分钟 K 线形成供需区域并完成确认。每个标的由独立策略实例管理，多个实例共享一份持久化风险账本。这样既隔离单标的状态，也能阻止多个标的同时突破账户风险上限。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1123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952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回答的问题</w:t>
            </w:r>
          </w:p>
        </w:tc>
        <w:tc>
          <w:tcPr>
            <w:tcW w:type="dxa" w:w="2995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通过条件</w:t>
            </w:r>
          </w:p>
        </w:tc>
        <w:tc>
          <w:tcPr>
            <w:tcW w:type="dxa" w:w="2520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失败后的动作</w:t>
            </w:r>
          </w:p>
        </w:tc>
      </w:tr>
      <w:tr>
        <w:trPr>
          <w:cantSplit w:val="true"/>
        </w:trPr>
        <w:tc>
          <w:tcPr>
            <w:tcW w:type="dxa" w:w="1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结构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市场当前偏多、偏空还是无方向</w:t>
            </w:r>
          </w:p>
        </w:tc>
        <w:tc>
          <w:tcPr>
            <w:tcW w:type="dxa" w:w="29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确认高点与低点同向演化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中性结构不交易</w:t>
            </w:r>
          </w:p>
        </w:tc>
      </w:tr>
      <w:tr>
        <w:trPr>
          <w:cantSplit w:val="true"/>
        </w:trPr>
        <w:tc>
          <w:tcPr>
            <w:tcW w:type="dxa" w:w="1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区域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价格是否回到曾出现主动买卖的位置</w:t>
            </w:r>
          </w:p>
        </w:tc>
        <w:tc>
          <w:tcPr>
            <w:tcW w:type="dxa" w:w="29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触及有效需求区或供给区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继续等待或区域失效</w:t>
            </w:r>
          </w:p>
        </w:tc>
      </w:tr>
      <w:tr>
        <w:trPr>
          <w:cantSplit w:val="true"/>
        </w:trPr>
        <w:tc>
          <w:tcPr>
            <w:tcW w:type="dxa" w:w="1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确认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区域内是否出现过度延伸后的回归</w:t>
            </w:r>
          </w:p>
        </w:tc>
        <w:tc>
          <w:tcPr>
            <w:tcW w:type="dxa" w:w="29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随机指标先进入极值区再穿回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窗口到期后删除区域</w:t>
            </w:r>
          </w:p>
        </w:tc>
      </w:tr>
      <w:tr>
        <w:trPr>
          <w:cantSplit w:val="true"/>
        </w:trPr>
        <w:tc>
          <w:tcPr>
            <w:tcW w:type="dxa" w:w="1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执行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订单是否能在风险预算内成交并受保护</w:t>
            </w:r>
          </w:p>
        </w:tc>
        <w:tc>
          <w:tcPr>
            <w:tcW w:type="dxa" w:w="299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共享额度、数量和价格均通过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拒绝进场或启动退出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从原始理念到代码规则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原始 SLC 方法强调顺势、强区域和确认，但这些词对程序并不精确。当前脚本给每个概念增加了可验证定义。这样做牺牲了一部分人工看盘的灵活性，换来同一数据输入下可重复的决策。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原始概念</w:t>
            </w:r>
          </w:p>
        </w:tc>
        <w:tc>
          <w:tcPr>
            <w:tcW w:type="dxa" w:w="4608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当前实现</w:t>
            </w:r>
          </w:p>
        </w:tc>
        <w:tc>
          <w:tcPr>
            <w:tcW w:type="dxa" w:w="3168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设计含义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高周期趋势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四小时确认枢轴形成更高高点和更高低点，或更低高点和更低低点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只有明确趋势放行对应方向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强供需区域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反向基础 K 线后出现 ATR 尺度的位移 K 线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用波动率适配不同标的和价格区间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Broken Level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一次突破、完整收复、再次回测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保留一次角色转换机会，多次穿越视为噪声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随机指标确认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K 值进入 20 或 80 极值区后再穿回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确认过度延伸正在缓解，不使用 K 与 D 的交叉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二倍盈亏比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按实际平均成交价与止损距离计算目标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避免用信号收盘价低估真实风险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数据与时间模型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策略只消费 Longbridge 外部聚合的 LAST K 线。四小时数据负责慢速结构，五分钟数据负责区域、随机指标、信号与目标触发。历史预热默认请求 500 根五分钟 K 线和 100 根四小时 K 线，用于初始化 ATR、随机指标和确认枢轴。历史数据必须数量完整、时间去重且最近一根不能早于七天。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Longbridge 会持续推送当前尚未结束的 K 线。脚本使用 FinalBarBuffer 保存同一时间戳的最新版本，只有看到下一根 K 线开始后，才把上一根视为完成。启动时还会压制历史预热与实时流边界上的第一个信号，避免把预热末尾的旧 K 线误当作新机会。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常规交易时段按纽约时间 09:30 至 16:00 处理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默认入场窗口为 09:35 至 15:30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默认在收盘前 5 分钟停止新交易并清理暴露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运行期五分钟时间戳不连续时，当日禁止继续入场；已有暴露进入退出流程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这套时间模型保证信号使用完成 K 线，但也引入天然延迟。五分钟信号最早在下一根 K 线开始时才能被确认，目标触发也只在完成 K 线后处理。</w:t>
      </w:r>
    </w:p>
    <w:p>
      <w:r>
        <w:br w:type="page"/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结构层决定交易方向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四小时结构采用对称枢轴。默认 pivot span 为 2，因此一个候选高点必须高于左右各两根四小时 K 线，候选低点也必须低于左右各两根 K 线。右侧 K 线尚未出现前，枢轴不会确认，这避免使用未来数据，但结构变化会滞后。</w:t>
      </w:r>
    </w:p>
    <w:p>
      <w:pPr>
        <w:keepNext w:val="0"/>
        <w:widowControl/>
        <w:spacing w:before="60" w:after="160" w:line="276" w:lineRule="auto"/>
        <w:jc w:val="center"/>
      </w:pPr>
      <w:r>
        <w:rPr>
          <w:rFonts w:ascii="Arial" w:hAnsi="Arial" w:eastAsia="Menlo"/>
          <w:color w:val="16324F"/>
          <w:sz w:val="20"/>
        </w:rPr>
        <w:t>上升结构  H₂ &gt; H₁  且  L₂ &gt; L₁</w:t>
      </w:r>
    </w:p>
    <w:p>
      <w:pPr>
        <w:keepNext w:val="0"/>
        <w:widowControl/>
        <w:spacing w:before="60" w:after="160" w:line="276" w:lineRule="auto"/>
        <w:jc w:val="center"/>
      </w:pPr>
      <w:r>
        <w:rPr>
          <w:rFonts w:ascii="Arial" w:hAnsi="Arial" w:eastAsia="Menlo"/>
          <w:color w:val="16324F"/>
          <w:sz w:val="20"/>
        </w:rPr>
        <w:t>下降结构  H₂ &lt; H₁  且  L₂ &lt; L₁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当高点和低点不能同时支持同一方向时，结构为 Neutral。上升结构只允许需求区多头信号，下降结构只允许供给区空头信号，中性结构全部拦截。结构层的作用不是寻找精确入场点，而是减少逆势交易。</w:t>
      </w:r>
    </w:p>
    <w:p>
      <w:pPr>
        <w:pStyle w:val="Heading2"/>
        <w:keepNext/>
        <w:widowControl/>
        <w:spacing w:before="180" w:after="80" w:line="283" w:lineRule="auto"/>
      </w:pPr>
      <w:r>
        <w:rPr>
          <w:rFonts w:ascii="Arial" w:hAnsi="Arial" w:eastAsia="Arial Unicode MS"/>
          <w:b/>
          <w:color w:val="000000"/>
          <w:sz w:val="25"/>
        </w:rPr>
        <w:t>结构规则的边界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严格比较意味着相等高点或相等低点不会形成趋势。默认 span 也意味着一次四小时结构确认至少需要右侧两根 K 线，约八小时后才完整确认。因此该层适合方向过滤，不适合捕捉趋势刚开始的最早位置。</w:t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区域层寻找可交易位置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区域来自位移前的最后一根反向五分钟 K 线。需求区要求先出现阴线基础 K，随后出现强阳线；供给区要求先出现阳线基础 K，随后出现强阴线。区域上下边界使用基础 K 的完整最高价和最低价。</w:t>
      </w:r>
    </w:p>
    <w:p>
      <w:pPr>
        <w:keepNext w:val="0"/>
        <w:widowControl/>
        <w:spacing w:before="60" w:after="160" w:line="276" w:lineRule="auto"/>
        <w:jc w:val="center"/>
      </w:pPr>
      <w:r>
        <w:rPr>
          <w:rFonts w:ascii="Arial" w:hAnsi="Arial" w:eastAsia="Menlo"/>
          <w:color w:val="16324F"/>
          <w:sz w:val="20"/>
        </w:rPr>
        <w:t>位移实体  ≥  前一时刻 ATR × displacement_atr_multiple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默认位移倍数为 1.5。强阳线的收盘价必须位于整根 K 线顶部 25% 范围内，强阴线的收盘价必须位于底部 25% 范围内。实体大小证明价格离开区域的速度，收盘位置减少长影线造成的假位移。ATR 使用位移 K 线更新前的值，避免当前大波动反过来抬高自己的判定门槛。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每个方向默认最多保留三个区域，新区域加入时淘汰最旧区域。区域默认存活 78 根五分钟 K 线，约等于一个完整常规交易日。区域可以在任何结构下形成，但只有与当前四小时结构方向一致时才可能触发交易。</w:t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Broken Level 状态机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区域不是一触碰就永久有效。脚本为每个区域维护状态，既支持未触碰区域，也支持原始方法中的一次突破后收复场景。判断突破使用收盘价穿过区域远端，影线单独越界不算有效突破。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096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2088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下一状态</w:t>
            </w:r>
          </w:p>
        </w:tc>
        <w:tc>
          <w:tcPr>
            <w:tcW w:type="dxa" w:w="2520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交易含义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Fresh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价格触及区域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AwaitingConfirmation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开始等待随机指标确认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Fresh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收盘穿过区域远端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BrokenOnce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记录第一次有效突破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BrokenOnce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价格仍停留在突破侧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BrokenOnce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不重复累计突破次数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BrokenOnce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收盘完整穿回区域另一侧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Reclaimed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确认区域已被收复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Reclaimed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价格再次回测区域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AwaitingConfirmation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角色转换后等待确认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Reclaimed 或确认中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再次收盘突破远端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Remove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多次穿越视为震荡并删除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AwaitingConfirmation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窗口耗尽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Remove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触及后没有及时确认，机会失效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需求区和供给区使用完全对称的状态机。供给区第一次向上突破后，必须收盘到区域下方，再从下方回测；需求区第一次向下突破后，必须收盘到区域上方，再从上方回测。第二次有效突破会直接删除区域。</w:t>
      </w:r>
    </w:p>
    <w:p>
      <w:r>
        <w:br w:type="page"/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确认层等待动能回归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确认指标为 Stochastics，默认参数为 5 3 3。当前实现只读取平滑后的 K 值，不要求 K 线与 D 线交叉。触及区域后，确认窗口默认持续三根五分钟 K 线。窗口内必须先看到 K 值进入极值区，再看到 K 值穿回阈值。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 w:val="true"/>
        </w:trPr>
        <w:tc>
          <w:tcPr>
            <w:tcW w:type="dxa" w:w="1080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512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2088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极值条件</w:t>
            </w:r>
          </w:p>
        </w:tc>
        <w:tc>
          <w:tcPr>
            <w:tcW w:type="dxa" w:w="3384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回归条件</w:t>
            </w:r>
          </w:p>
        </w:tc>
        <w:tc>
          <w:tcPr>
            <w:tcW w:type="dxa" w:w="1512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结构门槛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多头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需求区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K ≤ 20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前值 ≤ 20 且当前 K &gt; 20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四小时 Up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空头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供给区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K ≥ 80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前值 ≥ 80 且当前 K &lt; 80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四小时 Down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极值可以出现在触及区域的同一根 K 线上，也可以出现在确认窗口内的后续 K 线上；回归必须发生在极值之后。若指标已经在区域外完成极值和回归，之后才触及区域，脚本不会把这个旧回归当成确认。</w:t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信号门控与完整触发链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区域状态机可能产生候选信号，但候选信号还要通过运行条件。任何一个门槛不满足，策略都不会下单。完整链路如下。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1.  四小时结构已经形成两个确认高点和两个确认低点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2.  ATR 与随机指标已经完成预热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3.  五分钟 K 线连续且位于常规交易时段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4.  当前时间位于有效入场窗口内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5.  区域与四小时方向一致，并完成触及或一次突破后的收复回测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6.  随机指标在确认窗口内先进入极值区，再穿回阈值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7.  本标的没有持仓、活动订单、退出流程或故障状态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8.  共享账户风险和本标的每日交易次数仍有余量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门控顺序的价值在于把信号、执行和风险分开。结构与区域决定是否值得交易，确认决定何时交易，账户账本决定是否允许承担这笔风险。即使图形完全符合 SLC，只要账户层拒绝，策略仍会放弃进场。</w:t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订单执行与仓位计算</w:t>
      </w:r>
    </w:p>
    <w:p>
      <w:pPr>
        <w:pStyle w:val="Heading2"/>
        <w:keepNext/>
        <w:widowControl/>
        <w:spacing w:before="180" w:after="80" w:line="283" w:lineRule="auto"/>
      </w:pPr>
      <w:r>
        <w:rPr>
          <w:rFonts w:ascii="Arial" w:hAnsi="Arial" w:eastAsia="Arial Unicode MS"/>
          <w:b/>
          <w:color w:val="000000"/>
          <w:sz w:val="25"/>
        </w:rPr>
        <w:t>进场价格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策略不使用无限滑点的市价单。候选信号出现后，会按信号收盘价加减最多五个最小价格变动单位，形成可成交限价。多头限价高于信号价，空头限价低于信号价。订单最多保留到下一根完成的五分钟 K 线，剩余未成交数量随后取消。</w:t>
      </w:r>
    </w:p>
    <w:p>
      <w:pPr>
        <w:keepNext w:val="0"/>
        <w:widowControl/>
        <w:spacing w:before="60" w:after="160" w:line="276" w:lineRule="auto"/>
        <w:jc w:val="center"/>
      </w:pPr>
      <w:r>
        <w:rPr>
          <w:rFonts w:ascii="Arial" w:hAnsi="Arial" w:eastAsia="Menlo"/>
          <w:color w:val="16324F"/>
          <w:sz w:val="20"/>
        </w:rPr>
        <w:t>多头进场上限 = 信号收盘价 + 最小变动单位 × 最大滑点 ticks</w:t>
      </w:r>
    </w:p>
    <w:p>
      <w:pPr>
        <w:keepNext w:val="0"/>
        <w:widowControl/>
        <w:spacing w:before="60" w:after="160" w:line="276" w:lineRule="auto"/>
        <w:jc w:val="center"/>
      </w:pPr>
      <w:r>
        <w:rPr>
          <w:rFonts w:ascii="Arial" w:hAnsi="Arial" w:eastAsia="Menlo"/>
          <w:color w:val="16324F"/>
          <w:sz w:val="20"/>
        </w:rPr>
        <w:t>空头进场下限 = 信号收盘价 - 最小变动单位 × 最大滑点 ticks</w:t>
      </w:r>
    </w:p>
    <w:p>
      <w:pPr>
        <w:pStyle w:val="Heading2"/>
        <w:keepNext/>
        <w:widowControl/>
        <w:spacing w:before="180" w:after="80" w:line="283" w:lineRule="auto"/>
      </w:pPr>
      <w:r>
        <w:rPr>
          <w:rFonts w:ascii="Arial" w:hAnsi="Arial" w:eastAsia="Arial Unicode MS"/>
          <w:b/>
          <w:color w:val="000000"/>
          <w:sz w:val="25"/>
        </w:rPr>
        <w:t>止损与仓位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多头止损位于需求区最低价下方，空头止损位于供给区最高价上方。默认缓冲为一个最小价格变动单位。仓位按最坏允许成交价计算，因此只要成交价格没有突破限价，实际单笔初始风险不会高于预留风险。</w:t>
      </w:r>
    </w:p>
    <w:p>
      <w:pPr>
        <w:keepNext w:val="0"/>
        <w:widowControl/>
        <w:spacing w:before="60" w:after="160" w:line="276" w:lineRule="auto"/>
        <w:jc w:val="center"/>
      </w:pPr>
      <w:r>
        <w:rPr>
          <w:rFonts w:ascii="Arial" w:hAnsi="Arial" w:eastAsia="Menlo"/>
          <w:color w:val="16324F"/>
          <w:sz w:val="20"/>
        </w:rPr>
        <w:t>每股风险 = |最坏进场价 − 止损价|</w:t>
      </w:r>
    </w:p>
    <w:p>
      <w:pPr>
        <w:keepNext w:val="0"/>
        <w:widowControl/>
        <w:spacing w:before="60" w:after="160" w:line="276" w:lineRule="auto"/>
        <w:jc w:val="center"/>
      </w:pPr>
      <w:r>
        <w:rPr>
          <w:rFonts w:ascii="Arial" w:hAnsi="Arial" w:eastAsia="Menlo"/>
          <w:color w:val="16324F"/>
          <w:sz w:val="20"/>
        </w:rPr>
        <w:t>风险仓位 = floor((单笔风险预算 ÷ 每股风险) ÷ 每手数量) × 每手数量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风险仓位还会受到最大订单数量限制。若取整后低于一手，策略放弃信号。价格、数量、名义金额和风险账本使用 Decimal 或 NautilusTrader 的精确领域类型，避免货币计算依赖二进制浮点数。</w:t>
      </w:r>
    </w:p>
    <w:p>
      <w:pPr>
        <w:pStyle w:val="Heading2"/>
        <w:keepNext/>
        <w:widowControl/>
        <w:spacing w:before="180" w:after="80" w:line="283" w:lineRule="auto"/>
      </w:pPr>
      <w:r>
        <w:rPr>
          <w:rFonts w:ascii="Arial" w:hAnsi="Arial" w:eastAsia="Arial Unicode MS"/>
          <w:b/>
          <w:color w:val="000000"/>
          <w:sz w:val="25"/>
        </w:rPr>
        <w:t>部分成交保护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限价单可能分多次成交。每次收到 OrderFilled，脚本立即为本次成交数量提交一个 Market If Touched 止损，并累计成交数量、受保护数量和成交名义金额。只有保护数量等于累计成交数量时，内部状态才接受该更新。未成交余量仍会在下一根完成 K 线后取消。</w:t>
      </w:r>
    </w:p>
    <w:p>
      <w:pPr>
        <w:pStyle w:val="Heading2"/>
        <w:keepNext/>
        <w:widowControl/>
        <w:spacing w:before="180" w:after="80" w:line="283" w:lineRule="auto"/>
      </w:pPr>
      <w:r>
        <w:rPr>
          <w:rFonts w:ascii="Arial" w:hAnsi="Arial" w:eastAsia="Arial Unicode MS"/>
          <w:b/>
          <w:color w:val="000000"/>
          <w:sz w:val="25"/>
        </w:rPr>
        <w:t>二倍目标与退出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目标价按累计实际成交的加权平均价计算，而不是按信号收盘价计算。多头目标向上对齐最小价格变动单位，空头目标向下对齐。</w:t>
      </w:r>
    </w:p>
    <w:p>
      <w:pPr>
        <w:keepNext w:val="0"/>
        <w:widowControl/>
        <w:spacing w:before="60" w:after="160" w:line="276" w:lineRule="auto"/>
        <w:jc w:val="center"/>
      </w:pPr>
      <w:r>
        <w:rPr>
          <w:rFonts w:ascii="Arial" w:hAnsi="Arial" w:eastAsia="Menlo"/>
          <w:color w:val="16324F"/>
          <w:sz w:val="20"/>
        </w:rPr>
        <w:t>多头目标 = 平均成交价 + (平均成交价 − 止损价) × R</w:t>
      </w:r>
    </w:p>
    <w:p>
      <w:pPr>
        <w:keepNext w:val="0"/>
        <w:widowControl/>
        <w:spacing w:before="60" w:after="160" w:line="276" w:lineRule="auto"/>
        <w:jc w:val="center"/>
      </w:pPr>
      <w:r>
        <w:rPr>
          <w:rFonts w:ascii="Arial" w:hAnsi="Arial" w:eastAsia="Menlo"/>
          <w:color w:val="16324F"/>
          <w:sz w:val="20"/>
        </w:rPr>
        <w:t>空头目标 = 平均成交价 − (止损价 − 平均成交价) × R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默认 R 为 2。目标不是挂在经纪商端的 OCO 止盈单，而是由策略在完成五分钟 K 线的最高价或最低价触及目标后启动退出。退出先取消剩余进场单和保护止损，确认订单全部关闭后再提交平仓市价单。这样避免 Longbridge 不支持安全 reduce only 或原生 OCO 时出现反向持仓，但进程中断会使目标逻辑暂时不可用。保护止损仍保留在经纪商端。</w:t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账户级风险控制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每个标的使用独立策略实例，但所有实例共享 AccountRisk。策略在提交进场命令前先锁定风险和名义金额，并把状态写入 TOML 文件。只有持久化成功，订单才能继续进入执行引擎。这个顺序防止多个标的在同一时刻各自判断额度充足后同时超限。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2088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风险维度</w:t>
            </w:r>
          </w:p>
        </w:tc>
        <w:tc>
          <w:tcPr>
            <w:tcW w:type="dxa" w:w="1512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2880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作用范围</w:t>
            </w:r>
          </w:p>
        </w:tc>
        <w:tc>
          <w:tcPr>
            <w:tcW w:type="dxa" w:w="3096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触发结果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单笔风险预算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25 USD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单标的候选订单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决定风险仓位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每日实现亏损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50 USD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全部 SLC 标的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达到后当日拒绝新仓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总开放风险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50 USD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活动 reservation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超过上限拒绝新仓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账户名义金额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5000 USD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活动 reservation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超过上限拒绝新仓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同时暴露数量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活动进场或持仓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达到上限拒绝新仓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单笔最大数量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5 股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单个订单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截断计算仓位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每标的每日次数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单个 symbol</w:t>
            </w:r>
          </w:p>
        </w:tc>
        <w:tc>
          <w:tcPr>
            <w:tcW w:type="dxa" w:w="30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达到后当日不再交易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未成交订单终止时，reservation 与当日次数一起回滚；已有成交的交易结束时，只释放 reservation，保留当日次数。平仓事件缺少已实现盈亏时，账本无法判断每日亏损，因此会保守地把账户设为当日 halted。重启后若经纪商缓存存在暴露但本地没有对应 reservation，也会触发 halted 并启动平仓。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该账本只统计这套 SLC 策略拥有的 reservation 和已实现盈亏。手工交易、其他策略及账本之外的持仓不会自动计入，因此实盘应使用隔离账户。</w:t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多标的运行与生命周期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配置文件可以列出多只美国股票及其精确最小价格变动单位。节点为每个 symbol 创建一个 SlcStrategy，分别维护四小时结构、五分钟区域、随机指标、挂单和持仓状态。共享对象只负责跨标的风险，不共享技术信号。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状态类型</w:t>
            </w:r>
          </w:p>
        </w:tc>
        <w:tc>
          <w:tcPr>
            <w:tcW w:type="dxa" w:w="1944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是否按标的隔离</w:t>
            </w:r>
          </w:p>
        </w:tc>
        <w:tc>
          <w:tcPr>
            <w:tcW w:type="dxa" w:w="5400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四小时结构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不同标的的枢轴和趋势独立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供需区域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区域价格和生命周期只属于一个标的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随机指标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K 值由各自五分钟行情计算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订单与仓位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是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策略标识和外部订单声明按 instrument 区分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风险预算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多个标的必须竞争同一账户额度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每日亏损熔断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否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任一标的亏损都会减少账户剩余额度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2"/>
        <w:keepNext/>
        <w:widowControl/>
        <w:spacing w:before="180" w:after="80" w:line="283" w:lineRule="auto"/>
      </w:pPr>
      <w:r>
        <w:rPr>
          <w:rFonts w:ascii="Arial" w:hAnsi="Arial" w:eastAsia="Arial Unicode MS"/>
          <w:b/>
          <w:color w:val="000000"/>
          <w:sz w:val="25"/>
        </w:rPr>
        <w:t>启动阶段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节点先加载风险文件，再一次性取得所有标的静态信息、交易日信息和预热 K 线。任何标的数据不足、价格单位错误、风险文件损坏或指标没有初始化，节点都会拒绝启动。执行引擎完成对账后，各策略订阅五分钟和四小时 K 线。若启动时发现策略暴露，会先平仓，不接受新信号。</w:t>
      </w:r>
    </w:p>
    <w:p>
      <w:pPr>
        <w:pStyle w:val="Heading2"/>
        <w:keepNext/>
        <w:widowControl/>
        <w:spacing w:before="180" w:after="80" w:line="283" w:lineRule="auto"/>
      </w:pPr>
      <w:r>
        <w:rPr>
          <w:rFonts w:ascii="Arial" w:hAnsi="Arial" w:eastAsia="Arial Unicode MS"/>
          <w:b/>
          <w:color w:val="000000"/>
          <w:sz w:val="25"/>
        </w:rPr>
        <w:t>运行阶段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每根完成 K 线都会输出标的、OHLCV、四小时趋势、ATR、随机指标 K 值、有效区域数量、数据就绪状态与禁用状态。订单提交、部分成交保护、取消、平仓和账户风险也会写入日志，便于按标的复盘。</w:t>
      </w:r>
    </w:p>
    <w:p>
      <w:pPr>
        <w:pStyle w:val="Heading2"/>
        <w:keepNext/>
        <w:widowControl/>
        <w:spacing w:before="180" w:after="80" w:line="283" w:lineRule="auto"/>
      </w:pPr>
      <w:r>
        <w:rPr>
          <w:rFonts w:ascii="Arial" w:hAnsi="Arial" w:eastAsia="Arial Unicode MS"/>
          <w:b/>
          <w:color w:val="000000"/>
          <w:sz w:val="25"/>
        </w:rPr>
        <w:t>停止阶段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策略启用 NautilusTrader managed stop。停止请求到来后，框架会持续协调取消订单和市场退出，而不是立即销毁策略状态。市场收盘时间来自 Longbridge 交易日与交易时段接口，半日市会使用 13:00 收盘。即使如此，网络中断、交易所拒单或停牌仍可能让账户无法及时清空。</w:t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多头交易示例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下面用一个简化例子说明各层如何串联。价格仅用于解释公式，不代表任何标的或历史结果。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1.  四小时最近两个确认高点从 102 上升到 106，最近两个确认低点从 98 上升到 101，结构判定为 Up。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2.  五分钟图先出现一根阴线，范围为 99.00 至 100.00；下一根阳线实体达到前一 ATR 的 1.5 倍，且收在自身区间顶部 25% 内，因此 99.00 至 100.00 成为需求区。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3.  价格回落并触及需求区。Stochastics K 值先降到 18，随后在确认窗口内升到 23，形成从超卖区穿回的确认。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4.  信号 K 线收于 100.20，最小价格变动单位为 0.01，允许 5 ticks 滑点，因此进场限价为 100.25。止损缓冲为 1 tick，止损价为 98.99。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5.  若单笔风险预算为 25 USD，每股最坏风险为 1.26 USD，风险公式得到 19 股；但最大订单数量为 5 股，因此最终订单为 5 股，预留风险为 6.30 USD。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6.  实际分两次成交，平均成交价为 100.22。每次成交都立即配置对应数量的 MIT 止损。实际风险为每股 1.23 USD，2R 目标为 102.68。</w:t>
      </w:r>
    </w:p>
    <w:p>
      <w:pPr>
        <w:keepNext w:val="0"/>
        <w:widowControl/>
        <w:spacing w:before="0" w:after="100" w:line="317" w:lineRule="auto"/>
        <w:ind w:left="403" w:hanging="403"/>
      </w:pPr>
      <w:r>
        <w:rPr>
          <w:rFonts w:ascii="Arial" w:hAnsi="Arial" w:eastAsia="Arial Unicode MS"/>
          <w:color w:val="000000"/>
          <w:sz w:val="21"/>
        </w:rPr>
        <w:t>7.  后续完成的五分钟 K 线最高价触及 102.68，策略取消保护订单并提交平仓市价单。最终成交价可能与 102.68 不同，因此计划 2R 不等于实际实现 2R。</w:t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主要参数说明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参数应通过样本外回测和模拟盘验证，不能因为默认值看起来合理就直接用于实盘。下表列出对底层逻辑影响最大的参数。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1584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2952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控制内容</w:t>
            </w:r>
          </w:p>
        </w:tc>
        <w:tc>
          <w:tcPr>
            <w:tcW w:type="dxa" w:w="2808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调大后的主要影响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ATR period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位移基准波动率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反应更平滑但更滞后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Displacement ATR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强位移实体门槛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区域更少且更严格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Close fraction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0.25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收盘靠近极值的程度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允许更弱的收盘位置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Pivot span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四小时枢轴左右窗口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结构更稳定但确认更晚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Zone TTL bars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78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区域最长寿命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保留更久的历史区域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Max zones per side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每方向区域上限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增加扫描对象和旧区域影响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Confirmation window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触及后等待确认时长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允许更慢的动能回归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Stochastics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5 3 3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确认指标灵敏度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周期变大通常更平滑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Oversold Overbought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20 80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极值与回归阈值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需结合阈值方向分别判断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Stop buffer ticks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止损超出区域的距离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单股风险提高且仓位下降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Entry slippage ticks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进场限价最坏偏移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成交率提高但预留风险增大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Risk reward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目标风险倍数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目标更远且命中率可能下降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策略边界与实盘风险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SLC 的优势是规则清晰、风险可控和日志可追踪。它的限制也必须明确，否则容易把过滤框架误认为稳定盈利模型。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没有收益保证。结构、区域和随机指标只是条件过滤，不能消除跳空、新闻冲击和市场状态变化。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纯 Bar 模型丢失 K 线内部路径。同一根五分钟 K 线同时触及止损与目标时，脚本无法知道先后顺序。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目标逻辑驻留在策略进程中。进程中断时，经纪商端 MIT 止损仍可工作，但程序化 2R 目标不会主动执行。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保护止损是触发后市价成交。快速跳空可能以明显差于止损价的价格成交，实际亏损可以超过预留风险。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进场限价限制了进场滑点，但平仓市价单没有价格保证。流动性不足、停牌和拒单都会延迟退出。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四小时枢轴需要右侧数据确认，天然滞后。趋势快速反转时，结构层可能继续保留旧方向。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历史预热使用不复权 K 线。拆股、分红及数据供应商调整方式可能影响历史区域和指标连续性。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空头信号不代表一定能卖空。账户权限、可借券数量和 Longbridge 风控仍会决定订单是否接受。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共享风险账本不覆盖手工交易和其他策略。隔离账户是当前设计成立的重要前提。</w:t>
      </w:r>
    </w:p>
    <w:p>
      <w:pPr>
        <w:pStyle w:val="Heading2"/>
        <w:keepNext/>
        <w:widowControl/>
        <w:spacing w:before="180" w:after="80" w:line="283" w:lineRule="auto"/>
      </w:pPr>
      <w:r>
        <w:rPr>
          <w:rFonts w:ascii="Arial" w:hAnsi="Arial" w:eastAsia="Arial Unicode MS"/>
          <w:b/>
          <w:color w:val="000000"/>
          <w:sz w:val="25"/>
        </w:rPr>
        <w:t>上线前验证重点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使用与实盘相同的五分钟和四小时 Longbridge 数据进行样本外验证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分别统计趋势状态、区域类型、Fresh 与 Broken Level 场景的胜率和期望值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在回测中加入佣金、点差、部分成交、止损滑点和收盘前流动性假设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模拟数据断流、订单拒绝、取消拒绝、重启和风险文件损坏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确认每个 symbol 的最小价格变动单位、手数、卖空权限和交易时段</w:t>
      </w:r>
    </w:p>
    <w:p>
      <w:pPr>
        <w:pStyle w:val="ListBullet"/>
        <w:keepNext w:val="0"/>
        <w:widowControl/>
        <w:spacing w:before="0" w:after="80" w:line="312" w:lineRule="auto"/>
      </w:pPr>
      <w:r>
        <w:rPr>
          <w:rFonts w:ascii="Arial" w:hAnsi="Arial" w:eastAsia="Arial Unicode MS"/>
          <w:color w:val="000000"/>
          <w:sz w:val="21"/>
        </w:rPr>
        <w:t>先在隔离模拟账户运行足够长时间，再根据日志判断是否具备实盘条件</w:t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代码结构对照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584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逻辑模块</w:t>
            </w:r>
          </w:p>
        </w:tc>
        <w:tc>
          <w:tcPr>
            <w:tcW w:type="dxa" w:w="3816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主要类型或函数</w:t>
            </w:r>
          </w:p>
        </w:tc>
        <w:tc>
          <w:tcPr>
            <w:tcW w:type="dxa" w:w="4176"/>
            <w:vAlign w:val="center"/>
            <w:shd w:fill="16324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6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9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AppConfig  parse_symbol_config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读取多标的、参数和安全边界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结构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PivotStructure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确认四小时枢轴并分类趋势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区域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Zone  ZoneState  observe_zones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维护 Fresh 与 Broken Level 生命周期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SlcSignalState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更新 ATR、Stochastics 和候选信号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风险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AccountRisk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原子预留、每日熔断、持久化与重启对账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执行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SlcStrategy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下单、部分成交保护、目标与退出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数据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FinalBarBuffer  load_warmup_bars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完成 K 线、预热完整性和时序保护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生命周期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DataActor  managed stop</w:t>
            </w:r>
          </w:p>
        </w:tc>
        <w:tc>
          <w:tcPr>
            <w:tcW w:type="dxa" w:w="41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AFC"/>
          </w:tcPr>
          <w:p>
            <w:pPr>
              <w:keepNext w:val="0"/>
              <w:widowControl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订阅、日志、停止和故障恢复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实现文件位于 crates adapters longbridge examples node_slc_trader.rs。配置样例位于同目录的 slc_symbols.toml。阅读代码时可以按照本表从配置进入信号状态，再进入风险与执行，能够较快理解完整控制流。</w:t>
      </w:r>
    </w:p>
    <w:p>
      <w:pPr>
        <w:pStyle w:val="Heading1"/>
        <w:keepNext/>
        <w:widowControl/>
        <w:spacing w:before="260" w:after="120" w:line="283" w:lineRule="auto"/>
      </w:pPr>
      <w:r>
        <w:rPr>
          <w:rFonts w:ascii="Arial" w:hAnsi="Arial" w:eastAsia="Arial Unicode MS"/>
          <w:b/>
          <w:color w:val="000000"/>
          <w:sz w:val="32"/>
        </w:rPr>
        <w:t>最终理解</w:t>
      </w:r>
    </w:p>
    <w:p>
      <w:pPr>
        <w:keepNext w:val="0"/>
        <w:widowControl/>
        <w:spacing w:before="0" w:after="140" w:line="331" w:lineRule="auto"/>
      </w:pPr>
      <w:r>
        <w:rPr>
          <w:rFonts w:ascii="Arial" w:hAnsi="Arial" w:eastAsia="Arial Unicode MS"/>
          <w:color w:val="000000"/>
          <w:sz w:val="22"/>
        </w:rPr>
        <w:t>当前 SLC 策略的底层逻辑可以概括为：四小时结构提供方向，五分钟位移留下候选区域，区域状态机判断位置是否仍然有效，随机指标确认短期动能是否从极值回归，共享账本决定账户是否还能承担风险，订单生命周期负责把理论风险尽可能落实到真实成交。任何一层失效，系统都应选择不交易或退出，而不是放宽条件追求成交次数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 Unicode MS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