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24c94bab6835f71c53ebee7fcfa1f5ba3ab662d"/>
      <w:r>
        <w:t xml:space="preserve">Information Technologies, INFO 654-04, Fall 2021</w:t>
      </w:r>
      <w:bookmarkEnd w:id="20"/>
    </w:p>
    <w:p>
      <w:pPr>
        <w:pStyle w:val="FirstParagraph"/>
      </w:pPr>
      <w:r>
        <w:rPr>
          <w:b/>
        </w:rPr>
        <w:t xml:space="preserve">Technology and Service Inspiration Posts (10% of total grade)</w:t>
      </w:r>
    </w:p>
    <w:p>
      <w:pPr>
        <w:pStyle w:val="BodyText"/>
      </w:pPr>
      <w:r>
        <w:rPr>
          <w:b/>
        </w:rPr>
        <w:t xml:space="preserve">And</w:t>
      </w:r>
    </w:p>
    <w:p>
      <w:pPr>
        <w:pStyle w:val="BodyText"/>
      </w:pPr>
      <w:r>
        <w:rPr>
          <w:b/>
        </w:rPr>
        <w:t xml:space="preserve">Reflection Posts (25% of total grade)</w:t>
      </w:r>
    </w:p>
    <w:p>
      <w:pPr>
        <w:pStyle w:val="BodyText"/>
      </w:pPr>
      <w:r>
        <w:rPr>
          <w:b/>
        </w:rPr>
        <w:t xml:space="preserve">Blog URL:</w:t>
      </w:r>
      <w:r>
        <w:t xml:space="preserve"> </w:t>
      </w:r>
      <w:hyperlink r:id="rId21">
        <w:r>
          <w:rPr>
            <w:rStyle w:val="Hyperlink"/>
          </w:rPr>
          <w:t xml:space="preserve">https://lis654fa21.wordpress.com/</w:t>
        </w:r>
      </w:hyperlink>
    </w:p>
    <w:p>
      <w:pPr>
        <w:pStyle w:val="Heading2"/>
      </w:pPr>
      <w:bookmarkStart w:id="22" w:name="due-dates"/>
      <w:r>
        <w:t xml:space="preserve">Due Dates:</w:t>
      </w:r>
      <w:bookmarkEnd w:id="22"/>
    </w:p>
    <w:p>
      <w:pPr>
        <w:pStyle w:val="FirstParagraph"/>
      </w:pPr>
      <w:r>
        <w:rPr>
          <w:b/>
        </w:rPr>
        <w:t xml:space="preserve">Technology &amp; Service Inspiration Posts</w:t>
      </w:r>
    </w:p>
    <w:p>
      <w:pPr>
        <w:pStyle w:val="Compact"/>
        <w:numPr>
          <w:numId w:val="1001"/>
          <w:ilvl w:val="0"/>
        </w:numPr>
      </w:pPr>
      <w:r>
        <w:t xml:space="preserve">September 08</w:t>
      </w:r>
    </w:p>
    <w:p>
      <w:pPr>
        <w:pStyle w:val="Compact"/>
        <w:numPr>
          <w:numId w:val="1001"/>
          <w:ilvl w:val="0"/>
        </w:numPr>
      </w:pPr>
      <w:r>
        <w:t xml:space="preserve">September 29</w:t>
      </w:r>
    </w:p>
    <w:p>
      <w:pPr>
        <w:pStyle w:val="Compact"/>
        <w:numPr>
          <w:numId w:val="1001"/>
          <w:ilvl w:val="0"/>
        </w:numPr>
      </w:pPr>
      <w:r>
        <w:t xml:space="preserve">November 03</w:t>
      </w:r>
    </w:p>
    <w:p>
      <w:pPr>
        <w:pStyle w:val="FirstParagraph"/>
      </w:pPr>
      <w:r>
        <w:rPr>
          <w:b/>
        </w:rPr>
        <w:t xml:space="preserve">Reflection Posts</w:t>
      </w:r>
    </w:p>
    <w:p>
      <w:pPr>
        <w:pStyle w:val="Compact"/>
        <w:numPr>
          <w:numId w:val="1002"/>
          <w:ilvl w:val="0"/>
        </w:numPr>
      </w:pPr>
      <w:r>
        <w:t xml:space="preserve">September 15</w:t>
      </w:r>
    </w:p>
    <w:p>
      <w:pPr>
        <w:pStyle w:val="Compact"/>
        <w:numPr>
          <w:numId w:val="1002"/>
          <w:ilvl w:val="0"/>
        </w:numPr>
      </w:pPr>
      <w:r>
        <w:t xml:space="preserve">October 06</w:t>
      </w:r>
    </w:p>
    <w:p>
      <w:pPr>
        <w:pStyle w:val="Compact"/>
        <w:numPr>
          <w:numId w:val="1002"/>
          <w:ilvl w:val="0"/>
        </w:numPr>
      </w:pPr>
      <w:r>
        <w:t xml:space="preserve">November 17</w:t>
      </w:r>
    </w:p>
    <w:p>
      <w:pPr>
        <w:pStyle w:val="FirstParagraph"/>
      </w:pPr>
      <w:r>
        <w:rPr>
          <w:b/>
        </w:rPr>
        <w:t xml:space="preserve">Background</w:t>
      </w:r>
      <w:r>
        <w:br/>
      </w:r>
      <w:r>
        <w:t xml:space="preserve">Museum, Library, Archive and other information technologies are a set of</w:t>
      </w:r>
      <w:r>
        <w:t xml:space="preserve"> </w:t>
      </w:r>
      <w:r>
        <w:t xml:space="preserve">expansive domains. While we'll cover a variety of essential elements,</w:t>
      </w:r>
      <w:r>
        <w:t xml:space="preserve"> </w:t>
      </w:r>
      <w:r>
        <w:t xml:space="preserve">there's a great deal of depth we won't be able to get to during class</w:t>
      </w:r>
      <w:r>
        <w:t xml:space="preserve"> </w:t>
      </w:r>
      <w:r>
        <w:t xml:space="preserve">time together.</w:t>
      </w:r>
    </w:p>
    <w:p>
      <w:pPr>
        <w:pStyle w:val="BodyText"/>
      </w:pPr>
      <w:r>
        <w:t xml:space="preserve">Moreover, technology, more so than many other areas within the</w:t>
      </w:r>
      <w:r>
        <w:t xml:space="preserve"> </w:t>
      </w:r>
      <w:r>
        <w:t xml:space="preserve">information professions, is subject to an increasingly rapid pace of</w:t>
      </w:r>
      <w:r>
        <w:t xml:space="preserve"> </w:t>
      </w:r>
      <w:r>
        <w:t xml:space="preserve">upheaval. What was considered a staple consumer technology or</w:t>
      </w:r>
      <w:r>
        <w:t xml:space="preserve"> </w:t>
      </w:r>
      <w:r>
        <w:t xml:space="preserve">professional service just a few years ago may now be fading in</w:t>
      </w:r>
      <w:r>
        <w:t xml:space="preserve"> </w:t>
      </w:r>
      <w:r>
        <w:t xml:space="preserve">importance, or worse, obsolete. For these reasons and others, keeping</w:t>
      </w:r>
      <w:r>
        <w:t xml:space="preserve"> </w:t>
      </w:r>
      <w:r>
        <w:t xml:space="preserve">current with emerging issues and technologies is something that will be</w:t>
      </w:r>
      <w:r>
        <w:t xml:space="preserve"> </w:t>
      </w:r>
      <w:r>
        <w:t xml:space="preserve">required of all people working in all information professions.</w:t>
      </w:r>
    </w:p>
    <w:p>
      <w:pPr>
        <w:pStyle w:val="BodyText"/>
      </w:pPr>
      <w:r>
        <w:t xml:space="preserve">The class blog is an opportunity for students to direct their additional</w:t>
      </w:r>
      <w:r>
        <w:t xml:space="preserve"> </w:t>
      </w:r>
      <w:r>
        <w:t xml:space="preserve">readings and media observation in a direction of their choosing in order</w:t>
      </w:r>
      <w:r>
        <w:t xml:space="preserve"> </w:t>
      </w:r>
      <w:r>
        <w:t xml:space="preserve">to supplement more specific interests and tracks/programs within Pratt</w:t>
      </w:r>
      <w:r>
        <w:t xml:space="preserve"> </w:t>
      </w:r>
      <w:r>
        <w:t xml:space="preserve">SI. For example, students interested in digital preservation issues may</w:t>
      </w:r>
      <w:r>
        <w:t xml:space="preserve"> </w:t>
      </w:r>
      <w:r>
        <w:t xml:space="preserve">wish to focus their posts on current preservation concerns, while a</w:t>
      </w:r>
      <w:r>
        <w:t xml:space="preserve"> </w:t>
      </w:r>
      <w:r>
        <w:t xml:space="preserve">student in the Information Experience Design track may wish to focus on</w:t>
      </w:r>
      <w:r>
        <w:t xml:space="preserve"> </w:t>
      </w:r>
      <w:r>
        <w:t xml:space="preserve">trends in usability testing.</w:t>
      </w:r>
    </w:p>
    <w:p>
      <w:pPr>
        <w:pStyle w:val="Heading1"/>
      </w:pPr>
      <w:bookmarkStart w:id="23" w:name="technology-service-inspiration-posts"/>
      <w:r>
        <w:t xml:space="preserve">Technology &amp; Service Inspiration Posts</w:t>
      </w:r>
      <w:bookmarkEnd w:id="23"/>
    </w:p>
    <w:p>
      <w:pPr>
        <w:pStyle w:val="FirstParagraph"/>
      </w:pPr>
      <w:r>
        <w:t xml:space="preserve">Students will contribute at least three short posts to the class blog</w:t>
      </w:r>
      <w:r>
        <w:t xml:space="preserve"> </w:t>
      </w:r>
      <w:r>
        <w:t xml:space="preserve">over the course of the semester. See the syllabus and class blog for a</w:t>
      </w:r>
      <w:r>
        <w:t xml:space="preserve"> </w:t>
      </w:r>
      <w:r>
        <w:t xml:space="preserve">non-exhaustive list of potential sources for fodder.</w:t>
      </w:r>
    </w:p>
    <w:p>
      <w:pPr>
        <w:pStyle w:val="BodyText"/>
      </w:pPr>
      <w:r>
        <w:t xml:space="preserve">These are meant to be brief annotated citations of services. Students</w:t>
      </w:r>
      <w:r>
        <w:t xml:space="preserve"> </w:t>
      </w:r>
      <w:r>
        <w:t xml:space="preserve">should search professional literature sources as well as news sources</w:t>
      </w:r>
      <w:r>
        <w:t xml:space="preserve"> </w:t>
      </w:r>
      <w:r>
        <w:t xml:space="preserve">and other media for examples—large or small—that relate to the use</w:t>
      </w:r>
      <w:r>
        <w:t xml:space="preserve"> </w:t>
      </w:r>
      <w:r>
        <w:t xml:space="preserve">of technology in the provision of service. They can be citations of</w:t>
      </w:r>
      <w:r>
        <w:t xml:space="preserve"> </w:t>
      </w:r>
      <w:r>
        <w:t xml:space="preserve">innovative services currently being offered by libraries, archives, or</w:t>
      </w:r>
      <w:r>
        <w:t xml:space="preserve"> </w:t>
      </w:r>
      <w:r>
        <w:t xml:space="preserve">museums, or examples from other industries that could potentially be</w:t>
      </w:r>
      <w:r>
        <w:t xml:space="preserve"> </w:t>
      </w:r>
      <w:r>
        <w:t xml:space="preserve">applied to information profession environments. Examples can range from</w:t>
      </w:r>
      <w:r>
        <w:t xml:space="preserve"> </w:t>
      </w:r>
      <w:r>
        <w:t xml:space="preserve">“</w:t>
      </w:r>
      <w:r>
        <w:t xml:space="preserve">soft technology</w:t>
      </w:r>
      <w:r>
        <w:t xml:space="preserve">”</w:t>
      </w:r>
      <w:r>
        <w:t xml:space="preserve"> </w:t>
      </w:r>
      <w:r>
        <w:t xml:space="preserve">— e.g., social media, smartphone apps, etc. — to</w:t>
      </w:r>
      <w:r>
        <w:t xml:space="preserve"> </w:t>
      </w:r>
      <w:r>
        <w:t xml:space="preserve">more granular and complex technology examples, like Application</w:t>
      </w:r>
      <w:r>
        <w:t xml:space="preserve"> </w:t>
      </w:r>
      <w:r>
        <w:t xml:space="preserve">Programming Interfaces (APIs), scripting tools, information</w:t>
      </w:r>
      <w:r>
        <w:t xml:space="preserve"> </w:t>
      </w:r>
      <w:r>
        <w:t xml:space="preserve">visualization applications, etc.</w:t>
      </w:r>
    </w:p>
    <w:p>
      <w:pPr>
        <w:pStyle w:val="BodyText"/>
      </w:pPr>
      <w:r>
        <w:rPr>
          <w:b/>
        </w:rPr>
        <w:t xml:space="preserve">Technology &amp; Service Inspiration Posts Requirements</w:t>
      </w:r>
    </w:p>
    <w:p>
      <w:pPr>
        <w:pStyle w:val="Compact"/>
        <w:numPr>
          <w:numId w:val="1003"/>
          <w:ilvl w:val="0"/>
        </w:numPr>
      </w:pPr>
      <w:r>
        <w:t xml:space="preserve">150-word minimum (original post content; not including excerpt or</w:t>
      </w:r>
      <w:r>
        <w:t xml:space="preserve"> </w:t>
      </w:r>
      <w:r>
        <w:t xml:space="preserve">citation, etc.)</w:t>
      </w:r>
    </w:p>
    <w:p>
      <w:pPr>
        <w:pStyle w:val="Compact"/>
        <w:numPr>
          <w:numId w:val="1003"/>
          <w:ilvl w:val="0"/>
        </w:numPr>
      </w:pPr>
      <w:r>
        <w:t xml:space="preserve">Published to class blog by the time class starts on the due date</w:t>
      </w:r>
    </w:p>
    <w:p>
      <w:pPr>
        <w:pStyle w:val="Compact"/>
        <w:numPr>
          <w:numId w:val="1004"/>
          <w:ilvl w:val="1"/>
        </w:numPr>
      </w:pPr>
      <w:r>
        <w:t xml:space="preserve">With descriptive title</w:t>
      </w:r>
    </w:p>
    <w:p>
      <w:pPr>
        <w:pStyle w:val="Compact"/>
        <w:numPr>
          <w:numId w:val="1004"/>
          <w:ilvl w:val="1"/>
        </w:numPr>
      </w:pPr>
      <w:r>
        <w:t xml:space="preserve">Categorizes appropriately, e.g., Technology &amp; Service</w:t>
      </w:r>
      <w:r>
        <w:t xml:space="preserve"> </w:t>
      </w:r>
      <w:r>
        <w:t xml:space="preserve">Inspiration Post 1, Technology &amp; Service Inspiration Post 2,</w:t>
      </w:r>
      <w:r>
        <w:t xml:space="preserve"> </w:t>
      </w:r>
      <w:r>
        <w:t xml:space="preserve">etc.</w:t>
      </w:r>
    </w:p>
    <w:p>
      <w:pPr>
        <w:pStyle w:val="Compact"/>
        <w:numPr>
          <w:numId w:val="1004"/>
          <w:ilvl w:val="1"/>
        </w:numPr>
      </w:pPr>
      <w:r>
        <w:t xml:space="preserve">Tagged with relevant keywords</w:t>
      </w:r>
    </w:p>
    <w:p>
      <w:pPr>
        <w:pStyle w:val="Compact"/>
        <w:numPr>
          <w:numId w:val="1004"/>
          <w:ilvl w:val="1"/>
        </w:numPr>
      </w:pPr>
      <w:r>
        <w:t xml:space="preserve">Use only the</w:t>
      </w:r>
      <w:r>
        <w:t xml:space="preserve"> </w:t>
      </w:r>
      <w:r>
        <w:t xml:space="preserve">“</w:t>
      </w:r>
      <w:r>
        <w:t xml:space="preserve">standard</w:t>
      </w:r>
      <w:r>
        <w:t xml:space="preserve">”</w:t>
      </w:r>
      <w:r>
        <w:t xml:space="preserve"> </w:t>
      </w:r>
      <w:r>
        <w:t xml:space="preserve">post format option</w:t>
      </w:r>
    </w:p>
    <w:p>
      <w:pPr>
        <w:pStyle w:val="Compact"/>
        <w:numPr>
          <w:numId w:val="1003"/>
          <w:ilvl w:val="0"/>
        </w:numPr>
      </w:pPr>
      <w:r>
        <w:t xml:space="preserve">Excerpt or embed of source material</w:t>
      </w:r>
    </w:p>
    <w:p>
      <w:pPr>
        <w:pStyle w:val="Compact"/>
        <w:numPr>
          <w:numId w:val="1005"/>
          <w:ilvl w:val="1"/>
        </w:numPr>
      </w:pPr>
      <w:r>
        <w:t xml:space="preserve">Includes citations of any source material, with links embedded</w:t>
      </w:r>
      <w:r>
        <w:t xml:space="preserve"> </w:t>
      </w:r>
      <w:r>
        <w:t xml:space="preserve">if possible</w:t>
      </w:r>
    </w:p>
    <w:p>
      <w:pPr>
        <w:pStyle w:val="Compact"/>
        <w:numPr>
          <w:numId w:val="1003"/>
          <w:ilvl w:val="0"/>
        </w:numPr>
      </w:pPr>
      <w:r>
        <w:t xml:space="preserve">Brief comment about why the cited example is of interest, and how it</w:t>
      </w:r>
      <w:r>
        <w:t xml:space="preserve"> </w:t>
      </w:r>
      <w:r>
        <w:t xml:space="preserve">is being or could be deployed in an information profession context</w:t>
      </w:r>
    </w:p>
    <w:p>
      <w:pPr>
        <w:pStyle w:val="Compact"/>
        <w:numPr>
          <w:numId w:val="1006"/>
          <w:ilvl w:val="1"/>
        </w:numPr>
      </w:pPr>
      <w:r>
        <w:t xml:space="preserve">Addresses, briefly, at least the following questions:</w:t>
      </w:r>
    </w:p>
    <w:p>
      <w:pPr>
        <w:pStyle w:val="Compact"/>
        <w:numPr>
          <w:numId w:val="1007"/>
          <w:ilvl w:val="2"/>
        </w:numPr>
      </w:pPr>
      <w:r>
        <w:t xml:space="preserve">What is new and/or noteworthy here?</w:t>
      </w:r>
    </w:p>
    <w:p>
      <w:pPr>
        <w:pStyle w:val="Compact"/>
        <w:numPr>
          <w:numId w:val="1007"/>
          <w:ilvl w:val="2"/>
        </w:numPr>
      </w:pPr>
      <w:r>
        <w:t xml:space="preserve">Why should people in the information fields be paying</w:t>
      </w:r>
      <w:r>
        <w:t xml:space="preserve"> </w:t>
      </w:r>
      <w:r>
        <w:t xml:space="preserve">attention to this particular development?</w:t>
      </w:r>
    </w:p>
    <w:p>
      <w:pPr>
        <w:pStyle w:val="Heading1"/>
      </w:pPr>
      <w:bookmarkStart w:id="24" w:name="reflection-posts"/>
      <w:r>
        <w:rPr>
          <w:b/>
        </w:rPr>
        <w:t xml:space="preserve">Reflection Posts</w:t>
      </w:r>
      <w:bookmarkEnd w:id="24"/>
    </w:p>
    <w:p>
      <w:pPr>
        <w:pStyle w:val="FirstParagraph"/>
      </w:pPr>
      <w:r>
        <w:t xml:space="preserve">Students will contribute at least three significant posts to the class</w:t>
      </w:r>
      <w:r>
        <w:t xml:space="preserve"> </w:t>
      </w:r>
      <w:r>
        <w:t xml:space="preserve">blog over the course of the semester. Ask in class or outside of class if you need initial topic suggestions, and see the syllabus and class blog for a non-exhaustive list of potential sources.</w:t>
      </w:r>
    </w:p>
    <w:p>
      <w:pPr>
        <w:pStyle w:val="BodyText"/>
      </w:pPr>
      <w:r>
        <w:t xml:space="preserve">The posts should be a minimum of 700 words in length, and must include:</w:t>
      </w:r>
      <w:r>
        <w:t xml:space="preserve"> </w:t>
      </w:r>
      <w:r>
        <w:t xml:space="preserve">an excerpted portion (</w:t>
      </w:r>
      <w:r>
        <w:rPr>
          <w:b/>
        </w:rPr>
        <w:t xml:space="preserve">not</w:t>
      </w:r>
      <w:r>
        <w:t xml:space="preserve"> </w:t>
      </w:r>
      <w:r>
        <w:t xml:space="preserve">to be included in the word count) or embed</w:t>
      </w:r>
      <w:r>
        <w:t xml:space="preserve"> </w:t>
      </w:r>
      <w:r>
        <w:t xml:space="preserve">(with Fair Use criteria in mind; see below) and direct link to the</w:t>
      </w:r>
      <w:r>
        <w:t xml:space="preserve"> </w:t>
      </w:r>
      <w:r>
        <w:t xml:space="preserve">source; a brief summary or explanation of the material with comment on</w:t>
      </w:r>
      <w:r>
        <w:t xml:space="preserve"> </w:t>
      </w:r>
      <w:r>
        <w:t xml:space="preserve">how the material was discovered; and the student's reflection, drawing</w:t>
      </w:r>
      <w:r>
        <w:t xml:space="preserve"> </w:t>
      </w:r>
      <w:r>
        <w:t xml:space="preserve">connections and parallels to material covered in class and/or ongoing</w:t>
      </w:r>
      <w:r>
        <w:t xml:space="preserve"> </w:t>
      </w:r>
      <w:r>
        <w:t xml:space="preserve">concerns to the various information profession communities.</w:t>
      </w:r>
    </w:p>
    <w:p>
      <w:pPr>
        <w:pStyle w:val="BodyText"/>
      </w:pPr>
      <w:r>
        <w:rPr>
          <w:b/>
        </w:rPr>
        <w:t xml:space="preserve">Reflection Posts Requirements</w:t>
      </w:r>
    </w:p>
    <w:p>
      <w:pPr>
        <w:pStyle w:val="Compact"/>
        <w:numPr>
          <w:numId w:val="1008"/>
          <w:ilvl w:val="0"/>
        </w:numPr>
      </w:pPr>
      <w:r>
        <w:t xml:space="preserve">700-word minimum (original post content; not including excerpt or</w:t>
      </w:r>
      <w:r>
        <w:t xml:space="preserve"> </w:t>
      </w:r>
      <w:r>
        <w:t xml:space="preserve">citation, etc.)</w:t>
      </w:r>
    </w:p>
    <w:p>
      <w:pPr>
        <w:pStyle w:val="Compact"/>
        <w:numPr>
          <w:numId w:val="1008"/>
          <w:ilvl w:val="0"/>
        </w:numPr>
      </w:pPr>
      <w:r>
        <w:t xml:space="preserve">Published to class blog by the time class starts on the due date</w:t>
      </w:r>
    </w:p>
    <w:p>
      <w:pPr>
        <w:pStyle w:val="Compact"/>
        <w:numPr>
          <w:numId w:val="1009"/>
          <w:ilvl w:val="1"/>
        </w:numPr>
      </w:pPr>
      <w:r>
        <w:t xml:space="preserve">With descriptive title</w:t>
      </w:r>
    </w:p>
    <w:p>
      <w:pPr>
        <w:pStyle w:val="Compact"/>
        <w:numPr>
          <w:numId w:val="1009"/>
          <w:ilvl w:val="1"/>
        </w:numPr>
      </w:pPr>
      <w:r>
        <w:t xml:space="preserve">Categorizes appropriately, e.g., Reflection Post 1, Reflection</w:t>
      </w:r>
      <w:r>
        <w:t xml:space="preserve"> </w:t>
      </w:r>
      <w:r>
        <w:t xml:space="preserve">Post 2, etc.</w:t>
      </w:r>
    </w:p>
    <w:p>
      <w:pPr>
        <w:pStyle w:val="Compact"/>
        <w:numPr>
          <w:numId w:val="1009"/>
          <w:ilvl w:val="1"/>
        </w:numPr>
      </w:pPr>
      <w:r>
        <w:t xml:space="preserve">Tagged with relevant keywords</w:t>
      </w:r>
    </w:p>
    <w:p>
      <w:pPr>
        <w:pStyle w:val="Compact"/>
        <w:numPr>
          <w:numId w:val="1009"/>
          <w:ilvl w:val="1"/>
        </w:numPr>
      </w:pPr>
      <w:r>
        <w:t xml:space="preserve">Use only the</w:t>
      </w:r>
      <w:r>
        <w:t xml:space="preserve"> </w:t>
      </w:r>
      <w:r>
        <w:t xml:space="preserve">“</w:t>
      </w:r>
      <w:r>
        <w:t xml:space="preserve">standard</w:t>
      </w:r>
      <w:r>
        <w:t xml:space="preserve">”</w:t>
      </w:r>
      <w:r>
        <w:t xml:space="preserve"> </w:t>
      </w:r>
      <w:r>
        <w:t xml:space="preserve">post format option</w:t>
      </w:r>
    </w:p>
    <w:p>
      <w:pPr>
        <w:pStyle w:val="Compact"/>
        <w:numPr>
          <w:numId w:val="1008"/>
          <w:ilvl w:val="0"/>
        </w:numPr>
      </w:pPr>
      <w:r>
        <w:t xml:space="preserve">Excerpt or embed of source material</w:t>
      </w:r>
    </w:p>
    <w:p>
      <w:pPr>
        <w:pStyle w:val="Compact"/>
        <w:numPr>
          <w:numId w:val="1010"/>
          <w:ilvl w:val="1"/>
        </w:numPr>
      </w:pPr>
      <w:r>
        <w:t xml:space="preserve">Includes citations of any source material, with links embedded</w:t>
      </w:r>
      <w:r>
        <w:t xml:space="preserve"> </w:t>
      </w:r>
      <w:r>
        <w:t xml:space="preserve">links if possible</w:t>
      </w:r>
    </w:p>
    <w:p>
      <w:pPr>
        <w:pStyle w:val="Compact"/>
        <w:numPr>
          <w:numId w:val="1008"/>
          <w:ilvl w:val="0"/>
        </w:numPr>
      </w:pPr>
      <w:r>
        <w:t xml:space="preserve">Brief summary or explanatory remarks about source material</w:t>
      </w:r>
    </w:p>
    <w:p>
      <w:pPr>
        <w:pStyle w:val="Compact"/>
        <w:numPr>
          <w:numId w:val="1008"/>
          <w:ilvl w:val="0"/>
        </w:numPr>
      </w:pPr>
      <w:r>
        <w:t xml:space="preserve">Reflection on material in context of class topics and larger</w:t>
      </w:r>
      <w:r>
        <w:t xml:space="preserve"> </w:t>
      </w:r>
      <w:r>
        <w:t xml:space="preserve">information professions discussions</w:t>
      </w:r>
    </w:p>
    <w:p>
      <w:pPr>
        <w:pStyle w:val="Compact"/>
        <w:numPr>
          <w:numId w:val="1011"/>
          <w:ilvl w:val="1"/>
        </w:numPr>
      </w:pPr>
      <w:r>
        <w:t xml:space="preserve">Addresses at least the following questions:</w:t>
      </w:r>
    </w:p>
    <w:p>
      <w:pPr>
        <w:pStyle w:val="Compact"/>
        <w:numPr>
          <w:numId w:val="1012"/>
          <w:ilvl w:val="2"/>
        </w:numPr>
      </w:pPr>
      <w:r>
        <w:t xml:space="preserve">How are the sources under consideration in the post deeply</w:t>
      </w:r>
      <w:r>
        <w:t xml:space="preserve"> </w:t>
      </w:r>
      <w:r>
        <w:t xml:space="preserve">relevant to the information science profession?</w:t>
      </w:r>
    </w:p>
    <w:p>
      <w:pPr>
        <w:pStyle w:val="Compact"/>
        <w:numPr>
          <w:numId w:val="1012"/>
          <w:ilvl w:val="2"/>
        </w:numPr>
      </w:pPr>
      <w:r>
        <w:t xml:space="preserve">How does this tie to larger technology trends or</w:t>
      </w:r>
      <w:r>
        <w:t xml:space="preserve"> </w:t>
      </w:r>
      <w:r>
        <w:t xml:space="preserve">implications?</w:t>
      </w:r>
    </w:p>
    <w:p>
      <w:pPr>
        <w:pStyle w:val="Compact"/>
        <w:numPr>
          <w:numId w:val="1012"/>
          <w:ilvl w:val="2"/>
        </w:numPr>
      </w:pPr>
      <w:r>
        <w:t xml:space="preserve">Why should people in information fields be paying attention</w:t>
      </w:r>
      <w:r>
        <w:t xml:space="preserve"> </w:t>
      </w:r>
      <w:r>
        <w:t xml:space="preserve">to this particular development?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At least two</w:t>
      </w:r>
      <w:r>
        <w:t xml:space="preserve"> </w:t>
      </w:r>
      <w:r>
        <w:t xml:space="preserve">concluding questions that prompt further consideration of the topic</w:t>
      </w:r>
    </w:p>
    <w:p>
      <w:pPr>
        <w:pStyle w:val="FirstParagraph"/>
      </w:pPr>
      <w:r>
        <w:rPr>
          <w:b/>
        </w:rPr>
        <w:t xml:space="preserve">Note on writing style/tone:</w:t>
      </w:r>
    </w:p>
    <w:p>
      <w:pPr>
        <w:pStyle w:val="BodyText"/>
      </w:pPr>
      <w:r>
        <w:t xml:space="preserve">Write what feels comfortable, and helps you get your point across.</w:t>
      </w:r>
    </w:p>
    <w:p>
      <w:pPr>
        <w:pStyle w:val="BodyText"/>
      </w:pPr>
      <w:r>
        <w:t xml:space="preserve">No need to be overly formal as long as what you write is expressed</w:t>
      </w:r>
      <w:r>
        <w:t xml:space="preserve"> </w:t>
      </w:r>
      <w:r>
        <w:t xml:space="preserve">clearly and effectively.</w:t>
      </w:r>
    </w:p>
    <w:p>
      <w:pPr>
        <w:pStyle w:val="BodyText"/>
      </w:pPr>
      <w:r>
        <w:t xml:space="preserve">If it helps you frame your posts, feel free to consider your audience to</w:t>
      </w:r>
      <w:r>
        <w:t xml:space="preserve"> </w:t>
      </w:r>
      <w:r>
        <w:t xml:space="preserve">be both me and your class peers, eager to hear from the periodic updates</w:t>
      </w:r>
      <w:r>
        <w:t xml:space="preserve"> </w:t>
      </w:r>
      <w:r>
        <w:t xml:space="preserve">on relevant materials you’ve discovered in the course of this class.</w:t>
      </w:r>
    </w:p>
    <w:p>
      <w:pPr>
        <w:pStyle w:val="BodyText"/>
      </w:pPr>
      <w:r>
        <w:t xml:space="preserve">Meanwhile, I also suggest that you consider re-publishing the posts you</w:t>
      </w:r>
      <w:r>
        <w:t xml:space="preserve"> </w:t>
      </w:r>
      <w:r>
        <w:t xml:space="preserve">write for this class in other places, such as your own blog, on</w:t>
      </w:r>
      <w:r>
        <w:t xml:space="preserve"> </w:t>
      </w:r>
      <w:r>
        <w:t xml:space="preserve">Medium.com, or elsewhere. They can be great fodder as writing samples,</w:t>
      </w:r>
      <w:r>
        <w:t xml:space="preserve"> </w:t>
      </w:r>
      <w:r>
        <w:t xml:space="preserve">especially if you consider that kind of re-use ahead of time.</w:t>
      </w:r>
    </w:p>
    <w:p>
      <w:pPr>
        <w:pStyle w:val="Heading1"/>
      </w:pPr>
      <w:bookmarkStart w:id="25" w:name="appendix-on-fair-use"/>
      <w:r>
        <w:t xml:space="preserve">Appendix: On Fair Use</w:t>
      </w:r>
      <w:bookmarkEnd w:id="25"/>
    </w:p>
    <w:p>
      <w:pPr>
        <w:pStyle w:val="FirstParagraph"/>
      </w:pPr>
      <w:r>
        <w:t xml:space="preserve">Fair use is an extremely important facet of the information industry,</w:t>
      </w:r>
      <w:r>
        <w:t xml:space="preserve"> </w:t>
      </w:r>
      <w:r>
        <w:t xml:space="preserve">and is an essential component of the law to understand and be able to</w:t>
      </w:r>
      <w:r>
        <w:t xml:space="preserve"> </w:t>
      </w:r>
      <w:r>
        <w:t xml:space="preserve">clearly communicate to patrons, researchers, students, and anyone else</w:t>
      </w:r>
      <w:r>
        <w:t xml:space="preserve"> </w:t>
      </w:r>
      <w:r>
        <w:t xml:space="preserve">who might benefit from fair use.</w:t>
      </w:r>
    </w:p>
    <w:p>
      <w:pPr>
        <w:pStyle w:val="Heading2"/>
      </w:pPr>
      <w:bookmarkStart w:id="26" w:name="Xac49bc9eb1f4d0dc9cf4dec3650113705967a44"/>
      <w:r>
        <w:t xml:space="preserve">17 U.S. Code § 107 - Limitations on exclusive rights: Fair use</w:t>
      </w:r>
      <w:bookmarkEnd w:id="26"/>
    </w:p>
    <w:p>
      <w:pPr>
        <w:pStyle w:val="FirstParagraph"/>
      </w:pPr>
      <w:hyperlink r:id="rId27">
        <w:r>
          <w:rPr>
            <w:rStyle w:val="Hyperlink"/>
          </w:rPr>
          <w:t xml:space="preserve">http://www.law.cornell.edu/uscode/text/17/107</w:t>
        </w:r>
      </w:hyperlink>
    </w:p>
    <w:p>
      <w:pPr>
        <w:pStyle w:val="BlockText"/>
      </w:pPr>
      <w:r>
        <w:t xml:space="preserve">Notwithstanding the provisions of sections</w:t>
      </w:r>
      <w:r>
        <w:t xml:space="preserve"> </w:t>
      </w:r>
      <w:hyperlink r:id="rId28">
        <w:r>
          <w:rPr>
            <w:rStyle w:val="Hyperlink"/>
          </w:rPr>
          <w:t xml:space="preserve">106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106A</w:t>
        </w:r>
      </w:hyperlink>
      <w:r>
        <w:t xml:space="preserve">, the fair use</w:t>
      </w:r>
      <w:r>
        <w:t xml:space="preserve"> </w:t>
      </w:r>
      <w:r>
        <w:t xml:space="preserve">of a copyrighted work, including such use by reproduction in copies or</w:t>
      </w:r>
      <w:r>
        <w:t xml:space="preserve"> </w:t>
      </w:r>
      <w:r>
        <w:t xml:space="preserve">phonorecords or by any other means specified by that section, for</w:t>
      </w:r>
      <w:r>
        <w:t xml:space="preserve"> </w:t>
      </w:r>
      <w:r>
        <w:t xml:space="preserve">purposes such as criticism, comment, news reporting, teaching</w:t>
      </w:r>
      <w:r>
        <w:t xml:space="preserve"> </w:t>
      </w:r>
      <w:r>
        <w:t xml:space="preserve">(including multiple copies for classroom use), scholarship, or</w:t>
      </w:r>
      <w:r>
        <w:t xml:space="preserve"> </w:t>
      </w:r>
      <w:r>
        <w:t xml:space="preserve">research, is not an infringement of copyright. In determining whether</w:t>
      </w:r>
      <w:r>
        <w:t xml:space="preserve"> </w:t>
      </w:r>
      <w:r>
        <w:t xml:space="preserve">the use made of a work in any particular case is a fair use the</w:t>
      </w:r>
      <w:r>
        <w:t xml:space="preserve"> </w:t>
      </w:r>
      <w:r>
        <w:t xml:space="preserve">factors to be considered shall include—</w:t>
      </w:r>
    </w:p>
    <w:p>
      <w:pPr>
        <w:numPr>
          <w:numId w:val="1013"/>
          <w:ilvl w:val="0"/>
        </w:numPr>
      </w:pPr>
      <w:r>
        <w:rPr>
          <w:b/>
        </w:rPr>
        <w:t xml:space="preserve">the purpose and character of the use, including whether such use</w:t>
      </w:r>
      <w:r>
        <w:rPr>
          <w:b/>
        </w:rPr>
        <w:t xml:space="preserve"> </w:t>
      </w:r>
      <w:r>
        <w:rPr>
          <w:b/>
        </w:rPr>
        <w:t xml:space="preserve">is of a commercial nature or is for nonprofit educational</w:t>
      </w:r>
      <w:r>
        <w:rPr>
          <w:b/>
        </w:rPr>
        <w:t xml:space="preserve"> </w:t>
      </w:r>
      <w:r>
        <w:rPr>
          <w:b/>
        </w:rPr>
        <w:t xml:space="preserve">purposes;</w:t>
      </w:r>
    </w:p>
    <w:p>
      <w:pPr>
        <w:numPr>
          <w:numId w:val="1013"/>
          <w:ilvl w:val="0"/>
        </w:numPr>
      </w:pPr>
      <w:r>
        <w:rPr>
          <w:b/>
        </w:rPr>
        <w:t xml:space="preserve">the nature of the copyrighted work;</w:t>
      </w:r>
    </w:p>
    <w:p>
      <w:pPr>
        <w:numPr>
          <w:numId w:val="1013"/>
          <w:ilvl w:val="0"/>
        </w:numPr>
      </w:pPr>
      <w:r>
        <w:rPr>
          <w:b/>
        </w:rPr>
        <w:t xml:space="preserve">the amount and substantiality of the portion used in relation to</w:t>
      </w:r>
      <w:r>
        <w:rPr>
          <w:b/>
        </w:rPr>
        <w:t xml:space="preserve"> </w:t>
      </w:r>
      <w:r>
        <w:rPr>
          <w:b/>
        </w:rPr>
        <w:t xml:space="preserve">the copyrighted work as a whole; and</w:t>
      </w:r>
    </w:p>
    <w:p>
      <w:pPr>
        <w:numPr>
          <w:numId w:val="1013"/>
          <w:ilvl w:val="0"/>
        </w:numPr>
      </w:pPr>
      <w:r>
        <w:rPr>
          <w:b/>
        </w:rPr>
        <w:t xml:space="preserve">the effect of the use upon the potential market for or value of</w:t>
      </w:r>
      <w:r>
        <w:rPr>
          <w:b/>
        </w:rPr>
        <w:t xml:space="preserve"> </w:t>
      </w:r>
      <w:r>
        <w:rPr>
          <w:b/>
        </w:rPr>
        <w:t xml:space="preserve">the copyrighted work.</w:t>
      </w:r>
      <w:r>
        <w:rPr>
          <w:b/>
        </w:rPr>
        <w:t xml:space="preserve"> </w:t>
      </w:r>
    </w:p>
    <w:p>
      <w:pPr>
        <w:pStyle w:val="BlockText"/>
      </w:pPr>
      <w:r>
        <w:t xml:space="preserve">---</w:t>
      </w:r>
    </w:p>
    <w:p>
      <w:pPr>
        <w:pStyle w:val="FirstParagraph"/>
      </w:pPr>
      <w:r>
        <w:t xml:space="preserve">The following are the best and most succinct informal criteria for fair</w:t>
      </w:r>
      <w:r>
        <w:t xml:space="preserve"> </w:t>
      </w:r>
      <w:r>
        <w:t xml:space="preserve">use I’ve heard:</w:t>
      </w:r>
    </w:p>
    <w:p>
      <w:pPr>
        <w:numPr>
          <w:numId w:val="1014"/>
          <w:ilvl w:val="0"/>
        </w:numPr>
      </w:pPr>
      <w:r>
        <w:rPr>
          <w:i/>
        </w:rPr>
        <w:t xml:space="preserve">Are you using the material to illustrate a specific point that</w:t>
      </w:r>
      <w:r>
        <w:rPr>
          <w:i/>
        </w:rPr>
        <w:t xml:space="preserve"> </w:t>
      </w:r>
      <w:r>
        <w:rPr>
          <w:i/>
        </w:rPr>
        <w:t xml:space="preserve">you’re trying to make?</w:t>
      </w:r>
    </w:p>
    <w:p>
      <w:pPr>
        <w:numPr>
          <w:numId w:val="1014"/>
          <w:ilvl w:val="0"/>
        </w:numPr>
      </w:pPr>
      <w:r>
        <w:rPr>
          <w:i/>
        </w:rPr>
        <w:t xml:space="preserve">Are you only using so much as is necessary to make that point?</w:t>
      </w:r>
    </w:p>
    <w:p>
      <w:pPr>
        <w:numPr>
          <w:numId w:val="1014"/>
          <w:ilvl w:val="0"/>
        </w:numPr>
      </w:pPr>
      <w:r>
        <w:rPr>
          <w:i/>
        </w:rPr>
        <w:t xml:space="preserve">Is it clear to the audience what that point is?</w:t>
      </w:r>
    </w:p>
    <w:p>
      <w:pPr>
        <w:pStyle w:val="FirstParagraph"/>
      </w:pPr>
      <w:r>
        <w:t xml:space="preserve">As quoted in</w:t>
      </w:r>
      <w:r>
        <w:t xml:space="preserve"> </w:t>
      </w:r>
      <w:r>
        <w:t xml:space="preserve">“</w:t>
      </w:r>
      <w:hyperlink r:id="rId30">
        <w:r>
          <w:rPr>
            <w:rStyle w:val="Hyperlink"/>
          </w:rPr>
          <w:t xml:space="preserve">Fair Use Panel Cautions Against Adopting Georgia State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Ruling 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Definitive</w:t>
        </w:r>
      </w:hyperlink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Library Journal</w:t>
      </w:r>
      <w:r>
        <w:t xml:space="preserve">, June 26, 2012.</w:t>
      </w:r>
    </w:p>
    <w:p>
      <w:pPr>
        <w:pStyle w:val="BodyText"/>
      </w:pPr>
      <w:r>
        <w:rPr>
          <w:b/>
        </w:rPr>
        <w:t xml:space="preserve">Read more:</w:t>
      </w:r>
    </w:p>
    <w:p>
      <w:pPr>
        <w:pStyle w:val="BodyText"/>
      </w:pPr>
      <w:r>
        <w:t xml:space="preserve">Copyright: Fair Use:</w:t>
      </w:r>
      <w:r>
        <w:t xml:space="preserve"> </w:t>
      </w:r>
      <w:hyperlink r:id="rId31">
        <w:r>
          <w:rPr>
            <w:rStyle w:val="Hyperlink"/>
          </w:rPr>
          <w:t xml:space="preserve">https://www.copyright.gov/fair-use/</w:t>
        </w:r>
      </w:hyperlink>
    </w:p>
    <w:p>
      <w:pPr>
        <w:pStyle w:val="BodyText"/>
      </w:pPr>
      <w:r>
        <w:t xml:space="preserve">Measuring Fair Use: The Four Factors:</w:t>
      </w:r>
      <w:r>
        <w:t xml:space="preserve"> </w:t>
      </w:r>
      <w:hyperlink r:id="rId32">
        <w:r>
          <w:rPr>
            <w:rStyle w:val="Hyperlink"/>
          </w:rPr>
          <w:t xml:space="preserve">http://fairuse.stanford.edu/Copyright_and_Fair_Use_Overview/chapter9/9-b.html</w:t>
        </w:r>
      </w:hyperlink>
    </w:p>
    <w:p>
      <w:pPr>
        <w:pStyle w:val="BodyText"/>
      </w:pPr>
      <w:r>
        <w:t xml:space="preserve">Fair Use Checklist:</w:t>
      </w:r>
      <w:r>
        <w:t xml:space="preserve"> </w:t>
      </w:r>
      <w:hyperlink r:id="rId33">
        <w:r>
          <w:rPr>
            <w:rStyle w:val="Hyperlink"/>
          </w:rPr>
          <w:t xml:space="preserve">https://copyright.columbia.edu/basics/fair-use/fair-use-checklist.html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://fairuse.stanford.edu/Copyright_and_Fair_Use_Overview/chapter9/9-b.html" TargetMode="External" /><Relationship Type="http://schemas.openxmlformats.org/officeDocument/2006/relationships/hyperlink" Id="rId30" Target="http://lj.libraryjournal.com/2012/06/shows-events/ala/fair-use-panel-cautions-against-adopting-georgia-state-ruling-as-definitive-ala-annual-2012/" TargetMode="External" /><Relationship Type="http://schemas.openxmlformats.org/officeDocument/2006/relationships/hyperlink" Id="rId28" Target="http://www.law.cornell.edu/uscode/text/17/106" TargetMode="External" /><Relationship Type="http://schemas.openxmlformats.org/officeDocument/2006/relationships/hyperlink" Id="rId29" Target="http://www.law.cornell.edu/uscode/text/17/106A" TargetMode="External" /><Relationship Type="http://schemas.openxmlformats.org/officeDocument/2006/relationships/hyperlink" Id="rId27" Target="http://www.law.cornell.edu/uscode/text/17/107" TargetMode="External" /><Relationship Type="http://schemas.openxmlformats.org/officeDocument/2006/relationships/hyperlink" Id="rId33" Target="https://copyright.columbia.edu/basics/fair-use/fair-use-checklist.html" TargetMode="External" /><Relationship Type="http://schemas.openxmlformats.org/officeDocument/2006/relationships/hyperlink" Id="rId21" Target="https://lis654fa21.wordpress.com/" TargetMode="External" /><Relationship Type="http://schemas.openxmlformats.org/officeDocument/2006/relationships/hyperlink" Id="rId31" Target="https://www.copyright.gov/fair-us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fairuse.stanford.edu/Copyright_and_Fair_Use_Overview/chapter9/9-b.html" TargetMode="External" /><Relationship Type="http://schemas.openxmlformats.org/officeDocument/2006/relationships/hyperlink" Id="rId30" Target="http://lj.libraryjournal.com/2012/06/shows-events/ala/fair-use-panel-cautions-against-adopting-georgia-state-ruling-as-definitive-ala-annual-2012/" TargetMode="External" /><Relationship Type="http://schemas.openxmlformats.org/officeDocument/2006/relationships/hyperlink" Id="rId28" Target="http://www.law.cornell.edu/uscode/text/17/106" TargetMode="External" /><Relationship Type="http://schemas.openxmlformats.org/officeDocument/2006/relationships/hyperlink" Id="rId29" Target="http://www.law.cornell.edu/uscode/text/17/106A" TargetMode="External" /><Relationship Type="http://schemas.openxmlformats.org/officeDocument/2006/relationships/hyperlink" Id="rId27" Target="http://www.law.cornell.edu/uscode/text/17/107" TargetMode="External" /><Relationship Type="http://schemas.openxmlformats.org/officeDocument/2006/relationships/hyperlink" Id="rId33" Target="https://copyright.columbia.edu/basics/fair-use/fair-use-checklist.html" TargetMode="External" /><Relationship Type="http://schemas.openxmlformats.org/officeDocument/2006/relationships/hyperlink" Id="rId21" Target="https://lis654fa21.wordpress.com/" TargetMode="External" /><Relationship Type="http://schemas.openxmlformats.org/officeDocument/2006/relationships/hyperlink" Id="rId31" Target="https://www.copyright.gov/fair-u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2021-08-31T02:47:05Z</dcterms:created>
  <dcterms:modified xsi:type="dcterms:W3CDTF">2021-08-31T02:47:05Z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