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384DF" w14:textId="77777777" w:rsidR="002B6AA5" w:rsidRPr="002B6AA5" w:rsidRDefault="002B6AA5" w:rsidP="002B6AA5">
      <w:pPr>
        <w:pBdr>
          <w:bottom w:val="single" w:sz="6" w:space="7" w:color="EEEEEE"/>
        </w:pBdr>
        <w:shd w:val="clear" w:color="auto" w:fill="FFFFFF"/>
        <w:spacing w:after="300" w:line="240" w:lineRule="auto"/>
        <w:outlineLvl w:val="0"/>
        <w:rPr>
          <w:rFonts w:ascii="inherit" w:eastAsia="Times New Roman" w:hAnsi="inherit" w:cs="Noto Sans"/>
          <w:b/>
          <w:bCs/>
          <w:color w:val="3C4245"/>
          <w:kern w:val="36"/>
          <w:sz w:val="54"/>
          <w:szCs w:val="54"/>
          <w:lang w:eastAsia="en-ID"/>
        </w:rPr>
      </w:pPr>
      <w:r w:rsidRPr="002B6AA5">
        <w:rPr>
          <w:rFonts w:ascii="inherit" w:eastAsia="Times New Roman" w:hAnsi="inherit" w:cs="Noto Sans"/>
          <w:b/>
          <w:bCs/>
          <w:color w:val="3C4245"/>
          <w:kern w:val="36"/>
          <w:sz w:val="54"/>
          <w:szCs w:val="54"/>
          <w:lang w:eastAsia="en-ID"/>
        </w:rPr>
        <w:t>Sexually transmitted infections in Brazilian adolescent offenders in correctional facilities</w:t>
      </w:r>
    </w:p>
    <w:p w14:paraId="4DED55FF" w14:textId="77777777" w:rsidR="002B6AA5" w:rsidRPr="002B6AA5" w:rsidRDefault="002B6AA5" w:rsidP="002B6AA5">
      <w:pPr>
        <w:spacing w:after="150" w:line="240" w:lineRule="auto"/>
        <w:rPr>
          <w:rFonts w:ascii="Times New Roman" w:eastAsia="Times New Roman" w:hAnsi="Times New Roman" w:cs="Times New Roman"/>
          <w:i/>
          <w:iCs/>
          <w:sz w:val="24"/>
          <w:szCs w:val="24"/>
          <w:lang w:eastAsia="en-ID"/>
        </w:rPr>
      </w:pPr>
      <w:r w:rsidRPr="002B6AA5">
        <w:rPr>
          <w:rFonts w:ascii="Times New Roman" w:eastAsia="Times New Roman" w:hAnsi="Times New Roman" w:cs="Times New Roman"/>
          <w:i/>
          <w:iCs/>
          <w:sz w:val="24"/>
          <w:szCs w:val="24"/>
          <w:lang w:eastAsia="en-ID"/>
        </w:rPr>
        <w:t>Celina Roma Sánchez de Toledo et al.</w:t>
      </w:r>
    </w:p>
    <w:p w14:paraId="25090290" w14:textId="77777777" w:rsidR="002B6AA5" w:rsidRPr="002B6AA5" w:rsidRDefault="002B6AA5" w:rsidP="002B6AA5">
      <w:pPr>
        <w:spacing w:after="0" w:line="240" w:lineRule="auto"/>
        <w:rPr>
          <w:rFonts w:ascii="Times New Roman" w:eastAsia="Times New Roman" w:hAnsi="Times New Roman" w:cs="Times New Roman"/>
          <w:sz w:val="24"/>
          <w:szCs w:val="24"/>
          <w:lang w:eastAsia="en-ID"/>
        </w:rPr>
      </w:pPr>
      <w:r w:rsidRPr="002B6AA5">
        <w:rPr>
          <w:rFonts w:ascii="Times New Roman" w:eastAsia="Times New Roman" w:hAnsi="Times New Roman" w:cs="Times New Roman"/>
          <w:b/>
          <w:bCs/>
          <w:sz w:val="24"/>
          <w:szCs w:val="24"/>
          <w:lang w:eastAsia="en-ID"/>
        </w:rPr>
        <w:t>Objective </w:t>
      </w:r>
      <w:r w:rsidRPr="002B6AA5">
        <w:rPr>
          <w:rFonts w:ascii="Times New Roman" w:eastAsia="Times New Roman" w:hAnsi="Times New Roman" w:cs="Times New Roman"/>
          <w:sz w:val="24"/>
          <w:szCs w:val="24"/>
          <w:lang w:eastAsia="en-ID"/>
        </w:rPr>
        <w:br/>
        <w:t>To assess the prevalence and risk factors of sexually transmitted infections (STI) among adolescent offenders held in correctional facilities.</w:t>
      </w:r>
      <w:r w:rsidRPr="002B6AA5">
        <w:rPr>
          <w:rFonts w:ascii="Times New Roman" w:eastAsia="Times New Roman" w:hAnsi="Times New Roman" w:cs="Times New Roman"/>
          <w:sz w:val="24"/>
          <w:szCs w:val="24"/>
          <w:lang w:eastAsia="en-ID"/>
        </w:rPr>
        <w:br/>
      </w:r>
      <w:r w:rsidRPr="002B6AA5">
        <w:rPr>
          <w:rFonts w:ascii="Times New Roman" w:eastAsia="Times New Roman" w:hAnsi="Times New Roman" w:cs="Times New Roman"/>
          <w:sz w:val="24"/>
          <w:szCs w:val="24"/>
          <w:lang w:eastAsia="en-ID"/>
        </w:rPr>
        <w:br/>
      </w:r>
      <w:r w:rsidRPr="002B6AA5">
        <w:rPr>
          <w:rFonts w:ascii="Times New Roman" w:eastAsia="Times New Roman" w:hAnsi="Times New Roman" w:cs="Times New Roman"/>
          <w:b/>
          <w:bCs/>
          <w:sz w:val="24"/>
          <w:szCs w:val="24"/>
          <w:lang w:eastAsia="en-ID"/>
        </w:rPr>
        <w:t>Methods</w:t>
      </w:r>
      <w:r w:rsidRPr="002B6AA5">
        <w:rPr>
          <w:rFonts w:ascii="Times New Roman" w:eastAsia="Times New Roman" w:hAnsi="Times New Roman" w:cs="Times New Roman"/>
          <w:sz w:val="24"/>
          <w:szCs w:val="24"/>
          <w:lang w:eastAsia="en-ID"/>
        </w:rPr>
        <w:t> </w:t>
      </w:r>
      <w:r w:rsidRPr="002B6AA5">
        <w:rPr>
          <w:rFonts w:ascii="Times New Roman" w:eastAsia="Times New Roman" w:hAnsi="Times New Roman" w:cs="Times New Roman"/>
          <w:sz w:val="24"/>
          <w:szCs w:val="24"/>
          <w:lang w:eastAsia="en-ID"/>
        </w:rPr>
        <w:br/>
        <w:t xml:space="preserve">This quantitative cross-sectional study, carried out in Rio de Janeiro, Brazil, included interviews to collect sociodemographic and clinical data and knowledge about STIs. Rapid tests for detection of syphilis antibodies and HIV infection, and molecular urine tests for chlamydia and </w:t>
      </w:r>
      <w:proofErr w:type="spellStart"/>
      <w:r w:rsidRPr="002B6AA5">
        <w:rPr>
          <w:rFonts w:ascii="Times New Roman" w:eastAsia="Times New Roman" w:hAnsi="Times New Roman" w:cs="Times New Roman"/>
          <w:sz w:val="24"/>
          <w:szCs w:val="24"/>
          <w:lang w:eastAsia="en-ID"/>
        </w:rPr>
        <w:t>gonorrhea</w:t>
      </w:r>
      <w:proofErr w:type="spellEnd"/>
      <w:r w:rsidRPr="002B6AA5">
        <w:rPr>
          <w:rFonts w:ascii="Times New Roman" w:eastAsia="Times New Roman" w:hAnsi="Times New Roman" w:cs="Times New Roman"/>
          <w:sz w:val="24"/>
          <w:szCs w:val="24"/>
          <w:lang w:eastAsia="en-ID"/>
        </w:rPr>
        <w:t xml:space="preserve"> were performed. Statistical analysis included STI prevalence estimates and multivariate analysis to identify risk factors.</w:t>
      </w:r>
      <w:r w:rsidRPr="002B6AA5">
        <w:rPr>
          <w:rFonts w:ascii="Times New Roman" w:eastAsia="Times New Roman" w:hAnsi="Times New Roman" w:cs="Times New Roman"/>
          <w:sz w:val="24"/>
          <w:szCs w:val="24"/>
          <w:lang w:eastAsia="en-ID"/>
        </w:rPr>
        <w:br/>
      </w:r>
      <w:r w:rsidRPr="002B6AA5">
        <w:rPr>
          <w:rFonts w:ascii="Times New Roman" w:eastAsia="Times New Roman" w:hAnsi="Times New Roman" w:cs="Times New Roman"/>
          <w:sz w:val="24"/>
          <w:szCs w:val="24"/>
          <w:lang w:eastAsia="en-ID"/>
        </w:rPr>
        <w:br/>
      </w:r>
      <w:r w:rsidRPr="002B6AA5">
        <w:rPr>
          <w:rFonts w:ascii="Times New Roman" w:eastAsia="Times New Roman" w:hAnsi="Times New Roman" w:cs="Times New Roman"/>
          <w:b/>
          <w:bCs/>
          <w:sz w:val="24"/>
          <w:szCs w:val="24"/>
          <w:lang w:eastAsia="en-ID"/>
        </w:rPr>
        <w:t>Results</w:t>
      </w:r>
      <w:r w:rsidRPr="002B6AA5">
        <w:rPr>
          <w:rFonts w:ascii="Times New Roman" w:eastAsia="Times New Roman" w:hAnsi="Times New Roman" w:cs="Times New Roman"/>
          <w:sz w:val="24"/>
          <w:szCs w:val="24"/>
          <w:lang w:eastAsia="en-ID"/>
        </w:rPr>
        <w:t> </w:t>
      </w:r>
      <w:r w:rsidRPr="002B6AA5">
        <w:rPr>
          <w:rFonts w:ascii="Times New Roman" w:eastAsia="Times New Roman" w:hAnsi="Times New Roman" w:cs="Times New Roman"/>
          <w:sz w:val="24"/>
          <w:szCs w:val="24"/>
          <w:lang w:eastAsia="en-ID"/>
        </w:rPr>
        <w:br/>
        <w:t xml:space="preserve">A total of 965 adolescents (average age: 16.1 years; 85.1% male) were included in the study. STI prevalence was higher in the female unit than in the male units: syphilis (45.6% vs. 7.7%), chlamydia (34.6% vs. 19.7%), </w:t>
      </w:r>
      <w:proofErr w:type="spellStart"/>
      <w:r w:rsidRPr="002B6AA5">
        <w:rPr>
          <w:rFonts w:ascii="Times New Roman" w:eastAsia="Times New Roman" w:hAnsi="Times New Roman" w:cs="Times New Roman"/>
          <w:sz w:val="24"/>
          <w:szCs w:val="24"/>
          <w:lang w:eastAsia="en-ID"/>
        </w:rPr>
        <w:t>gonorrhea</w:t>
      </w:r>
      <w:proofErr w:type="spellEnd"/>
      <w:r w:rsidRPr="002B6AA5">
        <w:rPr>
          <w:rFonts w:ascii="Times New Roman" w:eastAsia="Times New Roman" w:hAnsi="Times New Roman" w:cs="Times New Roman"/>
          <w:sz w:val="24"/>
          <w:szCs w:val="24"/>
          <w:lang w:eastAsia="en-ID"/>
        </w:rPr>
        <w:t xml:space="preserve"> (12.5% vs. 6.0%), and HIV (1.5% vs. 0.4%). The prevalence of “at least one STI” was higher in the female unit compared to the male units (68.4% vs. 27.3%; prevalence ratio 2.51). This high bur den of STIs, which were often asymptomatic, was associated with multiple sexual partners and unprotected sex practices, reflecting important gaps in sex education in this highly vulnerable group who demonstrated limited knowledge on STI risk and prevention.</w:t>
      </w:r>
      <w:r w:rsidRPr="002B6AA5">
        <w:rPr>
          <w:rFonts w:ascii="Times New Roman" w:eastAsia="Times New Roman" w:hAnsi="Times New Roman" w:cs="Times New Roman"/>
          <w:sz w:val="24"/>
          <w:szCs w:val="24"/>
          <w:lang w:eastAsia="en-ID"/>
        </w:rPr>
        <w:br/>
      </w:r>
      <w:r w:rsidRPr="002B6AA5">
        <w:rPr>
          <w:rFonts w:ascii="Times New Roman" w:eastAsia="Times New Roman" w:hAnsi="Times New Roman" w:cs="Times New Roman"/>
          <w:sz w:val="24"/>
          <w:szCs w:val="24"/>
          <w:lang w:eastAsia="en-ID"/>
        </w:rPr>
        <w:br/>
      </w:r>
      <w:r w:rsidRPr="002B6AA5">
        <w:rPr>
          <w:rFonts w:ascii="Times New Roman" w:eastAsia="Times New Roman" w:hAnsi="Times New Roman" w:cs="Times New Roman"/>
          <w:b/>
          <w:bCs/>
          <w:sz w:val="24"/>
          <w:szCs w:val="24"/>
          <w:lang w:eastAsia="en-ID"/>
        </w:rPr>
        <w:t>Conclusions </w:t>
      </w:r>
      <w:r w:rsidRPr="002B6AA5">
        <w:rPr>
          <w:rFonts w:ascii="Times New Roman" w:eastAsia="Times New Roman" w:hAnsi="Times New Roman" w:cs="Times New Roman"/>
          <w:sz w:val="24"/>
          <w:szCs w:val="24"/>
          <w:lang w:eastAsia="en-ID"/>
        </w:rPr>
        <w:br/>
        <w:t>This high prevalence of STIs, combined with limited knowledge of prevention, calls for comprehensive strategies associating systematic screening, timely treatment, and sexual health education into the routine activities of socio-educational institutions.</w:t>
      </w:r>
    </w:p>
    <w:p w14:paraId="4175083C" w14:textId="77777777" w:rsidR="000D46E0" w:rsidRDefault="000D46E0"/>
    <w:sectPr w:rsidR="000D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A5"/>
    <w:rsid w:val="000D46E0"/>
    <w:rsid w:val="00176BE7"/>
    <w:rsid w:val="002B6AA5"/>
    <w:rsid w:val="002D723A"/>
    <w:rsid w:val="008C4268"/>
    <w:rsid w:val="008F5619"/>
    <w:rsid w:val="00D83983"/>
    <w:rsid w:val="00F81959"/>
    <w:rsid w:val="00FA6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EA6B"/>
  <w15:chartTrackingRefBased/>
  <w15:docId w15:val="{0EE68AC4-49A1-4F01-9543-B088EF83B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6A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A5"/>
    <w:rPr>
      <w:rFonts w:ascii="Times New Roman" w:eastAsia="Times New Roman" w:hAnsi="Times New Roman" w:cs="Times New Roman"/>
      <w:b/>
      <w:bCs/>
      <w:kern w:val="36"/>
      <w:sz w:val="48"/>
      <w:szCs w:val="48"/>
      <w:lang w:eastAsia="en-ID"/>
    </w:rPr>
  </w:style>
  <w:style w:type="paragraph" w:styleId="NormalWeb">
    <w:name w:val="Normal (Web)"/>
    <w:basedOn w:val="Normal"/>
    <w:uiPriority w:val="99"/>
    <w:semiHidden/>
    <w:unhideWhenUsed/>
    <w:rsid w:val="002B6AA5"/>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2B6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49568">
      <w:bodyDiv w:val="1"/>
      <w:marLeft w:val="0"/>
      <w:marRight w:val="0"/>
      <w:marTop w:val="0"/>
      <w:marBottom w:val="0"/>
      <w:divBdr>
        <w:top w:val="none" w:sz="0" w:space="0" w:color="auto"/>
        <w:left w:val="none" w:sz="0" w:space="0" w:color="auto"/>
        <w:bottom w:val="none" w:sz="0" w:space="0" w:color="auto"/>
        <w:right w:val="none" w:sz="0" w:space="0" w:color="auto"/>
      </w:divBdr>
      <w:divsChild>
        <w:div w:id="1800610391">
          <w:marLeft w:val="0"/>
          <w:marRight w:val="0"/>
          <w:marTop w:val="0"/>
          <w:marBottom w:val="0"/>
          <w:divBdr>
            <w:top w:val="none" w:sz="0" w:space="0" w:color="auto"/>
            <w:left w:val="none" w:sz="0" w:space="0" w:color="auto"/>
            <w:bottom w:val="none" w:sz="0" w:space="0" w:color="auto"/>
            <w:right w:val="none" w:sz="0" w:space="0" w:color="auto"/>
          </w:divBdr>
          <w:divsChild>
            <w:div w:id="1071806275">
              <w:marLeft w:val="0"/>
              <w:marRight w:val="0"/>
              <w:marTop w:val="0"/>
              <w:marBottom w:val="0"/>
              <w:divBdr>
                <w:top w:val="none" w:sz="0" w:space="0" w:color="auto"/>
                <w:left w:val="none" w:sz="0" w:space="0" w:color="auto"/>
                <w:bottom w:val="none" w:sz="0" w:space="0" w:color="auto"/>
                <w:right w:val="none" w:sz="0" w:space="0" w:color="auto"/>
              </w:divBdr>
            </w:div>
          </w:divsChild>
        </w:div>
        <w:div w:id="1174107225">
          <w:marLeft w:val="0"/>
          <w:marRight w:val="0"/>
          <w:marTop w:val="0"/>
          <w:marBottom w:val="0"/>
          <w:divBdr>
            <w:top w:val="none" w:sz="0" w:space="0" w:color="auto"/>
            <w:left w:val="none" w:sz="0" w:space="0" w:color="auto"/>
            <w:bottom w:val="none" w:sz="0" w:space="0" w:color="auto"/>
            <w:right w:val="none" w:sz="0" w:space="0" w:color="auto"/>
          </w:divBdr>
          <w:divsChild>
            <w:div w:id="1025787504">
              <w:marLeft w:val="0"/>
              <w:marRight w:val="0"/>
              <w:marTop w:val="0"/>
              <w:marBottom w:val="0"/>
              <w:divBdr>
                <w:top w:val="none" w:sz="0" w:space="0" w:color="auto"/>
                <w:left w:val="none" w:sz="0" w:space="0" w:color="auto"/>
                <w:bottom w:val="none" w:sz="0" w:space="0" w:color="auto"/>
                <w:right w:val="none" w:sz="0" w:space="0" w:color="auto"/>
              </w:divBdr>
              <w:divsChild>
                <w:div w:id="1739664802">
                  <w:marLeft w:val="0"/>
                  <w:marRight w:val="0"/>
                  <w:marTop w:val="0"/>
                  <w:marBottom w:val="150"/>
                  <w:divBdr>
                    <w:top w:val="none" w:sz="0" w:space="0" w:color="auto"/>
                    <w:left w:val="none" w:sz="0" w:space="0" w:color="auto"/>
                    <w:bottom w:val="none" w:sz="0" w:space="0" w:color="auto"/>
                    <w:right w:val="none" w:sz="0" w:space="0" w:color="auto"/>
                  </w:divBdr>
                </w:div>
                <w:div w:id="11438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Hadry</dc:creator>
  <cp:keywords/>
  <dc:description/>
  <cp:lastModifiedBy>Dwi Hadry</cp:lastModifiedBy>
  <cp:revision>1</cp:revision>
  <cp:lastPrinted>2026-05-16T01:01:00Z</cp:lastPrinted>
  <dcterms:created xsi:type="dcterms:W3CDTF">2026-05-16T01:00:00Z</dcterms:created>
  <dcterms:modified xsi:type="dcterms:W3CDTF">2026-05-16T01:02:00Z</dcterms:modified>
</cp:coreProperties>
</file>