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11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6820948</wp:posOffset>
                </wp:positionH>
                <wp:positionV relativeFrom="paragraph">
                  <wp:posOffset>68148</wp:posOffset>
                </wp:positionV>
                <wp:extent cx="1270" cy="252729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52729">
                              <a:moveTo>
                                <a:pt x="0" y="2527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D493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37.082581pt,25.266pt" to="537.082581pt,5.366pt" stroked="true" strokeweight="3pt" strokecolor="#d4936a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90"/>
        </w:rPr>
        <w:t>Editorials</w:t>
      </w:r>
    </w:p>
    <w:p>
      <w:pPr>
        <w:pStyle w:val="BodyText"/>
        <w:spacing w:before="163"/>
        <w:rPr>
          <w:rFonts w:ascii="Trebuchet MS"/>
          <w:sz w:val="38"/>
        </w:rPr>
      </w:pPr>
    </w:p>
    <w:p>
      <w:pPr>
        <w:pStyle w:val="Title"/>
        <w:spacing w:line="244" w:lineRule="auto"/>
      </w:pPr>
      <w:r>
        <w:rPr>
          <w:color w:val="C05D28"/>
          <w:w w:val="75"/>
        </w:rPr>
        <w:t>Improving national alignment to mark 50 years of WHO’s essential </w:t>
      </w:r>
      <w:r>
        <w:rPr>
          <w:color w:val="C05D28"/>
          <w:w w:val="80"/>
        </w:rPr>
        <w:t>medicines lists</w:t>
      </w:r>
    </w:p>
    <w:p>
      <w:pPr>
        <w:spacing w:before="19"/>
        <w:ind w:left="121" w:right="0" w:firstLine="0"/>
        <w:jc w:val="left"/>
        <w:rPr>
          <w:rFonts w:ascii="Trebuchet MS"/>
          <w:position w:val="8"/>
          <w:sz w:val="14"/>
        </w:rPr>
      </w:pPr>
      <w:r>
        <w:rPr>
          <w:rFonts w:ascii="Trebuchet MS"/>
          <w:w w:val="80"/>
          <w:sz w:val="24"/>
        </w:rPr>
        <w:t>Lorenzo</w:t>
      </w:r>
      <w:r>
        <w:rPr>
          <w:rFonts w:ascii="Trebuchet MS"/>
          <w:spacing w:val="-4"/>
          <w:w w:val="80"/>
          <w:sz w:val="24"/>
        </w:rPr>
        <w:t> </w:t>
      </w:r>
      <w:r>
        <w:rPr>
          <w:rFonts w:ascii="Trebuchet MS"/>
          <w:w w:val="80"/>
          <w:sz w:val="24"/>
        </w:rPr>
        <w:t>Moja,</w:t>
      </w:r>
      <w:r>
        <w:rPr>
          <w:rFonts w:ascii="Trebuchet MS"/>
          <w:w w:val="80"/>
          <w:position w:val="8"/>
          <w:sz w:val="14"/>
        </w:rPr>
        <w:t>a</w:t>
      </w:r>
      <w:r>
        <w:rPr>
          <w:rFonts w:ascii="Trebuchet MS"/>
          <w:spacing w:val="12"/>
          <w:position w:val="8"/>
          <w:sz w:val="14"/>
        </w:rPr>
        <w:t> </w:t>
      </w:r>
      <w:r>
        <w:rPr>
          <w:rFonts w:ascii="Trebuchet MS"/>
          <w:w w:val="80"/>
          <w:sz w:val="24"/>
        </w:rPr>
        <w:t>Bernadette</w:t>
      </w:r>
      <w:r>
        <w:rPr>
          <w:rFonts w:ascii="Trebuchet MS"/>
          <w:spacing w:val="-3"/>
          <w:w w:val="80"/>
          <w:sz w:val="24"/>
        </w:rPr>
        <w:t> </w:t>
      </w:r>
      <w:r>
        <w:rPr>
          <w:rFonts w:ascii="Trebuchet MS"/>
          <w:w w:val="80"/>
          <w:sz w:val="24"/>
        </w:rPr>
        <w:t>Cappello</w:t>
      </w:r>
      <w:r>
        <w:rPr>
          <w:rFonts w:ascii="Trebuchet MS"/>
          <w:w w:val="80"/>
          <w:position w:val="8"/>
          <w:sz w:val="14"/>
        </w:rPr>
        <w:t>a</w:t>
      </w:r>
      <w:r>
        <w:rPr>
          <w:rFonts w:ascii="Trebuchet MS"/>
          <w:spacing w:val="12"/>
          <w:position w:val="8"/>
          <w:sz w:val="14"/>
        </w:rPr>
        <w:t> </w:t>
      </w:r>
      <w:r>
        <w:rPr>
          <w:rFonts w:ascii="Trebuchet MS"/>
          <w:w w:val="80"/>
          <w:sz w:val="24"/>
        </w:rPr>
        <w:t>&amp;</w:t>
      </w:r>
      <w:r>
        <w:rPr>
          <w:rFonts w:ascii="Trebuchet MS"/>
          <w:spacing w:val="-3"/>
          <w:w w:val="80"/>
          <w:sz w:val="24"/>
        </w:rPr>
        <w:t> </w:t>
      </w:r>
      <w:r>
        <w:rPr>
          <w:rFonts w:ascii="Trebuchet MS"/>
          <w:w w:val="80"/>
          <w:sz w:val="24"/>
        </w:rPr>
        <w:t>Deusdedit</w:t>
      </w:r>
      <w:r>
        <w:rPr>
          <w:rFonts w:ascii="Trebuchet MS"/>
          <w:spacing w:val="-3"/>
          <w:w w:val="80"/>
          <w:sz w:val="24"/>
        </w:rPr>
        <w:t> </w:t>
      </w:r>
      <w:r>
        <w:rPr>
          <w:rFonts w:ascii="Trebuchet MS"/>
          <w:spacing w:val="-2"/>
          <w:w w:val="80"/>
          <w:sz w:val="24"/>
        </w:rPr>
        <w:t>Mubangizi</w:t>
      </w:r>
      <w:r>
        <w:rPr>
          <w:rFonts w:ascii="Trebuchet MS"/>
          <w:spacing w:val="-2"/>
          <w:w w:val="80"/>
          <w:position w:val="8"/>
          <w:sz w:val="14"/>
        </w:rPr>
        <w:t>a</w:t>
      </w:r>
    </w:p>
    <w:p>
      <w:pPr>
        <w:pStyle w:val="BodyText"/>
        <w:spacing w:before="134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footerReference w:type="default" r:id="rId5"/>
          <w:type w:val="continuous"/>
          <w:pgSz w:w="11910" w:h="16840"/>
          <w:pgMar w:header="0" w:footer="744" w:top="480" w:bottom="940" w:left="992" w:right="1133"/>
          <w:pgNumType w:start="1"/>
        </w:sectPr>
      </w:pPr>
    </w:p>
    <w:p>
      <w:pPr>
        <w:pStyle w:val="BodyText"/>
        <w:spacing w:line="230" w:lineRule="exact" w:before="104"/>
        <w:ind w:left="121" w:right="40"/>
        <w:jc w:val="both"/>
      </w:pPr>
      <w:r>
        <w:rPr/>
        <w:t>In</w:t>
      </w:r>
      <w:r>
        <w:rPr>
          <w:spacing w:val="-11"/>
        </w:rPr>
        <w:t> </w:t>
      </w:r>
      <w:r>
        <w:rPr/>
        <w:t>1977,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Organization (WHO)</w:t>
      </w:r>
      <w:r>
        <w:rPr>
          <w:spacing w:val="-12"/>
        </w:rPr>
        <w:t> </w:t>
      </w:r>
      <w:r>
        <w:rPr/>
        <w:t>published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>
          <w:rFonts w:ascii="Palatino Linotype" w:hAnsi="Palatino Linotype"/>
          <w:i/>
        </w:rPr>
        <w:t>WHO</w:t>
      </w:r>
      <w:r>
        <w:rPr>
          <w:rFonts w:ascii="Palatino Linotype" w:hAnsi="Palatino Linotype"/>
          <w:i/>
          <w:spacing w:val="-12"/>
        </w:rPr>
        <w:t> </w:t>
      </w:r>
      <w:r>
        <w:rPr>
          <w:rFonts w:ascii="Palatino Linotype" w:hAnsi="Palatino Linotype"/>
          <w:i/>
        </w:rPr>
        <w:t>Model list of essential medicines </w:t>
      </w:r>
      <w:r>
        <w:rPr/>
        <w:t>to determine which</w:t>
      </w:r>
      <w:r>
        <w:rPr>
          <w:spacing w:val="-5"/>
        </w:rPr>
        <w:t> </w:t>
      </w:r>
      <w:r>
        <w:rPr/>
        <w:t>medicines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vital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public health that every health system should ensure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availability.</w:t>
      </w:r>
      <w:hyperlink w:history="true" w:anchor="_bookmark0">
        <w:r>
          <w:rPr>
            <w:color w:val="C05D28"/>
            <w:position w:val="6"/>
            <w:sz w:val="11"/>
          </w:rPr>
          <w:t>1</w:t>
        </w:r>
      </w:hyperlink>
      <w:r>
        <w:rPr>
          <w:color w:val="C05D28"/>
          <w:spacing w:val="40"/>
          <w:position w:val="6"/>
          <w:sz w:val="11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in response to growing awareness that medicine policies must reflect popula- tion</w:t>
      </w:r>
      <w:r>
        <w:rPr>
          <w:spacing w:val="-11"/>
        </w:rPr>
        <w:t> </w:t>
      </w:r>
      <w:r>
        <w:rPr/>
        <w:t>needs</w:t>
      </w:r>
      <w:r>
        <w:rPr>
          <w:spacing w:val="-11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market</w:t>
      </w:r>
      <w:r>
        <w:rPr>
          <w:spacing w:val="-11"/>
        </w:rPr>
        <w:t> </w:t>
      </w:r>
      <w:r>
        <w:rPr/>
        <w:t>forces,</w:t>
      </w:r>
      <w:r>
        <w:rPr>
          <w:spacing w:val="-11"/>
        </w:rPr>
        <w:t> </w:t>
      </w:r>
      <w:r>
        <w:rPr/>
        <w:t>the model list aligned with principles later enshrined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Alma-Ata</w:t>
      </w:r>
      <w:r>
        <w:rPr>
          <w:spacing w:val="-12"/>
        </w:rPr>
        <w:t> </w:t>
      </w:r>
      <w:r>
        <w:rPr/>
        <w:t>Declaration.</w:t>
      </w:r>
      <w:hyperlink w:history="true" w:anchor="_bookmark1">
        <w:r>
          <w:rPr>
            <w:color w:val="C05D28"/>
            <w:position w:val="6"/>
            <w:sz w:val="11"/>
          </w:rPr>
          <w:t>2</w:t>
        </w:r>
      </w:hyperlink>
      <w:r>
        <w:rPr>
          <w:color w:val="C05D28"/>
          <w:spacing w:val="40"/>
          <w:position w:val="6"/>
          <w:sz w:val="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list’s</w:t>
      </w:r>
      <w:r>
        <w:rPr>
          <w:spacing w:val="-6"/>
        </w:rPr>
        <w:t> </w:t>
      </w:r>
      <w:r>
        <w:rPr>
          <w:spacing w:val="-2"/>
        </w:rPr>
        <w:t>purpose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pragmatic: </w:t>
      </w:r>
      <w:r>
        <w:rPr/>
        <w:t>to support rational selection, efficient procurement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equitable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set- tings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were,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remain, </w:t>
      </w:r>
      <w:r>
        <w:rPr>
          <w:spacing w:val="-2"/>
        </w:rPr>
        <w:t>constrained.</w:t>
      </w:r>
    </w:p>
    <w:p>
      <w:pPr>
        <w:pStyle w:val="BodyText"/>
        <w:spacing w:line="252" w:lineRule="auto" w:before="6"/>
        <w:ind w:left="121" w:right="40" w:firstLine="340"/>
        <w:jc w:val="both"/>
      </w:pPr>
      <w:r>
        <w:rPr/>
        <w:t>By</w:t>
      </w:r>
      <w:r>
        <w:rPr>
          <w:spacing w:val="-9"/>
        </w:rPr>
        <w:t> </w:t>
      </w:r>
      <w:r>
        <w:rPr/>
        <w:t>defining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medicines with</w:t>
      </w:r>
      <w:r>
        <w:rPr>
          <w:spacing w:val="-6"/>
        </w:rPr>
        <w:t> </w:t>
      </w:r>
      <w:r>
        <w:rPr/>
        <w:t>proven</w:t>
      </w:r>
      <w:r>
        <w:rPr>
          <w:spacing w:val="-6"/>
        </w:rPr>
        <w:t> </w:t>
      </w:r>
      <w:r>
        <w:rPr/>
        <w:t>clinical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comparative effectiveness, and acceptable safety,</w:t>
      </w:r>
      <w:r>
        <w:rPr>
          <w:spacing w:val="40"/>
        </w:rPr>
        <w:t> </w:t>
      </w:r>
      <w:r>
        <w:rPr/>
        <w:t>the WHO model list created a shared language for clinicians, payers and manufacturers. The model list also of- fered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template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countries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 national essential medicines lists tai- lored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epidemiological</w:t>
      </w:r>
      <w:r>
        <w:rPr>
          <w:spacing w:val="-12"/>
        </w:rPr>
        <w:t> </w:t>
      </w:r>
      <w:r>
        <w:rPr/>
        <w:t>needs</w:t>
      </w:r>
      <w:r>
        <w:rPr>
          <w:spacing w:val="-12"/>
        </w:rPr>
        <w:t> </w:t>
      </w:r>
      <w:r>
        <w:rPr/>
        <w:t>and budgetary realities. The early focus on primary care and affordable treatments reflected both the disease burden of the time and the need to build a foundation for universal access.</w:t>
      </w:r>
    </w:p>
    <w:p>
      <w:pPr>
        <w:pStyle w:val="BodyText"/>
        <w:spacing w:line="249" w:lineRule="auto" w:before="9"/>
        <w:ind w:left="121" w:right="38" w:firstLine="340"/>
        <w:jc w:val="both"/>
        <w:rPr>
          <w:position w:val="6"/>
          <w:sz w:val="11"/>
        </w:rPr>
      </w:pPr>
      <w:r>
        <w:rPr/>
        <w:t>Fifty years on, the concept of es- sential medicine remains relevant. The WHO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evolved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 new </w:t>
      </w:r>
      <w:r>
        <w:rPr>
          <w:spacing w:val="11"/>
        </w:rPr>
        <w:t>therapeutic</w:t>
      </w:r>
      <w:r>
        <w:rPr>
          <w:spacing w:val="11"/>
        </w:rPr>
        <w:t> classes,</w:t>
      </w:r>
      <w:r>
        <w:rPr>
          <w:spacing w:val="11"/>
        </w:rPr>
        <w:t> biologics </w:t>
      </w:r>
      <w:r>
        <w:rPr/>
        <w:t>and medicines for noncommunicable and rare diseases, while maintaining rigorous standards for evidence and relevance.</w:t>
      </w:r>
      <w:r>
        <w:rPr>
          <w:spacing w:val="-7"/>
        </w:rPr>
        <w:t> </w:t>
      </w:r>
      <w:r>
        <w:rPr/>
        <w:t>Initiatives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rFonts w:ascii="Palatino Linotype" w:hAnsi="Palatino Linotype"/>
          <w:i/>
        </w:rPr>
        <w:t>Lancet </w:t>
      </w:r>
      <w:r>
        <w:rPr/>
        <w:t>commission on accelerating progress</w:t>
      </w:r>
      <w:r>
        <w:rPr>
          <w:spacing w:val="40"/>
        </w:rPr>
        <w:t> </w:t>
      </w:r>
      <w:r>
        <w:rPr/>
        <w:t>on essential medicines explore how the WHO model list can continue to guide countries towards universal health coverage, emphasizing prioritization</w:t>
      </w:r>
      <w:r>
        <w:rPr>
          <w:spacing w:val="80"/>
          <w:w w:val="150"/>
        </w:rPr>
        <w:t> </w:t>
      </w:r>
      <w:r>
        <w:rPr/>
        <w:t>of medicines at country level based on clinical value and public health impact across all income levels.</w:t>
      </w:r>
      <w:hyperlink w:history="true" w:anchor="_bookmark2">
        <w:r>
          <w:rPr>
            <w:color w:val="C05D28"/>
            <w:position w:val="6"/>
            <w:sz w:val="11"/>
          </w:rPr>
          <w:t>3</w:t>
        </w:r>
      </w:hyperlink>
      <w:r>
        <w:rPr>
          <w:color w:val="C05D28"/>
          <w:spacing w:val="40"/>
          <w:position w:val="6"/>
          <w:sz w:val="11"/>
        </w:rPr>
        <w:t> </w:t>
      </w:r>
      <w:r>
        <w:rPr/>
        <w:t>WHO col- laborating</w:t>
      </w:r>
      <w:r>
        <w:rPr>
          <w:spacing w:val="-9"/>
        </w:rPr>
        <w:t> </w:t>
      </w:r>
      <w:r>
        <w:rPr/>
        <w:t>centres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preparing</w:t>
      </w:r>
      <w:r>
        <w:rPr>
          <w:spacing w:val="-9"/>
        </w:rPr>
        <w:t> </w:t>
      </w:r>
      <w:r>
        <w:rPr/>
        <w:t>for the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list’s</w:t>
      </w:r>
      <w:r>
        <w:rPr>
          <w:spacing w:val="-12"/>
        </w:rPr>
        <w:t> </w:t>
      </w:r>
      <w:r>
        <w:rPr/>
        <w:t>fiftieth</w:t>
      </w:r>
      <w:r>
        <w:rPr>
          <w:spacing w:val="-12"/>
        </w:rPr>
        <w:t> </w:t>
      </w:r>
      <w:r>
        <w:rPr/>
        <w:t>anniversary</w:t>
      </w:r>
      <w:r>
        <w:rPr>
          <w:spacing w:val="-12"/>
        </w:rPr>
        <w:t> </w:t>
      </w:r>
      <w:r>
        <w:rPr/>
        <w:t>with regional and editorial initiatives.</w:t>
      </w:r>
      <w:hyperlink w:history="true" w:anchor="_bookmark3">
        <w:r>
          <w:rPr>
            <w:color w:val="C05D28"/>
            <w:position w:val="6"/>
            <w:sz w:val="11"/>
          </w:rPr>
          <w:t>4</w:t>
        </w:r>
      </w:hyperlink>
    </w:p>
    <w:p>
      <w:pPr>
        <w:pStyle w:val="BodyText"/>
        <w:spacing w:line="252" w:lineRule="auto" w:before="13"/>
        <w:ind w:left="121" w:right="41" w:firstLine="340"/>
        <w:jc w:val="both"/>
      </w:pPr>
      <w:r>
        <w:rPr/>
        <w:t>Nonetheless, governments must</w:t>
      </w:r>
      <w:r>
        <w:rPr>
          <w:spacing w:val="80"/>
        </w:rPr>
        <w:t> </w:t>
      </w:r>
      <w:r>
        <w:rPr/>
        <w:t>be</w:t>
      </w:r>
      <w:r>
        <w:rPr>
          <w:spacing w:val="19"/>
        </w:rPr>
        <w:t> </w:t>
      </w:r>
      <w:r>
        <w:rPr/>
        <w:t>held</w:t>
      </w:r>
      <w:r>
        <w:rPr>
          <w:spacing w:val="19"/>
        </w:rPr>
        <w:t> </w:t>
      </w:r>
      <w:r>
        <w:rPr/>
        <w:t>accountable</w:t>
      </w:r>
      <w:r>
        <w:rPr>
          <w:spacing w:val="20"/>
        </w:rPr>
        <w:t> </w:t>
      </w:r>
      <w:r>
        <w:rPr/>
        <w:t>for</w:t>
      </w:r>
      <w:r>
        <w:rPr>
          <w:spacing w:val="19"/>
        </w:rPr>
        <w:t> </w:t>
      </w:r>
      <w:r>
        <w:rPr/>
        <w:t>ensuring</w:t>
      </w:r>
      <w:r>
        <w:rPr>
          <w:spacing w:val="20"/>
        </w:rPr>
        <w:t> </w:t>
      </w:r>
      <w:r>
        <w:rPr>
          <w:spacing w:val="-2"/>
        </w:rPr>
        <w:t>their</w:t>
      </w:r>
    </w:p>
    <w:p>
      <w:pPr>
        <w:pStyle w:val="BodyText"/>
        <w:spacing w:line="252" w:lineRule="auto" w:before="110"/>
        <w:ind w:left="121" w:right="41"/>
        <w:jc w:val="both"/>
        <w:rPr>
          <w:position w:val="6"/>
          <w:sz w:val="11"/>
        </w:rPr>
      </w:pPr>
      <w:r>
        <w:rPr/>
        <w:br w:type="column"/>
      </w:r>
      <w:r>
        <w:rPr/>
        <w:t>national lists are up to date and aligned with the principles of the WHO model list. Although Member States formally endorsed the essential medicines con- </w:t>
      </w:r>
      <w:r>
        <w:rPr>
          <w:spacing w:val="-4"/>
        </w:rPr>
        <w:t>cept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1978</w:t>
      </w:r>
      <w:r>
        <w:rPr>
          <w:spacing w:val="-6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Health</w:t>
      </w:r>
      <w:r>
        <w:rPr>
          <w:spacing w:val="-6"/>
        </w:rPr>
        <w:t> </w:t>
      </w:r>
      <w:r>
        <w:rPr>
          <w:spacing w:val="-4"/>
        </w:rPr>
        <w:t>Assembly, </w:t>
      </w:r>
      <w:r>
        <w:rPr/>
        <w:t>national adoption remains uneven.</w:t>
      </w:r>
      <w:hyperlink w:history="true" w:anchor="_bookmark4">
        <w:r>
          <w:rPr>
            <w:color w:val="C05D28"/>
            <w:position w:val="6"/>
            <w:sz w:val="11"/>
          </w:rPr>
          <w:t>5</w:t>
        </w:r>
      </w:hyperlink>
    </w:p>
    <w:p>
      <w:pPr>
        <w:pStyle w:val="BodyText"/>
        <w:spacing w:line="252" w:lineRule="auto" w:before="4"/>
        <w:ind w:left="121" w:right="38" w:firstLine="340"/>
        <w:jc w:val="both"/>
      </w:pPr>
      <w:r>
        <w:rPr/>
        <w:t>Some variation between national lists and the WHO model list is ex- pected, reflecting local epidemiology and health system priorities. However, divergences</w:t>
      </w:r>
      <w:r>
        <w:rPr>
          <w:spacing w:val="-10"/>
        </w:rPr>
        <w:t> </w:t>
      </w:r>
      <w:r>
        <w:rPr/>
        <w:t>rooted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outdated</w:t>
      </w:r>
      <w:r>
        <w:rPr>
          <w:spacing w:val="-10"/>
        </w:rPr>
        <w:t> </w:t>
      </w:r>
      <w:r>
        <w:rPr/>
        <w:t>procure- ment habits, ineffective or suboptimal medicine choices, or irregular updates </w:t>
      </w:r>
      <w:r>
        <w:rPr>
          <w:spacing w:val="-2"/>
        </w:rPr>
        <w:t>undermine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selection</w:t>
      </w:r>
      <w:r>
        <w:rPr>
          <w:spacing w:val="-8"/>
        </w:rPr>
        <w:t> </w:t>
      </w:r>
      <w:r>
        <w:rPr>
          <w:spacing w:val="-2"/>
        </w:rPr>
        <w:t>framework’s</w:t>
      </w:r>
      <w:r>
        <w:rPr>
          <w:spacing w:val="-8"/>
        </w:rPr>
        <w:t> </w:t>
      </w:r>
      <w:r>
        <w:rPr>
          <w:spacing w:val="-2"/>
        </w:rPr>
        <w:t>in- </w:t>
      </w:r>
      <w:r>
        <w:rPr/>
        <w:t>tegrity.</w:t>
      </w:r>
      <w:hyperlink w:history="true" w:anchor="_bookmark5">
        <w:r>
          <w:rPr>
            <w:color w:val="C05D28"/>
            <w:position w:val="6"/>
            <w:sz w:val="11"/>
          </w:rPr>
          <w:t>6</w:t>
        </w:r>
      </w:hyperlink>
      <w:r>
        <w:rPr>
          <w:color w:val="C05D28"/>
          <w:spacing w:val="20"/>
          <w:position w:val="6"/>
          <w:sz w:val="11"/>
        </w:rPr>
        <w:t> </w:t>
      </w:r>
      <w:r>
        <w:rPr/>
        <w:t>Fragmentation in prioritization </w:t>
      </w:r>
      <w:r>
        <w:rPr>
          <w:spacing w:val="-2"/>
        </w:rPr>
        <w:t>weakens purchasing power, complicates </w:t>
      </w:r>
      <w:r>
        <w:rPr/>
        <w:t>forecasting and strains supply chains. Smaller markets struggle to attract multiple suppliers of quality-assured medicines, limiting competition and increasing the risk of shortages.</w:t>
      </w:r>
    </w:p>
    <w:p>
      <w:pPr>
        <w:pStyle w:val="BodyText"/>
        <w:spacing w:line="252" w:lineRule="auto" w:before="9"/>
        <w:ind w:left="121" w:right="38" w:firstLine="340"/>
        <w:jc w:val="right"/>
      </w:pPr>
      <w:r>
        <w:rPr/>
        <w:t>Moreover,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quality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many national</w:t>
      </w:r>
      <w:r>
        <w:rPr>
          <w:spacing w:val="-14"/>
        </w:rPr>
        <w:t> </w:t>
      </w:r>
      <w:r>
        <w:rPr/>
        <w:t>lists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inadequate.</w:t>
      </w:r>
      <w:r>
        <w:rPr>
          <w:spacing w:val="-14"/>
        </w:rPr>
        <w:t> </w:t>
      </w:r>
      <w:r>
        <w:rPr/>
        <w:t>Recent</w:t>
      </w:r>
      <w:r>
        <w:rPr>
          <w:spacing w:val="-14"/>
        </w:rPr>
        <w:t> </w:t>
      </w:r>
      <w:r>
        <w:rPr/>
        <w:t>stud- ies show that many lists lack details on formulations and treatment indications, impairing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procurement tools. National lists should specify rec- ommended alternatives within a thera- peutic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indications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sup- port</w:t>
      </w:r>
      <w:r>
        <w:rPr>
          <w:spacing w:val="-5"/>
        </w:rPr>
        <w:t> </w:t>
      </w:r>
      <w:r>
        <w:rPr/>
        <w:t>volume</w:t>
      </w:r>
      <w:r>
        <w:rPr>
          <w:spacing w:val="-5"/>
        </w:rPr>
        <w:t> </w:t>
      </w:r>
      <w:r>
        <w:rPr/>
        <w:t>planning.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the WHO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glucagon-like protein-1 receptor agonists specifying which agents (semaglutide, liraglutide, dulaglutide and/or tirzepatide), which formulations and strengths (for sema- glutide:</w:t>
      </w:r>
      <w:r>
        <w:rPr>
          <w:spacing w:val="-12"/>
        </w:rPr>
        <w:t> </w:t>
      </w:r>
      <w:r>
        <w:rPr/>
        <w:t>injection</w:t>
      </w:r>
      <w:r>
        <w:rPr>
          <w:spacing w:val="-12"/>
        </w:rPr>
        <w:t> </w:t>
      </w:r>
      <w:r>
        <w:rPr/>
        <w:t>0.68</w:t>
      </w:r>
      <w:r>
        <w:rPr>
          <w:spacing w:val="-12"/>
        </w:rPr>
        <w:t> </w:t>
      </w:r>
      <w:r>
        <w:rPr/>
        <w:t>mg/mL,</w:t>
      </w:r>
      <w:r>
        <w:rPr>
          <w:spacing w:val="-12"/>
        </w:rPr>
        <w:t> </w:t>
      </w:r>
      <w:r>
        <w:rPr/>
        <w:t>1.34</w:t>
      </w:r>
      <w:r>
        <w:rPr>
          <w:spacing w:val="-12"/>
        </w:rPr>
        <w:t> </w:t>
      </w:r>
      <w:r>
        <w:rPr/>
        <w:t>mg/ mL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2.68 mg/mL)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which indications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</w:t>
      </w:r>
      <w:r>
        <w:rPr>
          <w:spacing w:val="40"/>
        </w:rPr>
        <w:t> </w:t>
      </w:r>
      <w:r>
        <w:rPr/>
        <w:t>diabetes,</w:t>
      </w:r>
      <w:r>
        <w:rPr>
          <w:spacing w:val="40"/>
        </w:rPr>
        <w:t> </w:t>
      </w:r>
      <w:r>
        <w:rPr/>
        <w:t>in patients with coexisting cardiovascular disease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obesity)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recom- mended.</w:t>
      </w:r>
      <w:hyperlink w:history="true" w:anchor="_bookmark6">
        <w:r>
          <w:rPr>
            <w:color w:val="C05D28"/>
            <w:position w:val="6"/>
            <w:sz w:val="11"/>
          </w:rPr>
          <w:t>7</w:t>
        </w:r>
      </w:hyperlink>
      <w:r>
        <w:rPr>
          <w:color w:val="C05D28"/>
          <w:spacing w:val="-7"/>
          <w:position w:val="6"/>
          <w:sz w:val="11"/>
        </w:rPr>
        <w:t> </w:t>
      </w:r>
      <w:r>
        <w:rPr/>
        <w:t>Indications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critical,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they determine the eligible patient popula- tion and procurement volume. Extend- ing this class to patients with obesity</w:t>
      </w:r>
      <w:r>
        <w:rPr>
          <w:spacing w:val="40"/>
        </w:rPr>
        <w:t> </w:t>
      </w:r>
      <w:r>
        <w:rPr/>
        <w:t>alone on national lists is legitimate but entails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increase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costs,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expands the</w:t>
      </w:r>
      <w:r>
        <w:rPr>
          <w:spacing w:val="-16"/>
        </w:rPr>
        <w:t> </w:t>
      </w:r>
      <w:r>
        <w:rPr/>
        <w:t>eligible</w:t>
      </w:r>
      <w:r>
        <w:rPr>
          <w:spacing w:val="-16"/>
        </w:rPr>
        <w:t> </w:t>
      </w:r>
      <w:r>
        <w:rPr/>
        <w:t>population,</w:t>
      </w:r>
      <w:r>
        <w:rPr>
          <w:spacing w:val="-16"/>
        </w:rPr>
        <w:t> </w:t>
      </w:r>
      <w:r>
        <w:rPr/>
        <w:t>leading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higher demand, greater procurement volumes and a rapid rise in overall expenditure. 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fiftieth</w:t>
      </w:r>
      <w:r>
        <w:rPr>
          <w:spacing w:val="40"/>
        </w:rPr>
        <w:t> </w:t>
      </w:r>
      <w:r>
        <w:rPr/>
        <w:t>anniversary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WHO</w:t>
      </w:r>
      <w:r>
        <w:rPr>
          <w:spacing w:val="29"/>
        </w:rPr>
        <w:t> </w:t>
      </w:r>
      <w:r>
        <w:rPr/>
        <w:t>model</w:t>
      </w:r>
      <w:r>
        <w:rPr>
          <w:spacing w:val="30"/>
        </w:rPr>
        <w:t> </w:t>
      </w:r>
      <w:r>
        <w:rPr/>
        <w:t>list</w:t>
      </w:r>
      <w:r>
        <w:rPr>
          <w:spacing w:val="29"/>
        </w:rPr>
        <w:t> </w:t>
      </w:r>
      <w:r>
        <w:rPr/>
        <w:t>approaches,</w:t>
      </w:r>
      <w:r>
        <w:rPr>
          <w:spacing w:val="30"/>
        </w:rPr>
        <w:t> </w:t>
      </w:r>
      <w:r>
        <w:rPr>
          <w:spacing w:val="-2"/>
        </w:rPr>
        <w:t>request-</w:t>
      </w:r>
    </w:p>
    <w:p>
      <w:pPr>
        <w:pStyle w:val="BodyText"/>
        <w:spacing w:line="252" w:lineRule="auto" w:before="110"/>
        <w:ind w:left="121" w:right="13"/>
        <w:jc w:val="both"/>
      </w:pPr>
      <w:r>
        <w:rPr/>
        <w:br w:type="column"/>
      </w:r>
      <w:r>
        <w:rPr/>
        <w:t>ing</w:t>
      </w:r>
      <w:r>
        <w:rPr>
          <w:spacing w:val="-6"/>
        </w:rPr>
        <w:t> </w:t>
      </w:r>
      <w:r>
        <w:rPr/>
        <w:t>greater</w:t>
      </w:r>
      <w:r>
        <w:rPr>
          <w:spacing w:val="-6"/>
        </w:rPr>
        <w:t> </w:t>
      </w:r>
      <w:r>
        <w:rPr/>
        <w:t>accountability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national decision-makers is important. Rather than expanding lists indiscriminately</w:t>
      </w:r>
      <w:r>
        <w:rPr>
          <w:spacing w:val="80"/>
        </w:rPr>
        <w:t> </w:t>
      </w:r>
      <w:r>
        <w:rPr/>
        <w:t>or</w:t>
      </w:r>
      <w:r>
        <w:rPr>
          <w:spacing w:val="40"/>
        </w:rPr>
        <w:t> </w:t>
      </w:r>
      <w:r>
        <w:rPr/>
        <w:t>making</w:t>
      </w:r>
      <w:r>
        <w:rPr>
          <w:spacing w:val="40"/>
        </w:rPr>
        <w:t> </w:t>
      </w:r>
      <w:r>
        <w:rPr/>
        <w:t>symbolic</w:t>
      </w:r>
      <w:r>
        <w:rPr>
          <w:spacing w:val="40"/>
        </w:rPr>
        <w:t> </w:t>
      </w:r>
      <w:r>
        <w:rPr/>
        <w:t>additions</w:t>
      </w:r>
      <w:r>
        <w:rPr>
          <w:spacing w:val="40"/>
        </w:rPr>
        <w:t> </w:t>
      </w:r>
      <w:r>
        <w:rPr/>
        <w:t>that may not align with budgetary realities, policy-makers need to reassess how national lists can better serve public health goals. Countries may wish to explore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clearly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indications can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transform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lists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effec- tive policy tools. Clarifying formula- tions, such as dosage forms, strengths and delivery systems, could support more efficient procurement and use. Identifying age-appropriate formula- tions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help</w:t>
      </w:r>
      <w:r>
        <w:rPr>
          <w:spacing w:val="-12"/>
        </w:rPr>
        <w:t> </w:t>
      </w:r>
      <w:r>
        <w:rPr/>
        <w:t>stimulate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availability</w:t>
      </w:r>
      <w:r>
        <w:rPr>
          <w:spacing w:val="-12"/>
        </w:rPr>
        <w:t> </w:t>
      </w:r>
      <w:r>
        <w:rPr/>
        <w:t>of child-friendly products, would also be valuable.</w:t>
      </w:r>
      <w:hyperlink w:history="true" w:anchor="_bookmark7">
        <w:r>
          <w:rPr>
            <w:color w:val="C05D28"/>
            <w:position w:val="6"/>
            <w:sz w:val="11"/>
          </w:rPr>
          <w:t>8</w:t>
        </w:r>
      </w:hyperlink>
      <w:r>
        <w:rPr>
          <w:color w:val="C05D28"/>
          <w:spacing w:val="-7"/>
          <w:position w:val="6"/>
          <w:sz w:val="11"/>
        </w:rPr>
        <w:t> </w:t>
      </w:r>
      <w:r>
        <w:rPr/>
        <w:t>Making</w:t>
      </w:r>
      <w:r>
        <w:rPr>
          <w:spacing w:val="-12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lists</w:t>
      </w:r>
      <w:r>
        <w:rPr>
          <w:spacing w:val="-12"/>
        </w:rPr>
        <w:t> </w:t>
      </w:r>
      <w:r>
        <w:rPr/>
        <w:t>publicly accessible and governed transparently can foster alignment among clinicians, patients and suppliers. Importantly, do- ing so is a shared endeavour: all coun- </w:t>
      </w:r>
      <w:r>
        <w:rPr>
          <w:spacing w:val="-2"/>
        </w:rPr>
        <w:t>tries,</w:t>
      </w:r>
      <w:r>
        <w:rPr>
          <w:spacing w:val="-8"/>
        </w:rPr>
        <w:t> </w:t>
      </w:r>
      <w:r>
        <w:rPr>
          <w:spacing w:val="-2"/>
        </w:rPr>
        <w:t>regardless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income</w:t>
      </w:r>
      <w:r>
        <w:rPr>
          <w:spacing w:val="-8"/>
        </w:rPr>
        <w:t> </w:t>
      </w:r>
      <w:r>
        <w:rPr>
          <w:spacing w:val="-2"/>
        </w:rPr>
        <w:t>level,</w:t>
      </w:r>
      <w:r>
        <w:rPr>
          <w:spacing w:val="-8"/>
        </w:rPr>
        <w:t> </w:t>
      </w:r>
      <w:r>
        <w:rPr>
          <w:spacing w:val="-2"/>
        </w:rPr>
        <w:t>stand</w:t>
      </w:r>
      <w:r>
        <w:rPr>
          <w:spacing w:val="-8"/>
        </w:rPr>
        <w:t> </w:t>
      </w:r>
      <w:r>
        <w:rPr>
          <w:spacing w:val="-2"/>
        </w:rPr>
        <w:t>to </w:t>
      </w:r>
      <w:r>
        <w:rPr/>
        <w:t>benefit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clear,</w:t>
      </w:r>
      <w:r>
        <w:rPr>
          <w:spacing w:val="-12"/>
        </w:rPr>
        <w:t> </w:t>
      </w:r>
      <w:r>
        <w:rPr/>
        <w:t>current and functional essential medicines list. Paradoxically,</w:t>
      </w:r>
      <w:r>
        <w:rPr>
          <w:spacing w:val="-12"/>
        </w:rPr>
        <w:t> </w:t>
      </w:r>
      <w:r>
        <w:rPr/>
        <w:t>many</w:t>
      </w:r>
      <w:r>
        <w:rPr>
          <w:spacing w:val="-12"/>
        </w:rPr>
        <w:t> </w:t>
      </w:r>
      <w:r>
        <w:rPr/>
        <w:t>high-income</w:t>
      </w:r>
      <w:r>
        <w:rPr>
          <w:spacing w:val="-12"/>
        </w:rPr>
        <w:t> </w:t>
      </w:r>
      <w:r>
        <w:rPr/>
        <w:t>coun- tries still lack formal, public national lists. WHO encourages countries to consider the fiftieth anniversary of the WHO model list as an opportunity to reflect on increasing total pharmaceuti- cal expenditure and to renew the com- mitment to medicine policies aimed at stabilizing prices.</w:t>
      </w:r>
    </w:p>
    <w:p>
      <w:pPr>
        <w:pStyle w:val="BodyText"/>
        <w:spacing w:line="252" w:lineRule="auto" w:before="21"/>
        <w:ind w:left="121" w:right="17" w:firstLine="340"/>
        <w:jc w:val="both"/>
      </w:pPr>
      <w:r>
        <w:rPr/>
        <w:t>The WHO model list remains a living instrument that helps countries focus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the best; the list supports stewardship and appropriate use, and provides a cred- ible anchor for procurement strategies, guideline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government</w:t>
      </w:r>
    </w:p>
    <w:p>
      <w:pPr>
        <w:pStyle w:val="BodyText"/>
        <w:spacing w:line="265" w:lineRule="exact"/>
        <w:ind w:left="121"/>
        <w:rPr>
          <w:rFonts w:ascii="Lucida Sans Unicode" w:hAnsi="Lucida Sans Unicode"/>
        </w:rPr>
      </w:pPr>
      <w:r>
        <w:rPr>
          <w:spacing w:val="-2"/>
        </w:rPr>
        <w:t>accountability.</w:t>
      </w:r>
      <w:r>
        <w:rPr>
          <w:spacing w:val="16"/>
        </w:rPr>
        <w:t> </w:t>
      </w:r>
      <w:r>
        <w:rPr>
          <w:rFonts w:ascii="Lucida Sans Unicode" w:hAnsi="Lucida Sans Unicode"/>
          <w:color w:val="C05D28"/>
          <w:spacing w:val="-10"/>
        </w:rPr>
        <w:t>■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172"/>
        <w:rPr>
          <w:rFonts w:ascii="Lucida Sans Unicode"/>
        </w:rPr>
      </w:pPr>
    </w:p>
    <w:p>
      <w:pPr>
        <w:spacing w:before="0"/>
        <w:ind w:left="121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70"/>
          <w:sz w:val="18"/>
        </w:rPr>
        <w:t>References</w:t>
      </w:r>
      <w:r>
        <w:rPr>
          <w:rFonts w:ascii="Trebuchet MS"/>
          <w:b/>
          <w:spacing w:val="-5"/>
          <w:sz w:val="18"/>
        </w:rPr>
        <w:t> </w:t>
      </w:r>
      <w:r>
        <w:rPr>
          <w:rFonts w:ascii="Trebuchet MS"/>
          <w:b/>
          <w:w w:val="70"/>
          <w:sz w:val="18"/>
        </w:rPr>
        <w:t>and</w:t>
      </w:r>
      <w:r>
        <w:rPr>
          <w:rFonts w:ascii="Trebuchet MS"/>
          <w:b/>
          <w:spacing w:val="-5"/>
          <w:sz w:val="18"/>
        </w:rPr>
        <w:t> </w:t>
      </w:r>
      <w:r>
        <w:rPr>
          <w:rFonts w:ascii="Trebuchet MS"/>
          <w:b/>
          <w:spacing w:val="-2"/>
          <w:w w:val="70"/>
          <w:sz w:val="18"/>
        </w:rPr>
        <w:t>copyright</w:t>
      </w:r>
    </w:p>
    <w:p>
      <w:pPr>
        <w:spacing w:line="300" w:lineRule="auto" w:before="58"/>
        <w:ind w:left="121" w:right="14" w:firstLine="0"/>
        <w:jc w:val="both"/>
        <w:rPr>
          <w:sz w:val="16"/>
        </w:rPr>
      </w:pPr>
      <w:r>
        <w:rPr>
          <w:spacing w:val="-2"/>
          <w:sz w:val="16"/>
        </w:rPr>
        <w:t>Available at: htt</w:t>
      </w:r>
      <w:hyperlink r:id="rId6">
        <w:r>
          <w:rPr>
            <w:spacing w:val="-2"/>
            <w:sz w:val="16"/>
          </w:rPr>
          <w:t>ps://www.who.int/publications/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journals/bulletin</w:t>
      </w:r>
    </w:p>
    <w:p>
      <w:pPr>
        <w:spacing w:after="0" w:line="300" w:lineRule="auto"/>
        <w:jc w:val="both"/>
        <w:rPr>
          <w:sz w:val="16"/>
        </w:rPr>
        <w:sectPr>
          <w:type w:val="continuous"/>
          <w:pgSz w:w="11910" w:h="16840"/>
          <w:pgMar w:header="0" w:footer="744" w:top="480" w:bottom="940" w:left="992" w:right="1133"/>
          <w:cols w:num="3" w:equalWidth="0">
            <w:col w:w="3190" w:space="117"/>
            <w:col w:w="3190" w:space="118"/>
            <w:col w:w="3170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line="20" w:lineRule="exact"/>
        <w:ind w:left="121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6350"/>
                <wp:effectExtent l="9525" t="0" r="0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05D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5pt;mso-position-horizontal-relative:char;mso-position-vertical-relative:line" id="docshapegroup3" coordorigin="0,0" coordsize="9638,10">
                <v:line style="position:absolute" from="0,5" to="9638,5" stroked="true" strokeweight=".5pt" strokecolor="#c05d2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8" w:lineRule="auto" w:before="81"/>
        <w:ind w:left="121" w:right="569" w:firstLine="0"/>
        <w:jc w:val="left"/>
        <w:rPr>
          <w:rFonts w:ascii="Trebuchet MS"/>
          <w:sz w:val="16"/>
        </w:rPr>
      </w:pPr>
      <w:r>
        <w:rPr>
          <w:rFonts w:ascii="Trebuchet MS"/>
          <w:w w:val="80"/>
          <w:position w:val="5"/>
          <w:sz w:val="9"/>
        </w:rPr>
        <w:t>a</w:t>
      </w:r>
      <w:r>
        <w:rPr>
          <w:rFonts w:ascii="Trebuchet MS"/>
          <w:spacing w:val="11"/>
          <w:position w:val="5"/>
          <w:sz w:val="9"/>
        </w:rPr>
        <w:t> </w:t>
      </w:r>
      <w:r>
        <w:rPr>
          <w:rFonts w:ascii="Trebuchet MS"/>
          <w:w w:val="80"/>
          <w:sz w:val="16"/>
        </w:rPr>
        <w:t>Medicines and Health Products Policies and Standards Department,</w:t>
      </w:r>
      <w:r>
        <w:rPr>
          <w:rFonts w:ascii="Trebuchet MS"/>
          <w:spacing w:val="-8"/>
          <w:w w:val="80"/>
          <w:sz w:val="16"/>
        </w:rPr>
        <w:t> </w:t>
      </w:r>
      <w:r>
        <w:rPr>
          <w:rFonts w:ascii="Trebuchet MS"/>
          <w:w w:val="80"/>
          <w:sz w:val="16"/>
        </w:rPr>
        <w:t>World Health Organization, Avenue Appia 20, 1211 Geneva, Switzerland.</w:t>
      </w:r>
      <w:r>
        <w:rPr>
          <w:rFonts w:ascii="Trebuchet MS"/>
          <w:w w:val="85"/>
          <w:sz w:val="16"/>
        </w:rPr>
        <w:t> Correspondence</w:t>
      </w:r>
      <w:r>
        <w:rPr>
          <w:rFonts w:ascii="Trebuchet MS"/>
          <w:spacing w:val="-10"/>
          <w:w w:val="85"/>
          <w:sz w:val="16"/>
        </w:rPr>
        <w:t> </w:t>
      </w:r>
      <w:r>
        <w:rPr>
          <w:rFonts w:ascii="Trebuchet MS"/>
          <w:w w:val="85"/>
          <w:sz w:val="16"/>
        </w:rPr>
        <w:t>to</w:t>
      </w:r>
      <w:r>
        <w:rPr>
          <w:rFonts w:ascii="Trebuchet MS"/>
          <w:spacing w:val="-10"/>
          <w:w w:val="85"/>
          <w:sz w:val="16"/>
        </w:rPr>
        <w:t> </w:t>
      </w:r>
      <w:r>
        <w:rPr>
          <w:rFonts w:ascii="Trebuchet MS"/>
          <w:w w:val="85"/>
          <w:sz w:val="16"/>
        </w:rPr>
        <w:t>Lorenzo</w:t>
      </w:r>
      <w:r>
        <w:rPr>
          <w:rFonts w:ascii="Trebuchet MS"/>
          <w:spacing w:val="-10"/>
          <w:w w:val="85"/>
          <w:sz w:val="16"/>
        </w:rPr>
        <w:t> </w:t>
      </w:r>
      <w:r>
        <w:rPr>
          <w:rFonts w:ascii="Trebuchet MS"/>
          <w:w w:val="85"/>
          <w:sz w:val="16"/>
        </w:rPr>
        <w:t>Moja</w:t>
      </w:r>
      <w:r>
        <w:rPr>
          <w:rFonts w:ascii="Trebuchet MS"/>
          <w:spacing w:val="-10"/>
          <w:w w:val="85"/>
          <w:sz w:val="16"/>
        </w:rPr>
        <w:t> </w:t>
      </w:r>
      <w:r>
        <w:rPr>
          <w:rFonts w:ascii="Trebuchet MS"/>
          <w:w w:val="85"/>
          <w:sz w:val="16"/>
        </w:rPr>
        <w:t>(email:</w:t>
      </w:r>
      <w:r>
        <w:rPr>
          <w:rFonts w:ascii="Trebuchet MS"/>
          <w:spacing w:val="-9"/>
          <w:w w:val="85"/>
          <w:sz w:val="16"/>
        </w:rPr>
        <w:t> </w:t>
      </w:r>
      <w:hyperlink r:id="rId7">
        <w:r>
          <w:rPr>
            <w:rFonts w:ascii="Trebuchet MS"/>
            <w:w w:val="85"/>
            <w:sz w:val="16"/>
          </w:rPr>
          <w:t>mojal@who.int).</w:t>
        </w:r>
      </w:hyperlink>
    </w:p>
    <w:p>
      <w:pPr>
        <w:spacing w:after="0" w:line="268" w:lineRule="auto"/>
        <w:jc w:val="left"/>
        <w:rPr>
          <w:rFonts w:ascii="Trebuchet MS"/>
          <w:sz w:val="16"/>
        </w:rPr>
        <w:sectPr>
          <w:type w:val="continuous"/>
          <w:pgSz w:w="11910" w:h="16840"/>
          <w:pgMar w:header="0" w:footer="744" w:top="480" w:bottom="940" w:left="992" w:right="1133"/>
        </w:sectPr>
      </w:pPr>
    </w:p>
    <w:p>
      <w:pPr>
        <w:pStyle w:val="Heading1"/>
        <w:ind w:left="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719988</wp:posOffset>
                </wp:positionH>
                <wp:positionV relativeFrom="paragraph">
                  <wp:posOffset>68147</wp:posOffset>
                </wp:positionV>
                <wp:extent cx="38100" cy="25272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52729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52730"/>
                              </a:lnTo>
                              <a:lnTo>
                                <a:pt x="38100" y="25273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93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001pt;margin-top:5.365962pt;width:3.0pt;height:19.900001pt;mso-position-horizontal-relative:page;mso-position-vertical-relative:paragraph;z-index:15730176" id="docshape6" filled="true" fillcolor="#d4936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85"/>
        </w:rPr>
        <w:t>Editorials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71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720001</wp:posOffset>
                </wp:positionH>
                <wp:positionV relativeFrom="paragraph">
                  <wp:posOffset>207890</wp:posOffset>
                </wp:positionV>
                <wp:extent cx="6120130" cy="77406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120130" cy="774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83"/>
                              <w:ind w:left="113" w:right="0" w:firstLine="0"/>
                              <w:jc w:val="both"/>
                              <w:rPr>
                                <w:rFonts w:ascii="Trebuchet MS" w:hAnsi="Trebuchet MS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©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2026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6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9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authors;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licensee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6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World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9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6"/>
                              </w:rPr>
                              <w:t>Health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0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Organization.</w:t>
                            </w:r>
                          </w:p>
                          <w:p>
                            <w:pPr>
                              <w:spacing w:line="247" w:lineRule="auto" w:before="63"/>
                              <w:ind w:left="113" w:right="84" w:firstLine="0"/>
                              <w:jc w:val="both"/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open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access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article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distributed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under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terms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Creative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Commons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Attribution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IGO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License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4"/>
                                <w:w w:val="80"/>
                                <w:sz w:val="16"/>
                              </w:rPr>
                              <w:t>(</w:t>
                            </w:r>
                            <w:hyperlink r:id="rId9">
                              <w:r>
                                <w:rPr>
                                  <w:rFonts w:ascii="Trebuchet MS" w:hAnsi="Trebuchet MS"/>
                                  <w:color w:val="C05D28"/>
                                  <w:spacing w:val="-4"/>
                                  <w:w w:val="80"/>
                                  <w:sz w:val="16"/>
                                </w:rPr>
                                <w:t>http://creativecommons.org/licenses/by/3.0/igo/legalcode</w:t>
                              </w:r>
                              <w:r>
                                <w:rPr>
                                  <w:rFonts w:ascii="Trebuchet MS" w:hAnsi="Trebuchet MS"/>
                                  <w:color w:val="000000"/>
                                  <w:spacing w:val="-4"/>
                                  <w:w w:val="80"/>
                                  <w:sz w:val="16"/>
                                </w:rPr>
                                <w:t>),</w:t>
                              </w:r>
                            </w:hyperlink>
                            <w:r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which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permits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unrestricted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use,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distribution,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and reproduction in any medium, provided the original work is properly cited. In any reproduction of this article there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w w:val="75"/>
                                <w:sz w:val="16"/>
                              </w:rPr>
                              <w:t>should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any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suggestion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WHO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article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endorse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any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specific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organization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products.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use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WHO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logo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permitted.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notice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should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0"/>
                                <w:sz w:val="16"/>
                              </w:rPr>
                              <w:t>preserved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along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article’s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4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original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13"/>
                                <w:w w:val="8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2"/>
                                <w:w w:val="85"/>
                                <w:sz w:val="16"/>
                              </w:rPr>
                              <w:t>URL.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6.369343pt;width:481.9pt;height:60.95pt;mso-position-horizontal-relative:page;mso-position-vertical-relative:paragraph;z-index:-15727616;mso-wrap-distance-left:0;mso-wrap-distance-right:0" type="#_x0000_t202" id="docshape7" filled="true" fillcolor="#f2f2f2" stroked="false">
                <v:textbox inset="0,0,0,0">
                  <w:txbxContent>
                    <w:p>
                      <w:pPr>
                        <w:spacing w:before="83"/>
                        <w:ind w:left="113" w:right="0" w:firstLine="0"/>
                        <w:jc w:val="both"/>
                        <w:rPr>
                          <w:rFonts w:ascii="Trebuchet MS" w:hAnsi="Trebuchet MS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©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2026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6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The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9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authors;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licensee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6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World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9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6"/>
                        </w:rPr>
                        <w:t>Health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0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85"/>
                          <w:sz w:val="16"/>
                        </w:rPr>
                        <w:t>Organization.</w:t>
                      </w:r>
                    </w:p>
                    <w:p>
                      <w:pPr>
                        <w:spacing w:line="247" w:lineRule="auto" w:before="63"/>
                        <w:ind w:left="113" w:right="84" w:firstLine="0"/>
                        <w:jc w:val="both"/>
                        <w:rPr>
                          <w:rFonts w:ascii="Trebuchet MS" w:hAnsi="Trebuchet MS"/>
                          <w:color w:val="000000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This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is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an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open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access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article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distributed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under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the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terms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of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the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Creative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Commons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Attribution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IGO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License</w:t>
                      </w:r>
                      <w:r>
                        <w:rPr>
                          <w:rFonts w:ascii="Trebuchet MS" w:hAnsi="Trebuchet M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4"/>
                          <w:w w:val="80"/>
                          <w:sz w:val="16"/>
                        </w:rPr>
                        <w:t>(</w:t>
                      </w:r>
                      <w:hyperlink r:id="rId9">
                        <w:r>
                          <w:rPr>
                            <w:rFonts w:ascii="Trebuchet MS" w:hAnsi="Trebuchet MS"/>
                            <w:color w:val="C05D28"/>
                            <w:spacing w:val="-4"/>
                            <w:w w:val="80"/>
                            <w:sz w:val="16"/>
                          </w:rPr>
                          <w:t>http://creativecommons.org/licenses/by/3.0/igo/legalcode</w:t>
                        </w:r>
                        <w:r>
                          <w:rPr>
                            <w:rFonts w:ascii="Trebuchet MS" w:hAnsi="Trebuchet MS"/>
                            <w:color w:val="000000"/>
                            <w:spacing w:val="-4"/>
                            <w:w w:val="80"/>
                            <w:sz w:val="16"/>
                          </w:rPr>
                          <w:t>),</w:t>
                        </w:r>
                      </w:hyperlink>
                      <w:r>
                        <w:rPr>
                          <w:rFonts w:ascii="Trebuchet MS" w:hAnsi="Trebuchet MS"/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which</w:t>
                      </w:r>
                      <w:r>
                        <w:rPr>
                          <w:rFonts w:ascii="Trebuchet MS" w:hAnsi="Trebuchet M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permits</w:t>
                      </w:r>
                      <w:r>
                        <w:rPr>
                          <w:rFonts w:ascii="Trebuchet MS" w:hAnsi="Trebuchet M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unrestricted</w:t>
                      </w:r>
                      <w:r>
                        <w:rPr>
                          <w:rFonts w:ascii="Trebuchet MS" w:hAnsi="Trebuchet M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use,</w:t>
                      </w:r>
                      <w:r>
                        <w:rPr>
                          <w:rFonts w:ascii="Trebuchet MS" w:hAnsi="Trebuchet M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distribution,</w:t>
                      </w:r>
                      <w:r>
                        <w:rPr>
                          <w:rFonts w:ascii="Trebuchet MS" w:hAnsi="Trebuchet M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and reproduction in any medium, provided the original work is properly cited. In any reproduction of this article there</w:t>
                      </w:r>
                      <w:r>
                        <w:rPr>
                          <w:rFonts w:ascii="Trebuchet MS" w:hAnsi="Trebuchet M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w w:val="75"/>
                          <w:sz w:val="16"/>
                        </w:rPr>
                        <w:t>should</w:t>
                      </w:r>
                      <w:r>
                        <w:rPr>
                          <w:rFonts w:ascii="Trebuchet MS" w:hAnsi="Trebuchet MS"/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not</w:t>
                      </w:r>
                      <w:r>
                        <w:rPr>
                          <w:rFonts w:ascii="Trebuchet MS" w:hAnsi="Trebuchet MS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be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any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suggestion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that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WHO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or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this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article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endorse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any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specific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organization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or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products.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The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use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of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the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WHO</w:t>
                      </w:r>
                      <w:r>
                        <w:rPr>
                          <w:rFonts w:ascii="Trebuchet MS" w:hAnsi="Trebuchet MS"/>
                          <w:color w:val="000000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logo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is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not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permitted.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This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notice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should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be</w:t>
                      </w:r>
                      <w:r>
                        <w:rPr>
                          <w:rFonts w:ascii="Trebuchet MS" w:hAnsi="Trebuchet MS"/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0"/>
                          <w:sz w:val="16"/>
                        </w:rPr>
                        <w:t>preserved</w:t>
                      </w:r>
                      <w:r>
                        <w:rPr>
                          <w:rFonts w:ascii="Trebuchet MS" w:hAnsi="Trebuchet MS"/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5"/>
                          <w:sz w:val="16"/>
                        </w:rPr>
                        <w:t>along</w:t>
                      </w:r>
                      <w:r>
                        <w:rPr>
                          <w:rFonts w:ascii="Trebuchet MS" w:hAnsi="Trebuchet MS"/>
                          <w:color w:val="000000"/>
                          <w:spacing w:val="-1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5"/>
                          <w:sz w:val="16"/>
                        </w:rPr>
                        <w:t>with</w:t>
                      </w:r>
                      <w:r>
                        <w:rPr>
                          <w:rFonts w:ascii="Trebuchet MS" w:hAnsi="Trebuchet MS"/>
                          <w:color w:val="000000"/>
                          <w:spacing w:val="-1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5"/>
                          <w:sz w:val="16"/>
                        </w:rPr>
                        <w:t>the</w:t>
                      </w:r>
                      <w:r>
                        <w:rPr>
                          <w:rFonts w:ascii="Trebuchet MS" w:hAnsi="Trebuchet MS"/>
                          <w:color w:val="000000"/>
                          <w:spacing w:val="-1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5"/>
                          <w:sz w:val="16"/>
                        </w:rPr>
                        <w:t>article’s</w:t>
                      </w:r>
                      <w:r>
                        <w:rPr>
                          <w:rFonts w:ascii="Trebuchet MS" w:hAnsi="Trebuchet MS"/>
                          <w:color w:val="000000"/>
                          <w:spacing w:val="-14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5"/>
                          <w:sz w:val="16"/>
                        </w:rPr>
                        <w:t>original</w:t>
                      </w:r>
                      <w:r>
                        <w:rPr>
                          <w:rFonts w:ascii="Trebuchet MS" w:hAnsi="Trebuchet MS"/>
                          <w:color w:val="000000"/>
                          <w:spacing w:val="-13"/>
                          <w:w w:val="8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pacing w:val="-2"/>
                          <w:w w:val="85"/>
                          <w:sz w:val="16"/>
                        </w:rPr>
                        <w:t>URL.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sz w:val="6"/>
        </w:rPr>
      </w:pPr>
    </w:p>
    <w:p>
      <w:pPr>
        <w:pStyle w:val="BodyText"/>
        <w:spacing w:after="0"/>
        <w:rPr>
          <w:rFonts w:ascii="Trebuchet MS"/>
          <w:sz w:val="6"/>
        </w:rPr>
        <w:sectPr>
          <w:footerReference w:type="default" r:id="rId8"/>
          <w:pgSz w:w="11910" w:h="16840"/>
          <w:pgMar w:header="0" w:footer="744" w:top="480" w:bottom="940" w:left="992" w:right="1133"/>
        </w:sectPr>
      </w:pPr>
    </w:p>
    <w:p>
      <w:pPr>
        <w:spacing w:before="54"/>
        <w:ind w:left="141" w:right="0" w:firstLine="0"/>
        <w:jc w:val="left"/>
        <w:rPr>
          <w:rFonts w:ascii="Calibri"/>
          <w:b/>
          <w:sz w:val="23"/>
        </w:rPr>
      </w:pPr>
      <w:r>
        <w:rPr>
          <w:rFonts w:ascii="Calibri"/>
          <w:b/>
          <w:spacing w:val="-2"/>
          <w:sz w:val="23"/>
        </w:rPr>
        <w:t>References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78" w:after="0"/>
        <w:ind w:left="425" w:right="124" w:hanging="284"/>
        <w:jc w:val="left"/>
        <w:rPr>
          <w:sz w:val="16"/>
        </w:rPr>
      </w:pPr>
      <w:bookmarkStart w:name="_bookmark0" w:id="1"/>
      <w:bookmarkEnd w:id="1"/>
      <w:r>
        <w:rPr/>
      </w:r>
      <w:r>
        <w:rPr>
          <w:w w:val="80"/>
          <w:sz w:val="16"/>
        </w:rPr>
        <w:t>The selection of essential drugs (1977).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WHO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Technical Report Series, No.</w:t>
      </w:r>
      <w:r>
        <w:rPr>
          <w:sz w:val="16"/>
        </w:rPr>
        <w:t> </w:t>
      </w:r>
      <w:r>
        <w:rPr>
          <w:spacing w:val="-2"/>
          <w:w w:val="80"/>
          <w:sz w:val="16"/>
        </w:rPr>
        <w:t>615. Geneva:</w:t>
      </w:r>
      <w:r>
        <w:rPr>
          <w:spacing w:val="-6"/>
          <w:w w:val="80"/>
          <w:sz w:val="16"/>
        </w:rPr>
        <w:t> </w:t>
      </w:r>
      <w:r>
        <w:rPr>
          <w:spacing w:val="-2"/>
          <w:w w:val="80"/>
          <w:sz w:val="16"/>
        </w:rPr>
        <w:t>World Health Organization; 1977. Available from: </w:t>
      </w:r>
      <w:hyperlink r:id="rId10">
        <w:r>
          <w:rPr>
            <w:spacing w:val="-2"/>
            <w:w w:val="80"/>
            <w:sz w:val="16"/>
          </w:rPr>
          <w:t>https://who</w:t>
        </w:r>
      </w:hyperlink>
    </w:p>
    <w:p>
      <w:pPr>
        <w:spacing w:before="1"/>
        <w:ind w:left="425" w:right="0" w:firstLine="0"/>
        <w:jc w:val="left"/>
        <w:rPr>
          <w:rFonts w:ascii="Trebuchet MS"/>
          <w:sz w:val="16"/>
        </w:rPr>
      </w:pPr>
      <w:bookmarkStart w:name="_bookmark1" w:id="2"/>
      <w:bookmarkEnd w:id="2"/>
      <w:r>
        <w:rPr/>
      </w:r>
      <w:hyperlink r:id="rId10">
        <w:r>
          <w:rPr>
            <w:rFonts w:ascii="Trebuchet MS"/>
            <w:spacing w:val="2"/>
            <w:w w:val="75"/>
            <w:sz w:val="16"/>
          </w:rPr>
          <w:t>.int/iris/handle/10665/41272</w:t>
        </w:r>
      </w:hyperlink>
      <w:r>
        <w:rPr>
          <w:rFonts w:ascii="Trebuchet MS"/>
          <w:spacing w:val="-4"/>
          <w:sz w:val="16"/>
        </w:rPr>
        <w:t> </w:t>
      </w:r>
      <w:r>
        <w:rPr>
          <w:rFonts w:ascii="Trebuchet MS"/>
          <w:spacing w:val="2"/>
          <w:w w:val="75"/>
          <w:sz w:val="16"/>
        </w:rPr>
        <w:t>[cited</w:t>
      </w:r>
      <w:r>
        <w:rPr>
          <w:rFonts w:ascii="Trebuchet MS"/>
          <w:spacing w:val="-3"/>
          <w:sz w:val="16"/>
        </w:rPr>
        <w:t> </w:t>
      </w:r>
      <w:r>
        <w:rPr>
          <w:rFonts w:ascii="Trebuchet MS"/>
          <w:spacing w:val="2"/>
          <w:w w:val="75"/>
          <w:sz w:val="16"/>
        </w:rPr>
        <w:t>2025</w:t>
      </w:r>
      <w:r>
        <w:rPr>
          <w:rFonts w:ascii="Trebuchet MS"/>
          <w:spacing w:val="-4"/>
          <w:sz w:val="16"/>
        </w:rPr>
        <w:t> </w:t>
      </w:r>
      <w:r>
        <w:rPr>
          <w:rFonts w:ascii="Trebuchet MS"/>
          <w:spacing w:val="2"/>
          <w:w w:val="75"/>
          <w:sz w:val="16"/>
        </w:rPr>
        <w:t>Nov</w:t>
      </w:r>
      <w:r>
        <w:rPr>
          <w:rFonts w:ascii="Trebuchet MS"/>
          <w:spacing w:val="-3"/>
          <w:sz w:val="16"/>
        </w:rPr>
        <w:t> </w:t>
      </w:r>
      <w:r>
        <w:rPr>
          <w:rFonts w:ascii="Trebuchet MS"/>
          <w:spacing w:val="-5"/>
          <w:w w:val="75"/>
          <w:sz w:val="16"/>
        </w:rPr>
        <w:t>8].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4" w:after="0"/>
        <w:ind w:left="425" w:right="39" w:hanging="284"/>
        <w:jc w:val="left"/>
        <w:rPr>
          <w:sz w:val="16"/>
        </w:rPr>
      </w:pPr>
      <w:r>
        <w:rPr>
          <w:w w:val="80"/>
          <w:sz w:val="16"/>
        </w:rPr>
        <w:t>Primary health care: report of the International Conference on Primary</w:t>
      </w:r>
      <w:r>
        <w:rPr>
          <w:sz w:val="16"/>
        </w:rPr>
        <w:t> </w:t>
      </w:r>
      <w:r>
        <w:rPr>
          <w:w w:val="80"/>
          <w:sz w:val="16"/>
        </w:rPr>
        <w:t>Health Care. Alma-Ata, USSR, 6-12 September 1978. Geneva: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World Health</w:t>
      </w:r>
      <w:r>
        <w:rPr>
          <w:sz w:val="16"/>
        </w:rPr>
        <w:t> </w:t>
      </w:r>
      <w:r>
        <w:rPr>
          <w:w w:val="75"/>
          <w:sz w:val="16"/>
        </w:rPr>
        <w:t>Organization; 1978. Available from: </w:t>
      </w:r>
      <w:hyperlink r:id="rId11">
        <w:r>
          <w:rPr>
            <w:w w:val="75"/>
            <w:sz w:val="16"/>
          </w:rPr>
          <w:t>https://iris.who.int/handle/10665/39228</w:t>
        </w:r>
      </w:hyperlink>
      <w:r>
        <w:rPr>
          <w:w w:val="90"/>
          <w:sz w:val="16"/>
        </w:rPr>
        <w:t> </w:t>
      </w:r>
      <w:bookmarkStart w:name="_bookmark2" w:id="3"/>
      <w:bookmarkEnd w:id="3"/>
      <w:r>
        <w:rPr>
          <w:w w:val="90"/>
          <w:sz w:val="16"/>
        </w:rPr>
        <w:t>[</w:t>
      </w:r>
      <w:r>
        <w:rPr>
          <w:w w:val="90"/>
          <w:sz w:val="16"/>
        </w:rPr>
        <w:t>cited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2025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Nov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8].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2" w:after="0"/>
        <w:ind w:left="425" w:right="681" w:hanging="284"/>
        <w:jc w:val="left"/>
        <w:rPr>
          <w:sz w:val="16"/>
        </w:rPr>
      </w:pPr>
      <w:r>
        <w:rPr>
          <w:spacing w:val="-2"/>
          <w:w w:val="85"/>
          <w:sz w:val="16"/>
        </w:rPr>
        <w:t>Wirtz</w:t>
      </w:r>
      <w:r>
        <w:rPr>
          <w:spacing w:val="-13"/>
          <w:w w:val="85"/>
          <w:sz w:val="16"/>
        </w:rPr>
        <w:t> </w:t>
      </w:r>
      <w:r>
        <w:rPr>
          <w:spacing w:val="-2"/>
          <w:w w:val="85"/>
          <w:sz w:val="16"/>
        </w:rPr>
        <w:t>VJ,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Hogerzeil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HV,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Gray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AL.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Accelerating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progress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on</w:t>
      </w:r>
      <w:r>
        <w:rPr>
          <w:w w:val="85"/>
          <w:sz w:val="16"/>
        </w:rPr>
        <w:t> </w:t>
      </w:r>
      <w:r>
        <w:rPr>
          <w:w w:val="80"/>
          <w:sz w:val="16"/>
        </w:rPr>
        <w:t>essential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medicines: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a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new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Lancet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Commission.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Lancet.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2025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Oct</w:t>
      </w:r>
    </w:p>
    <w:p>
      <w:pPr>
        <w:spacing w:before="1"/>
        <w:ind w:left="425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w w:val="75"/>
          <w:sz w:val="16"/>
        </w:rPr>
        <w:t>25;406(10514):1932–3.</w:t>
      </w:r>
      <w:r>
        <w:rPr>
          <w:rFonts w:ascii="Trebuchet MS" w:hAnsi="Trebuchet MS"/>
          <w:spacing w:val="69"/>
          <w:sz w:val="16"/>
        </w:rPr>
        <w:t> </w:t>
      </w:r>
      <w:r>
        <w:rPr>
          <w:rFonts w:ascii="Trebuchet MS" w:hAnsi="Trebuchet MS"/>
          <w:w w:val="75"/>
          <w:sz w:val="16"/>
        </w:rPr>
        <w:t>doi:</w:t>
      </w:r>
      <w:r>
        <w:rPr>
          <w:rFonts w:ascii="Trebuchet MS" w:hAnsi="Trebuchet MS"/>
          <w:spacing w:val="69"/>
          <w:sz w:val="16"/>
        </w:rPr>
        <w:t> </w:t>
      </w:r>
      <w:hyperlink r:id="rId12">
        <w:r>
          <w:rPr>
            <w:rFonts w:ascii="Trebuchet MS" w:hAnsi="Trebuchet MS"/>
            <w:w w:val="75"/>
            <w:sz w:val="16"/>
          </w:rPr>
          <w:t>http://dx.doi.org/10.1016/S0140-</w:t>
        </w:r>
        <w:r>
          <w:rPr>
            <w:rFonts w:ascii="Trebuchet MS" w:hAnsi="Trebuchet MS"/>
            <w:spacing w:val="-2"/>
            <w:w w:val="75"/>
            <w:sz w:val="16"/>
          </w:rPr>
          <w:t>6736(25)01026</w:t>
        </w:r>
      </w:hyperlink>
    </w:p>
    <w:p>
      <w:pPr>
        <w:spacing w:before="4"/>
        <w:ind w:left="425" w:right="0" w:firstLine="0"/>
        <w:jc w:val="left"/>
        <w:rPr>
          <w:rFonts w:ascii="Trebuchet MS"/>
          <w:sz w:val="16"/>
        </w:rPr>
      </w:pPr>
      <w:bookmarkStart w:name="_bookmark3" w:id="4"/>
      <w:bookmarkEnd w:id="4"/>
      <w:r>
        <w:rPr/>
      </w:r>
      <w:hyperlink r:id="rId12">
        <w:r>
          <w:rPr>
            <w:rFonts w:ascii="Trebuchet MS"/>
            <w:w w:val="80"/>
            <w:sz w:val="16"/>
          </w:rPr>
          <w:t>-8</w:t>
        </w:r>
      </w:hyperlink>
      <w:r>
        <w:rPr>
          <w:rFonts w:ascii="Trebuchet MS"/>
          <w:spacing w:val="-9"/>
          <w:sz w:val="16"/>
        </w:rPr>
        <w:t> </w:t>
      </w:r>
      <w:r>
        <w:rPr>
          <w:rFonts w:ascii="Trebuchet MS"/>
          <w:w w:val="80"/>
          <w:sz w:val="16"/>
        </w:rPr>
        <w:t>PMID:</w:t>
      </w:r>
      <w:r>
        <w:rPr>
          <w:rFonts w:ascii="Trebuchet MS"/>
          <w:spacing w:val="-9"/>
          <w:sz w:val="16"/>
        </w:rPr>
        <w:t> </w:t>
      </w:r>
      <w:hyperlink r:id="rId13">
        <w:r>
          <w:rPr>
            <w:rFonts w:ascii="Trebuchet MS"/>
            <w:spacing w:val="-2"/>
            <w:w w:val="80"/>
            <w:sz w:val="16"/>
          </w:rPr>
          <w:t>40412429</w:t>
        </w:r>
      </w:hyperlink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4" w:after="0"/>
        <w:ind w:left="425" w:right="221" w:hanging="284"/>
        <w:jc w:val="left"/>
        <w:rPr>
          <w:sz w:val="16"/>
        </w:rPr>
      </w:pPr>
      <w:r>
        <w:rPr>
          <w:w w:val="80"/>
          <w:sz w:val="16"/>
        </w:rPr>
        <w:t>Special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series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in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the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journal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of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pharmaceutical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policy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and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practice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–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50th</w:t>
      </w:r>
      <w:r>
        <w:rPr>
          <w:w w:val="85"/>
          <w:sz w:val="16"/>
        </w:rPr>
        <w:t> anniversary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of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the</w:t>
      </w:r>
      <w:r>
        <w:rPr>
          <w:spacing w:val="-15"/>
          <w:w w:val="85"/>
          <w:sz w:val="16"/>
        </w:rPr>
        <w:t> </w:t>
      </w:r>
      <w:r>
        <w:rPr>
          <w:w w:val="85"/>
          <w:sz w:val="16"/>
        </w:rPr>
        <w:t>WHO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Model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List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of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Essential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Medicines.</w:t>
      </w:r>
      <w:r>
        <w:rPr>
          <w:spacing w:val="-9"/>
          <w:w w:val="85"/>
          <w:sz w:val="16"/>
        </w:rPr>
        <w:t> </w:t>
      </w:r>
      <w:r>
        <w:rPr>
          <w:w w:val="85"/>
          <w:sz w:val="16"/>
        </w:rPr>
        <w:t>London:</w:t>
      </w:r>
    </w:p>
    <w:p>
      <w:pPr>
        <w:spacing w:line="244" w:lineRule="auto" w:before="1"/>
        <w:ind w:left="425" w:right="154" w:firstLine="0"/>
        <w:jc w:val="left"/>
        <w:rPr>
          <w:rFonts w:ascii="Trebuchet MS"/>
          <w:sz w:val="16"/>
        </w:rPr>
      </w:pPr>
      <w:r>
        <w:rPr>
          <w:rFonts w:ascii="Trebuchet MS"/>
          <w:w w:val="75"/>
          <w:sz w:val="16"/>
        </w:rPr>
        <w:t>Taylor &amp; Francis; 2026. Available from: </w:t>
      </w:r>
      <w:hyperlink r:id="rId14">
        <w:r>
          <w:rPr>
            <w:rFonts w:ascii="Trebuchet MS"/>
            <w:w w:val="75"/>
            <w:sz w:val="16"/>
          </w:rPr>
          <w:t>https://think.taylorandfrancis.com/</w:t>
        </w:r>
      </w:hyperlink>
      <w:r>
        <w:rPr>
          <w:rFonts w:ascii="Trebuchet MS"/>
          <w:sz w:val="16"/>
        </w:rPr>
        <w:t> </w:t>
      </w:r>
      <w:hyperlink r:id="rId14">
        <w:r>
          <w:rPr>
            <w:rFonts w:ascii="Trebuchet MS"/>
            <w:w w:val="75"/>
            <w:sz w:val="16"/>
          </w:rPr>
          <w:t>article_collections/special-series-in-journal-of-pharmaceutical-policy-</w:t>
        </w:r>
        <w:r>
          <w:rPr>
            <w:rFonts w:ascii="Trebuchet MS"/>
            <w:spacing w:val="-5"/>
            <w:w w:val="75"/>
            <w:sz w:val="16"/>
          </w:rPr>
          <w:t>and</w:t>
        </w:r>
      </w:hyperlink>
    </w:p>
    <w:p>
      <w:pPr>
        <w:spacing w:line="244" w:lineRule="auto" w:before="1"/>
        <w:ind w:left="425" w:right="0" w:firstLine="0"/>
        <w:jc w:val="left"/>
        <w:rPr>
          <w:rFonts w:ascii="Trebuchet MS"/>
          <w:sz w:val="16"/>
        </w:rPr>
      </w:pPr>
      <w:hyperlink r:id="rId14">
        <w:r>
          <w:rPr>
            <w:rFonts w:ascii="Trebuchet MS"/>
            <w:spacing w:val="-2"/>
            <w:w w:val="80"/>
            <w:sz w:val="16"/>
          </w:rPr>
          <w:t>-practice-50th-anniversary-of-the-who-model-list-of-essential-</w:t>
        </w:r>
        <w:r>
          <w:rPr>
            <w:rFonts w:ascii="Trebuchet MS"/>
            <w:spacing w:val="-2"/>
            <w:w w:val="80"/>
            <w:sz w:val="16"/>
          </w:rPr>
          <w:t>medicines/</w:t>
        </w:r>
      </w:hyperlink>
      <w:r>
        <w:rPr>
          <w:rFonts w:ascii="Trebuchet MS"/>
          <w:sz w:val="16"/>
        </w:rPr>
        <w:t> </w:t>
      </w:r>
      <w:r>
        <w:rPr>
          <w:rFonts w:ascii="Trebuchet MS"/>
          <w:w w:val="90"/>
          <w:sz w:val="16"/>
        </w:rPr>
        <w:t>[cited</w:t>
      </w:r>
      <w:r>
        <w:rPr>
          <w:rFonts w:ascii="Trebuchet MS"/>
          <w:spacing w:val="-5"/>
          <w:w w:val="90"/>
          <w:sz w:val="16"/>
        </w:rPr>
        <w:t> </w:t>
      </w:r>
      <w:r>
        <w:rPr>
          <w:rFonts w:ascii="Trebuchet MS"/>
          <w:w w:val="90"/>
          <w:sz w:val="16"/>
        </w:rPr>
        <w:t>2026</w:t>
      </w:r>
      <w:r>
        <w:rPr>
          <w:rFonts w:ascii="Trebuchet MS"/>
          <w:spacing w:val="-5"/>
          <w:w w:val="90"/>
          <w:sz w:val="16"/>
        </w:rPr>
        <w:t> </w:t>
      </w:r>
      <w:r>
        <w:rPr>
          <w:rFonts w:ascii="Trebuchet MS"/>
          <w:w w:val="90"/>
          <w:sz w:val="16"/>
        </w:rPr>
        <w:t>Apr</w:t>
      </w:r>
      <w:r>
        <w:rPr>
          <w:rFonts w:ascii="Trebuchet MS"/>
          <w:spacing w:val="-5"/>
          <w:w w:val="90"/>
          <w:sz w:val="16"/>
        </w:rPr>
        <w:t> </w:t>
      </w:r>
      <w:r>
        <w:rPr>
          <w:rFonts w:ascii="Trebuchet MS"/>
          <w:w w:val="90"/>
          <w:sz w:val="16"/>
        </w:rPr>
        <w:t>8].</w:t>
      </w:r>
    </w:p>
    <w:p>
      <w:pPr>
        <w:spacing w:line="240" w:lineRule="auto" w:before="0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sz w:val="16"/>
        </w:rPr>
      </w:r>
    </w:p>
    <w:p>
      <w:pPr>
        <w:pStyle w:val="BodyText"/>
        <w:spacing w:before="41"/>
        <w:rPr>
          <w:rFonts w:ascii="Trebuchet MS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0" w:after="0"/>
        <w:ind w:left="425" w:right="127" w:hanging="284"/>
        <w:jc w:val="left"/>
        <w:rPr>
          <w:sz w:val="16"/>
        </w:rPr>
      </w:pPr>
      <w:bookmarkStart w:name="_bookmark4" w:id="5"/>
      <w:bookmarkEnd w:id="5"/>
      <w:r>
        <w:rPr/>
      </w:r>
      <w:r>
        <w:rPr>
          <w:w w:val="80"/>
          <w:sz w:val="16"/>
        </w:rPr>
        <w:t>Part I: resolutions and decisions annexes. In:</w:t>
      </w:r>
      <w:r>
        <w:rPr>
          <w:spacing w:val="-4"/>
          <w:w w:val="80"/>
          <w:sz w:val="16"/>
        </w:rPr>
        <w:t> </w:t>
      </w:r>
      <w:r>
        <w:rPr>
          <w:w w:val="80"/>
          <w:sz w:val="16"/>
        </w:rPr>
        <w:t>Thirty-first</w:t>
      </w:r>
      <w:r>
        <w:rPr>
          <w:spacing w:val="-3"/>
          <w:w w:val="80"/>
          <w:sz w:val="16"/>
        </w:rPr>
        <w:t> </w:t>
      </w:r>
      <w:r>
        <w:rPr>
          <w:w w:val="80"/>
          <w:sz w:val="16"/>
        </w:rPr>
        <w:t>World Health</w:t>
      </w:r>
      <w:r>
        <w:rPr>
          <w:w w:val="85"/>
          <w:sz w:val="16"/>
        </w:rPr>
        <w:t> </w:t>
      </w:r>
      <w:r>
        <w:rPr>
          <w:spacing w:val="-2"/>
          <w:w w:val="85"/>
          <w:sz w:val="16"/>
        </w:rPr>
        <w:t>Assembly, Geneva, 8–24 May 1978. Geneva:</w:t>
      </w:r>
      <w:r>
        <w:rPr>
          <w:spacing w:val="-9"/>
          <w:w w:val="85"/>
          <w:sz w:val="16"/>
        </w:rPr>
        <w:t> </w:t>
      </w:r>
      <w:r>
        <w:rPr>
          <w:spacing w:val="-2"/>
          <w:w w:val="85"/>
          <w:sz w:val="16"/>
        </w:rPr>
        <w:t>World Health Organization;</w:t>
      </w:r>
      <w:r>
        <w:rPr>
          <w:w w:val="85"/>
          <w:sz w:val="16"/>
        </w:rPr>
        <w:t> </w:t>
      </w:r>
      <w:r>
        <w:rPr>
          <w:w w:val="75"/>
          <w:sz w:val="16"/>
        </w:rPr>
        <w:t>1978. Available from: </w:t>
      </w:r>
      <w:hyperlink r:id="rId15">
        <w:r>
          <w:rPr>
            <w:w w:val="75"/>
            <w:sz w:val="16"/>
          </w:rPr>
          <w:t>https://iris.who.int/handle/10665/86043</w:t>
        </w:r>
      </w:hyperlink>
      <w:r>
        <w:rPr>
          <w:w w:val="75"/>
          <w:sz w:val="16"/>
        </w:rPr>
        <w:t> [cited 2025</w:t>
      </w:r>
    </w:p>
    <w:p>
      <w:pPr>
        <w:spacing w:before="1"/>
        <w:ind w:left="425" w:right="0" w:firstLine="0"/>
        <w:jc w:val="left"/>
        <w:rPr>
          <w:rFonts w:ascii="Trebuchet MS"/>
          <w:sz w:val="16"/>
        </w:rPr>
      </w:pPr>
      <w:bookmarkStart w:name="_bookmark5" w:id="6"/>
      <w:bookmarkEnd w:id="6"/>
      <w:r>
        <w:rPr/>
      </w:r>
      <w:r>
        <w:rPr>
          <w:rFonts w:ascii="Trebuchet MS"/>
          <w:w w:val="85"/>
          <w:sz w:val="16"/>
        </w:rPr>
        <w:t>Nov</w:t>
      </w:r>
      <w:r>
        <w:rPr>
          <w:rFonts w:ascii="Trebuchet MS"/>
          <w:spacing w:val="-5"/>
          <w:w w:val="85"/>
          <w:sz w:val="16"/>
        </w:rPr>
        <w:t> </w:t>
      </w:r>
      <w:r>
        <w:rPr>
          <w:rFonts w:ascii="Trebuchet MS"/>
          <w:spacing w:val="-5"/>
          <w:w w:val="90"/>
          <w:sz w:val="16"/>
        </w:rPr>
        <w:t>8].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5" w:after="0"/>
        <w:ind w:left="425" w:right="9" w:hanging="284"/>
        <w:jc w:val="left"/>
        <w:rPr>
          <w:sz w:val="16"/>
        </w:rPr>
      </w:pPr>
      <w:r>
        <w:rPr>
          <w:w w:val="80"/>
          <w:sz w:val="16"/>
        </w:rPr>
        <w:t>Persaud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N,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Jiang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M,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Shaikh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R,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Bali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A,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Oronsaye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E,</w:t>
      </w:r>
      <w:r>
        <w:rPr>
          <w:spacing w:val="-13"/>
          <w:w w:val="80"/>
          <w:sz w:val="16"/>
        </w:rPr>
        <w:t> </w:t>
      </w:r>
      <w:r>
        <w:rPr>
          <w:w w:val="80"/>
          <w:sz w:val="16"/>
        </w:rPr>
        <w:t>Woods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H,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et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al.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Comparison</w:t>
      </w:r>
      <w:r>
        <w:rPr>
          <w:sz w:val="16"/>
        </w:rPr>
        <w:t> </w:t>
      </w:r>
      <w:r>
        <w:rPr>
          <w:w w:val="80"/>
          <w:sz w:val="16"/>
        </w:rPr>
        <w:t>of essential medicines lists in 137 countries. Bull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World Health Organ. 2019</w:t>
      </w:r>
      <w:r>
        <w:rPr>
          <w:sz w:val="16"/>
        </w:rPr>
        <w:t> </w:t>
      </w:r>
      <w:r>
        <w:rPr>
          <w:w w:val="80"/>
          <w:sz w:val="16"/>
        </w:rPr>
        <w:t>Jun</w:t>
      </w:r>
      <w:r>
        <w:rPr>
          <w:spacing w:val="-6"/>
          <w:w w:val="80"/>
          <w:sz w:val="16"/>
        </w:rPr>
        <w:t> </w:t>
      </w:r>
      <w:r>
        <w:rPr>
          <w:w w:val="80"/>
          <w:sz w:val="16"/>
        </w:rPr>
        <w:t>1;97(6):394–404C.</w:t>
      </w:r>
      <w:r>
        <w:rPr>
          <w:spacing w:val="-6"/>
          <w:w w:val="80"/>
          <w:sz w:val="16"/>
        </w:rPr>
        <w:t> </w:t>
      </w:r>
      <w:r>
        <w:rPr>
          <w:w w:val="80"/>
          <w:sz w:val="16"/>
        </w:rPr>
        <w:t>doi:</w:t>
      </w:r>
      <w:r>
        <w:rPr>
          <w:spacing w:val="-6"/>
          <w:w w:val="80"/>
          <w:sz w:val="16"/>
        </w:rPr>
        <w:t> </w:t>
      </w:r>
      <w:hyperlink r:id="rId16">
        <w:r>
          <w:rPr>
            <w:w w:val="80"/>
            <w:sz w:val="16"/>
          </w:rPr>
          <w:t>http://dx.doi.org/10.2471/BLT.18.222448</w:t>
        </w:r>
      </w:hyperlink>
      <w:r>
        <w:rPr>
          <w:spacing w:val="-6"/>
          <w:w w:val="80"/>
          <w:sz w:val="16"/>
        </w:rPr>
        <w:t> </w:t>
      </w:r>
      <w:r>
        <w:rPr>
          <w:w w:val="80"/>
          <w:sz w:val="16"/>
        </w:rPr>
        <w:t>PMID:</w:t>
      </w:r>
      <w:r>
        <w:rPr>
          <w:w w:val="84"/>
          <w:sz w:val="16"/>
        </w:rPr>
        <w:t> </w:t>
      </w:r>
      <w:bookmarkStart w:name="_bookmark6" w:id="7"/>
      <w:bookmarkEnd w:id="7"/>
      <w:r>
        <w:rPr>
          <w:w w:val="84"/>
          <w:sz w:val="16"/>
        </w:rPr>
      </w:r>
      <w:hyperlink r:id="rId17">
        <w:r>
          <w:rPr>
            <w:spacing w:val="-2"/>
            <w:w w:val="85"/>
            <w:sz w:val="16"/>
          </w:rPr>
          <w:t>31210677</w:t>
        </w:r>
      </w:hyperlink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2" w:after="0"/>
        <w:ind w:left="425" w:right="17" w:hanging="284"/>
        <w:jc w:val="left"/>
        <w:rPr>
          <w:sz w:val="16"/>
        </w:rPr>
      </w:pPr>
      <w:r>
        <w:rPr>
          <w:w w:val="80"/>
          <w:sz w:val="16"/>
        </w:rPr>
        <w:t>The selection and use of essential medicines 2025: report of the 25th</w:t>
      </w:r>
      <w:r>
        <w:rPr>
          <w:spacing w:val="-5"/>
          <w:w w:val="80"/>
          <w:sz w:val="16"/>
        </w:rPr>
        <w:t> </w:t>
      </w:r>
      <w:r>
        <w:rPr>
          <w:w w:val="80"/>
          <w:sz w:val="16"/>
        </w:rPr>
        <w:t>WHO</w:t>
      </w:r>
      <w:r>
        <w:rPr>
          <w:sz w:val="16"/>
        </w:rPr>
        <w:t> </w:t>
      </w:r>
      <w:r>
        <w:rPr>
          <w:w w:val="80"/>
          <w:sz w:val="16"/>
        </w:rPr>
        <w:t>Expert Committee on Selection and Use of Essential Medicines: executive</w:t>
      </w:r>
      <w:r>
        <w:rPr>
          <w:sz w:val="16"/>
        </w:rPr>
        <w:t> </w:t>
      </w:r>
      <w:r>
        <w:rPr>
          <w:w w:val="75"/>
          <w:sz w:val="16"/>
        </w:rPr>
        <w:t>summary. Geneva: World Health Organization; 2025. Available from: </w:t>
      </w:r>
      <w:hyperlink r:id="rId18">
        <w:r>
          <w:rPr>
            <w:w w:val="75"/>
            <w:sz w:val="16"/>
          </w:rPr>
          <w:t>https://</w:t>
        </w:r>
      </w:hyperlink>
      <w:r>
        <w:rPr>
          <w:sz w:val="16"/>
        </w:rPr>
        <w:t> </w:t>
      </w:r>
      <w:bookmarkStart w:name="_bookmark7" w:id="8"/>
      <w:bookmarkEnd w:id="8"/>
      <w:r>
        <w:rPr>
          <w:w w:val="70"/>
          <w:sz w:val="16"/>
        </w:rPr>
      </w:r>
      <w:hyperlink r:id="rId18">
        <w:r>
          <w:rPr>
            <w:spacing w:val="-2"/>
            <w:w w:val="85"/>
            <w:sz w:val="16"/>
          </w:rPr>
          <w:t>iris.who.int/handle/10665/382350</w:t>
        </w:r>
      </w:hyperlink>
      <w:r>
        <w:rPr>
          <w:spacing w:val="-2"/>
          <w:w w:val="85"/>
          <w:sz w:val="16"/>
        </w:rPr>
        <w:t> [cited 2025 Nov 8].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4" w:lineRule="auto" w:before="2" w:after="0"/>
        <w:ind w:left="425" w:right="28" w:hanging="284"/>
        <w:jc w:val="left"/>
        <w:rPr>
          <w:sz w:val="16"/>
        </w:rPr>
      </w:pPr>
      <w:r>
        <w:rPr>
          <w:w w:val="80"/>
          <w:sz w:val="16"/>
        </w:rPr>
        <w:t>Heredia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C,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Ul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Haq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MZ,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Cappello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B,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Malik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F,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Penazzato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M,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Moja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L,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et</w:t>
      </w:r>
      <w:r>
        <w:rPr>
          <w:spacing w:val="-1"/>
          <w:w w:val="80"/>
          <w:sz w:val="16"/>
        </w:rPr>
        <w:t> </w:t>
      </w:r>
      <w:r>
        <w:rPr>
          <w:w w:val="80"/>
          <w:sz w:val="16"/>
        </w:rPr>
        <w:t>al.</w:t>
      </w:r>
      <w:r>
        <w:rPr>
          <w:sz w:val="16"/>
        </w:rPr>
        <w:t> </w:t>
      </w:r>
      <w:r>
        <w:rPr>
          <w:w w:val="80"/>
          <w:sz w:val="16"/>
        </w:rPr>
        <w:t>Pediatric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formulations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in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national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essential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medicines</w:t>
      </w:r>
      <w:r>
        <w:rPr>
          <w:spacing w:val="-8"/>
          <w:w w:val="80"/>
          <w:sz w:val="16"/>
        </w:rPr>
        <w:t> </w:t>
      </w:r>
      <w:r>
        <w:rPr>
          <w:w w:val="80"/>
          <w:sz w:val="16"/>
        </w:rPr>
        <w:t>lists: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a</w:t>
      </w:r>
      <w:r>
        <w:rPr>
          <w:spacing w:val="-7"/>
          <w:w w:val="80"/>
          <w:sz w:val="16"/>
        </w:rPr>
        <w:t> </w:t>
      </w:r>
      <w:r>
        <w:rPr>
          <w:w w:val="80"/>
          <w:sz w:val="16"/>
        </w:rPr>
        <w:t>cross-sectional</w:t>
      </w:r>
      <w:r>
        <w:rPr>
          <w:sz w:val="16"/>
        </w:rPr>
        <w:t> </w:t>
      </w:r>
      <w:r>
        <w:rPr>
          <w:w w:val="75"/>
          <w:sz w:val="16"/>
        </w:rPr>
        <w:t>study. Front Pediatr. 2025 May 2;13:1566841. doi: </w:t>
      </w:r>
      <w:hyperlink r:id="rId19">
        <w:r>
          <w:rPr>
            <w:w w:val="75"/>
            <w:sz w:val="16"/>
          </w:rPr>
          <w:t>http://dx.doi.org/10.3389/</w:t>
        </w:r>
      </w:hyperlink>
      <w:r>
        <w:rPr>
          <w:w w:val="85"/>
          <w:sz w:val="16"/>
        </w:rPr>
        <w:t> </w:t>
      </w:r>
      <w:hyperlink r:id="rId19">
        <w:r>
          <w:rPr>
            <w:w w:val="85"/>
            <w:sz w:val="16"/>
          </w:rPr>
          <w:t>fped.2025.1566841</w:t>
        </w:r>
      </w:hyperlink>
      <w:r>
        <w:rPr>
          <w:w w:val="85"/>
          <w:sz w:val="16"/>
        </w:rPr>
        <w:t> PMID: </w:t>
      </w:r>
      <w:hyperlink r:id="rId20">
        <w:r>
          <w:rPr>
            <w:w w:val="85"/>
            <w:sz w:val="16"/>
          </w:rPr>
          <w:t>40385993</w:t>
        </w:r>
      </w:hyperlink>
    </w:p>
    <w:sectPr>
      <w:type w:val="continuous"/>
      <w:pgSz w:w="11910" w:h="16840"/>
      <w:pgMar w:header="0" w:footer="744" w:top="480" w:bottom="940" w:left="992" w:right="1133"/>
      <w:cols w:num="2" w:equalWidth="0">
        <w:col w:w="4860" w:space="101"/>
        <w:col w:w="482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707299</wp:posOffset>
              </wp:positionH>
              <wp:positionV relativeFrom="page">
                <wp:posOffset>10079681</wp:posOffset>
              </wp:positionV>
              <wp:extent cx="3366770" cy="2019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6677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7" w:lineRule="exact" w:before="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Bull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9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World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8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Health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9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Organ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4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80"/>
                              <w:sz w:val="16"/>
                            </w:rPr>
                            <w:t>2026;104:287–287A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C05D28"/>
                              <w:w w:val="80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C05D28"/>
                              <w:spacing w:val="-33"/>
                              <w:w w:val="8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80"/>
                              <w:sz w:val="16"/>
                            </w:rPr>
                            <w:t>doi: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w w:val="80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 w:hAnsi="Trebuchet MS"/>
                                <w:spacing w:val="-2"/>
                                <w:w w:val="75"/>
                                <w:sz w:val="16"/>
                              </w:rPr>
                              <w:t>http://dx.doi.org/10.2471/BLT.26.295706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2pt;margin-top:793.67572pt;width:265.1pt;height:15.9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spacing w:line="317" w:lineRule="exact" w:before="0"/>
                      <w:ind w:left="20" w:right="0" w:firstLine="0"/>
                      <w:jc w:val="left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Bull</w:t>
                    </w:r>
                    <w:r>
                      <w:rPr>
                        <w:rFonts w:ascii="Trebuchet MS" w:hAnsi="Trebuchet MS"/>
                        <w:i/>
                        <w:spacing w:val="-9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World</w:t>
                    </w:r>
                    <w:r>
                      <w:rPr>
                        <w:rFonts w:ascii="Trebuchet MS" w:hAnsi="Trebuchet MS"/>
                        <w:i/>
                        <w:spacing w:val="-8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Health</w:t>
                    </w:r>
                    <w:r>
                      <w:rPr>
                        <w:rFonts w:ascii="Trebuchet MS" w:hAnsi="Trebuchet MS"/>
                        <w:i/>
                        <w:spacing w:val="-9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Organ</w:t>
                    </w:r>
                    <w:r>
                      <w:rPr>
                        <w:rFonts w:ascii="Trebuchet MS" w:hAnsi="Trebuchet MS"/>
                        <w:i/>
                        <w:spacing w:val="-4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w w:val="80"/>
                        <w:sz w:val="16"/>
                      </w:rPr>
                      <w:t>2026;104:287–287A</w:t>
                    </w:r>
                    <w:r>
                      <w:rPr>
                        <w:rFonts w:ascii="Trebuchet MS" w:hAnsi="Trebuchet MS"/>
                        <w:spacing w:val="-4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Malgun Gothic" w:hAnsi="Malgun Gothic"/>
                        <w:b/>
                        <w:color w:val="C05D28"/>
                        <w:w w:val="80"/>
                        <w:sz w:val="24"/>
                      </w:rPr>
                      <w:t>|</w:t>
                    </w:r>
                    <w:r>
                      <w:rPr>
                        <w:rFonts w:ascii="Malgun Gothic" w:hAnsi="Malgun Gothic"/>
                        <w:b/>
                        <w:color w:val="C05D28"/>
                        <w:spacing w:val="-33"/>
                        <w:w w:val="8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w w:val="80"/>
                        <w:sz w:val="16"/>
                      </w:rPr>
                      <w:t>doi:</w:t>
                    </w:r>
                    <w:r>
                      <w:rPr>
                        <w:rFonts w:ascii="Trebuchet MS" w:hAnsi="Trebuchet MS"/>
                        <w:spacing w:val="-4"/>
                        <w:w w:val="80"/>
                        <w:sz w:val="16"/>
                      </w:rPr>
                      <w:t> </w:t>
                    </w:r>
                    <w:hyperlink r:id="rId1">
                      <w:r>
                        <w:rPr>
                          <w:rFonts w:ascii="Trebuchet MS" w:hAnsi="Trebuchet MS"/>
                          <w:spacing w:val="-2"/>
                          <w:w w:val="75"/>
                          <w:sz w:val="16"/>
                        </w:rPr>
                        <w:t>http://dx.doi.org/10.2471/BLT.26.295706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6670026</wp:posOffset>
              </wp:positionH>
              <wp:positionV relativeFrom="page">
                <wp:posOffset>10115935</wp:posOffset>
              </wp:positionV>
              <wp:extent cx="182880" cy="1504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288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16"/>
                            </w:rPr>
                            <w:t>287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198914pt;margin-top:796.530334pt;width:14.4pt;height:11.85pt;mso-position-horizontal-relative:page;mso-position-vertical-relative:page;z-index:-15806976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16"/>
                      </w:rPr>
                      <w:t>287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3506776</wp:posOffset>
              </wp:positionH>
              <wp:positionV relativeFrom="page">
                <wp:posOffset>10079681</wp:posOffset>
              </wp:positionV>
              <wp:extent cx="3346450" cy="2019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464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7" w:lineRule="exact" w:before="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Bull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9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World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8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Health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8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i/>
                              <w:w w:val="80"/>
                              <w:sz w:val="16"/>
                            </w:rPr>
                            <w:t>Organ</w:t>
                          </w:r>
                          <w:r>
                            <w:rPr>
                              <w:rFonts w:ascii="Trebuchet MS" w:hAnsi="Trebuchet MS"/>
                              <w:i/>
                              <w:spacing w:val="-3"/>
                              <w:w w:val="8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80"/>
                              <w:sz w:val="16"/>
                            </w:rPr>
                            <w:t>2026;104:287–287A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C05D28"/>
                              <w:w w:val="80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C05D28"/>
                              <w:spacing w:val="-33"/>
                              <w:w w:val="8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w w:val="80"/>
                              <w:sz w:val="16"/>
                            </w:rPr>
                            <w:t>doi:</w:t>
                          </w:r>
                          <w:r>
                            <w:rPr>
                              <w:rFonts w:ascii="Trebuchet MS" w:hAnsi="Trebuchet MS"/>
                              <w:spacing w:val="-3"/>
                              <w:w w:val="80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 w:hAnsi="Trebuchet MS"/>
                                <w:spacing w:val="-2"/>
                                <w:w w:val="75"/>
                                <w:sz w:val="16"/>
                              </w:rPr>
                              <w:t>http://dx.doi.org/10.2471/BLT.26.295706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124115pt;margin-top:793.67572pt;width:263.5pt;height:15.9pt;mso-position-horizontal-relative:page;mso-position-vertical-relative:page;z-index:-15806464" type="#_x0000_t202" id="docshape4" filled="false" stroked="false">
              <v:textbox inset="0,0,0,0">
                <w:txbxContent>
                  <w:p>
                    <w:pPr>
                      <w:spacing w:line="317" w:lineRule="exact" w:before="0"/>
                      <w:ind w:left="20" w:right="0" w:firstLine="0"/>
                      <w:jc w:val="left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Bull</w:t>
                    </w:r>
                    <w:r>
                      <w:rPr>
                        <w:rFonts w:ascii="Trebuchet MS" w:hAnsi="Trebuchet MS"/>
                        <w:i/>
                        <w:spacing w:val="-9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World</w:t>
                    </w:r>
                    <w:r>
                      <w:rPr>
                        <w:rFonts w:ascii="Trebuchet MS" w:hAnsi="Trebuchet MS"/>
                        <w:i/>
                        <w:spacing w:val="-8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Health</w:t>
                    </w:r>
                    <w:r>
                      <w:rPr>
                        <w:rFonts w:ascii="Trebuchet MS" w:hAnsi="Trebuchet MS"/>
                        <w:i/>
                        <w:spacing w:val="-8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i/>
                        <w:w w:val="80"/>
                        <w:sz w:val="16"/>
                      </w:rPr>
                      <w:t>Organ</w:t>
                    </w:r>
                    <w:r>
                      <w:rPr>
                        <w:rFonts w:ascii="Trebuchet MS" w:hAnsi="Trebuchet MS"/>
                        <w:i/>
                        <w:spacing w:val="-3"/>
                        <w:w w:val="80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w w:val="80"/>
                        <w:sz w:val="16"/>
                      </w:rPr>
                      <w:t>2026;104:287–287A</w:t>
                    </w:r>
                    <w:r>
                      <w:rPr>
                        <w:rFonts w:ascii="Malgun Gothic" w:hAnsi="Malgun Gothic"/>
                        <w:b/>
                        <w:color w:val="C05D28"/>
                        <w:w w:val="80"/>
                        <w:sz w:val="24"/>
                      </w:rPr>
                      <w:t>|</w:t>
                    </w:r>
                    <w:r>
                      <w:rPr>
                        <w:rFonts w:ascii="Malgun Gothic" w:hAnsi="Malgun Gothic"/>
                        <w:b/>
                        <w:color w:val="C05D28"/>
                        <w:spacing w:val="-33"/>
                        <w:w w:val="8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w w:val="80"/>
                        <w:sz w:val="16"/>
                      </w:rPr>
                      <w:t>doi:</w:t>
                    </w:r>
                    <w:r>
                      <w:rPr>
                        <w:rFonts w:ascii="Trebuchet MS" w:hAnsi="Trebuchet MS"/>
                        <w:spacing w:val="-3"/>
                        <w:w w:val="80"/>
                        <w:sz w:val="16"/>
                      </w:rPr>
                      <w:t> </w:t>
                    </w:r>
                    <w:hyperlink r:id="rId1">
                      <w:r>
                        <w:rPr>
                          <w:rFonts w:ascii="Trebuchet MS" w:hAnsi="Trebuchet MS"/>
                          <w:spacing w:val="-2"/>
                          <w:w w:val="75"/>
                          <w:sz w:val="16"/>
                        </w:rPr>
                        <w:t>http://dx.doi.org/10.2471/BLT.26.295706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707299</wp:posOffset>
              </wp:positionH>
              <wp:positionV relativeFrom="page">
                <wp:posOffset>10115935</wp:posOffset>
              </wp:positionV>
              <wp:extent cx="243840" cy="15049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3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>287A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2pt;margin-top:796.530334pt;width:19.2pt;height:11.85pt;mso-position-horizontal-relative:page;mso-position-vertical-relative:page;z-index:-15805952" type="#_x0000_t202" id="docshape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287A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5" w:hanging="28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5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9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3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71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outlineLvl w:val="1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25" w:right="9" w:hanging="28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who.int/publications/" TargetMode="External"/><Relationship Id="rId7" Type="http://schemas.openxmlformats.org/officeDocument/2006/relationships/hyperlink" Target="mailto:mojal@who.int" TargetMode="External"/><Relationship Id="rId8" Type="http://schemas.openxmlformats.org/officeDocument/2006/relationships/footer" Target="footer2.xml"/><Relationship Id="rId9" Type="http://schemas.openxmlformats.org/officeDocument/2006/relationships/hyperlink" Target="http://creativecommons.org/licenses/by/3.0/igo/legalcode)" TargetMode="External"/><Relationship Id="rId10" Type="http://schemas.openxmlformats.org/officeDocument/2006/relationships/hyperlink" Target="https://who.int/iris/handle/10665/41272" TargetMode="External"/><Relationship Id="rId11" Type="http://schemas.openxmlformats.org/officeDocument/2006/relationships/hyperlink" Target="https://iris.who.int/handle/10665/39228" TargetMode="External"/><Relationship Id="rId12" Type="http://schemas.openxmlformats.org/officeDocument/2006/relationships/hyperlink" Target="http://dx.doi.org/10.1016/S0140-6736(25)01026-8" TargetMode="External"/><Relationship Id="rId13" Type="http://schemas.openxmlformats.org/officeDocument/2006/relationships/hyperlink" Target="http://www.ncbi.nlm.nih.gov/pubmed/40412429" TargetMode="External"/><Relationship Id="rId14" Type="http://schemas.openxmlformats.org/officeDocument/2006/relationships/hyperlink" Target="https://think.taylorandfrancis.com/article_collections/special-series-in-journal-of-pharmaceutical-policy-and-practice-50th-anniversary-of-the-who-model-list-of-essential-medicines/" TargetMode="External"/><Relationship Id="rId15" Type="http://schemas.openxmlformats.org/officeDocument/2006/relationships/hyperlink" Target="https://iris.who.int/handle/10665/86043" TargetMode="External"/><Relationship Id="rId16" Type="http://schemas.openxmlformats.org/officeDocument/2006/relationships/hyperlink" Target="http://dx.doi.org/10.2471/BLT.18.222448" TargetMode="External"/><Relationship Id="rId17" Type="http://schemas.openxmlformats.org/officeDocument/2006/relationships/hyperlink" Target="http://www.ncbi.nlm.nih.gov/pubmed/31210677" TargetMode="External"/><Relationship Id="rId18" Type="http://schemas.openxmlformats.org/officeDocument/2006/relationships/hyperlink" Target="https://iris.who.int/handle/10665/382350" TargetMode="External"/><Relationship Id="rId19" Type="http://schemas.openxmlformats.org/officeDocument/2006/relationships/hyperlink" Target="http://dx.doi.org/10.3389/fped.2025.1566841" TargetMode="External"/><Relationship Id="rId20" Type="http://schemas.openxmlformats.org/officeDocument/2006/relationships/hyperlink" Target="http://www.ncbi.nlm.nih.gov/pubmed/40385993" TargetMode="External"/><Relationship Id="rId2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dx.doi.org/10.2471/BLT.26.295706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dx.doi.org/10.2471/BLT.26.29570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World Health Organization</dc:creator>
  <dc:title>Bulletin of the World Health Organization</dc:title>
  <dcterms:created xsi:type="dcterms:W3CDTF">2026-05-16T01:04:32Z</dcterms:created>
  <dcterms:modified xsi:type="dcterms:W3CDTF">2026-05-16T01:04:32Z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Adobe InDesign 21.2 (Macintosh)</vt:lpwstr>
  </property>
  <property fmtid="{D5CDD505-2E9C-101B-9397-08002B2CF9AE}" pid="4" name="LastSaved">
    <vt:filetime>2026-05-16T00:00:00Z</vt:filetime>
  </property>
  <property fmtid="{D5CDD505-2E9C-101B-9397-08002B2CF9AE}" pid="5" name="Producer">
    <vt:lpwstr>Adobe PDF Library 18.0</vt:lpwstr>
  </property>
</Properties>
</file>