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عقد اتفاق ازالة شيوع عقار بالبيع</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https://www.syrian-lawyer.club/%d8%b5%d9%8a%d8%ba%d8%a9-%d8%b9%d9%82%d8%af-%d8%a7%d8%aa%d9%81%d8%a7%d9%82-%d8%a7%d8%b2%d8%a7%d9%84%d8%a9-%d8%b4%d9%8a%d9%88%d8%b9-%d8%b9%d9%82%d8%a7%d8%b1-%d8%a8%d8%a7%d9%84%d8%a8%d9%8a%d8%b9/</w:t>
      </w:r>
    </w:p>
    <w:p>
      <w:pPr>
        <w:jc w:val="right"/>
      </w:pPr>
      <w:r>
        <w:t>تصنيف ميزان: عقود واردة على الملكية &gt; إزالة شيوع / اتفاق بيع</w:t>
      </w:r>
    </w:p>
    <w:p>
      <w:pPr>
        <w:jc w:val="right"/>
      </w:pPr>
      <w:r>
        <w:t>حالة المراجعة: خام - يحتاج مراجعة قانونية وحقوقية قبل الاعتماد</w:t>
      </w:r>
    </w:p>
    <w:p/>
    <w:p>
      <w:pPr>
        <w:jc w:val="right"/>
      </w:pPr>
      <w:r>
        <w:t>صيغة عقد اتفاق ازالة شيوع عقار بالبيع</w:t>
      </w:r>
    </w:p>
    <w:p>
      <w:pPr>
        <w:jc w:val="right"/>
      </w:pPr>
      <w:r>
        <w:t>الفريق الأول : …………………. شريك مشتاع</w:t>
      </w:r>
    </w:p>
    <w:p>
      <w:pPr>
        <w:jc w:val="right"/>
      </w:pPr>
      <w:r>
        <w:t>الفريق الثاني : ………………….شريك مشتاع الفريق الثالث : ………………….شريك مشتاع المقدمة :</w:t>
      </w:r>
    </w:p>
    <w:p>
      <w:pPr>
        <w:jc w:val="right"/>
      </w:pPr>
      <w:r>
        <w:t>لما كان الفرقاء الثلاثة شركاء على الشيوع في ملكية العقار رقم …… منطقة…… العقارية بمدينة ……والذي هو عبارة عن…………………. وكان غير قابل للقسمة عيناً. وكان الفرقاء راغبين بإزالة شيوعه رضاء ببيعه. فقد اتفق الفرقاء وهم بكامل الأهلية المعتبرة شرعاً وقانوناً على ما يلي: المادة ١ – تعتبر مقدمة هذا العقد جزءاً لا يتجزأ منه. المادة ٢ – التزم الفرقاء ببيع العقار رقم …… من منطقة ……العقارية بمدينة ……….الموصوف بالمقدمة واقتسام ثمنه فيما بينهم وفق سهامهم في ملكيته المسجلة في السجل العقاري. المادة ٣ – فوض كل من الفرقاء شركاءه الآخرين بعرض العقار في أي مكتب عقاري لبيعه بثمن بحدود ليرة سورية والتزم الباقون بتمكين صاحب المكتب …… والزبائن من معاينة المبيع ومن تحديد كيفية دفع الثمن. المادة 4 – التزم جميع الفرقاء بنقل ملكية المبيع في السجل العقاري لاسم المشتري خــلال يوماً من تاريخ توقيعهم عقد بيعه على أن يدفع المشتري تكاليف ورسوم معاملة نقل الملكية من ماله الخاص كما التزموا بتسليمه له خاليا من أي شاغل المادة ٥- التزم كل من الفرقاء بدفع ما يترتب عليه من الضرائب والرسوم المترتبة علـى العقار المبيع حتى تاريخ عقد البيع بحسب سهامه في ملكيته كما التزم بجميع الضرائب والرسوم المترتبة على ملكيته خاصة ضريبة الدخل ( الأرباح الرأسمالية ) ورسوم الانتقال. المادة ٦ – نظم هذا العقد من نسخ بعدد الفرقاء احتفظ كل منهم بإحداها بعد ما تلي عليه وتفهم مضمونه.</w:t>
      </w:r>
    </w:p>
    <w:p>
      <w:pPr>
        <w:jc w:val="right"/>
      </w:pPr>
      <w:r>
        <w:t>… في / / الفريق الأول الفريق الثاني الفريق الثالث</w:t>
      </w:r>
    </w:p>
    <w:p>
      <w:pPr>
        <w:jc w:val="right"/>
      </w:pPr>
      <w:r>
        <w:t>لطلب أستشارة قانونية مجانية من موقع نادي المحامي السوري للاستشارات القانونية في سوريا ومصر وتركيا وألمانيا ودول الخليج</w:t>
      </w:r>
    </w:p>
    <w:p>
      <w:pPr>
        <w:jc w:val="right"/>
      </w:pPr>
      <w:r>
        <w:t>يرجى تعبيئة النموذج في الرابط التالي وارساله وانتظار الرد على ايميلك المرسل منه الرسالة . اضغط هنا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