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0"/>
      </w:pPr>
      <w:r>
        <w:rPr>
          <w:rFonts w:ascii="Arial" w:cs="Arial" w:eastAsia="Arial" w:hAnsi="Arial"/>
          <w:color w:val="374151"/>
          <w:sz w:val="21"/>
          <w:szCs w:val="21"/>
        </w:rPr>
        <w:t xml:space="preserve"/>
      </w:r>
    </w:p>
    <w:p>
      <w:pPr>
        <w:shd w:fill="111827" w:val="clear"/>
        <w:spacing w:after="0" w:before="0"/>
        <w:jc w:val="center"/>
      </w:pPr>
      <w:r>
        <w:rPr>
          <w:rFonts w:ascii="Arial" w:cs="Arial" w:eastAsia="Arial" w:hAnsi="Arial"/>
          <w:color w:val="374151"/>
          <w:sz w:val="21"/>
          <w:szCs w:val="21"/>
        </w:rPr>
        <w:t xml:space="preserve">  </w:t>
      </w:r>
    </w:p>
    <w:p>
      <w:pPr>
        <w:shd w:fill="111827" w:val="clear"/>
        <w:spacing w:after="0" w:before="0"/>
        <w:jc w:val="center"/>
      </w:pPr>
      <w:r>
        <w:rPr>
          <w:rFonts w:ascii="Arial" w:cs="Arial" w:eastAsia="Arial" w:hAnsi="Arial"/>
          <w:b/>
          <w:bCs/>
          <w:color w:val="FFFFFF"/>
          <w:sz w:val="52"/>
          <w:szCs w:val="52"/>
        </w:rPr>
        <w:t xml:space="preserve">Hybrid Recommender System</w:t>
      </w:r>
    </w:p>
    <w:p>
      <w:pPr>
        <w:shd w:fill="111827" w:val="clear"/>
        <w:spacing w:after="0" w:before="0"/>
        <w:jc w:val="center"/>
      </w:pPr>
      <w:r>
        <w:rPr>
          <w:rFonts w:ascii="Arial" w:cs="Arial" w:eastAsia="Arial" w:hAnsi="Arial"/>
          <w:color w:val="93C5FD"/>
          <w:sz w:val="22"/>
          <w:szCs w:val="22"/>
        </w:rPr>
        <w:t xml:space="preserve">Association Rule Mining  ×  TF-IDF Content-Based Filtering</w:t>
      </w:r>
    </w:p>
    <w:p>
      <w:pPr>
        <w:shd w:fill="111827" w:val="clear"/>
        <w:spacing w:after="0" w:before="0"/>
        <w:jc w:val="center"/>
      </w:pPr>
      <w:r>
        <w:rPr>
          <w:rFonts w:ascii="Arial" w:cs="Arial" w:eastAsia="Arial" w:hAnsi="Arial"/>
          <w:color w:val="374151"/>
          <w:sz w:val="21"/>
          <w:szCs w:val="21"/>
        </w:rPr>
        <w:t xml:space="preserve">  </w:t>
      </w:r>
    </w:p>
    <w:p>
      <w:pPr>
        <w:spacing w:after="60" w:before="0"/>
      </w:pPr>
      <w:r>
        <w:rPr>
          <w:rFonts w:ascii="Arial" w:cs="Arial" w:eastAsia="Arial" w:hAnsi="Arial"/>
          <w:color w:val="374151"/>
          <w:sz w:val="21"/>
          <w:szCs w:val="21"/>
        </w:rPr>
        <w:t xml:space="preserve"/>
      </w:r>
    </w:p>
    <w:p>
      <w:pPr>
        <w:spacing w:after="20" w:before="0"/>
        <w:jc w:val="center"/>
      </w:pPr>
      <w:r>
        <w:rPr>
          <w:rFonts w:ascii="Arial" w:cs="Arial" w:eastAsia="Arial" w:hAnsi="Arial"/>
          <w:color w:val="6B7280"/>
          <w:sz w:val="21"/>
          <w:szCs w:val="21"/>
        </w:rPr>
        <w:t xml:space="preserve">SIS317 – Data Mining  |  Assignment 1</w:t>
      </w:r>
    </w:p>
    <w:p>
      <w:pPr>
        <w:spacing w:after="20" w:before="0"/>
        <w:jc w:val="center"/>
      </w:pPr>
      <w:r>
        <w:rPr>
          <w:rFonts w:ascii="Arial" w:cs="Arial" w:eastAsia="Arial" w:hAnsi="Arial"/>
          <w:color w:val="6B7280"/>
          <w:sz w:val="21"/>
          <w:szCs w:val="21"/>
        </w:rPr>
        <w:t xml:space="preserve">Domain: E-Commerce  |  Dataset: Online Retail II (UCI)</w:t>
      </w:r>
    </w:p>
    <w:p>
      <w:r>
        <w:br w:type="page"/>
      </w:r>
    </w:p>
    <w:p>
      <w:pPr>
        <w:pStyle w:val="Heading1"/>
        <w:pBdr>
          <w:bottom w:val="single" w:color="2563EB" w:sz="6" w:space="4"/>
        </w:pBdr>
        <w:spacing w:after="60" w:before="360"/>
      </w:pPr>
      <w:r>
        <w:rPr>
          <w:rFonts w:ascii="Arial" w:cs="Arial" w:eastAsia="Arial" w:hAnsi="Arial"/>
          <w:b/>
          <w:bCs/>
          <w:color w:val="1D4ED8"/>
          <w:sz w:val="27"/>
          <w:szCs w:val="27"/>
        </w:rPr>
        <w:t xml:space="preserve">Q1.  </w:t>
      </w:r>
      <w:r>
        <w:rPr>
          <w:rFonts w:ascii="Arial" w:cs="Arial" w:eastAsia="Arial" w:hAnsi="Arial"/>
          <w:b/>
          <w:bCs/>
          <w:color w:val="111827"/>
          <w:sz w:val="27"/>
          <w:szCs w:val="27"/>
        </w:rPr>
        <w:t xml:space="preserve">Domain and Dataset Description</w:t>
      </w:r>
    </w:p>
    <w:p>
      <w:pPr>
        <w:spacing w:after="100" w:before="60" w:line="300"/>
        <w:jc w:val="both"/>
      </w:pPr>
      <w:r>
        <w:rPr>
          <w:rFonts w:ascii="Arial" w:cs="Arial" w:eastAsia="Arial" w:hAnsi="Arial"/>
          <w:color w:val="374151"/>
          <w:sz w:val="21"/>
          <w:szCs w:val="21"/>
        </w:rPr>
        <w:t xml:space="preserve">We chose the E-Commerce domain — modelling an online retail store. The reason is straightforward: e-commerce naturally contains two distinct recommendation signals. Customers buy related items together in one basket (birthday cards with wrapping paper), which association rules capture well. They also have consistent product preferences by type or style (always choosing retro kitchenware), which content similarity captures well. Neither signal alone is enough — the hybrid was designed for exactly this domain.</w:t>
      </w:r>
    </w:p>
    <w:p>
      <w:pPr>
        <w:spacing w:after="80" w:before="0"/>
      </w:pPr>
      <w:r>
        <w:rPr>
          <w:rFonts w:ascii="Arial" w:cs="Arial" w:eastAsia="Arial" w:hAnsi="Arial"/>
          <w:color w:val="374151"/>
          <w:sz w:val="21"/>
          <w:szCs w:val="21"/>
        </w:rPr>
        <w:t xml:space="preserve"/>
      </w:r>
    </w:p>
    <w:p>
      <w:pPr>
        <w:pStyle w:val="Heading2"/>
        <w:spacing w:after="80" w:before="200"/>
      </w:pPr>
      <w:r>
        <w:rPr>
          <w:rFonts w:ascii="Arial" w:cs="Arial" w:eastAsia="Arial" w:hAnsi="Arial"/>
          <w:b/>
          <w:bCs/>
          <w:color w:val="1D4ED8"/>
          <w:sz w:val="22"/>
          <w:szCs w:val="22"/>
        </w:rPr>
        <w:t xml:space="preserve">Dataset — Online Retail II</w:t>
      </w:r>
    </w:p>
    <w:p>
      <w:pPr>
        <w:spacing w:after="100" w:before="60" w:line="300"/>
        <w:jc w:val="both"/>
      </w:pPr>
      <w:r>
        <w:rPr>
          <w:rFonts w:ascii="Arial" w:cs="Arial" w:eastAsia="Arial" w:hAnsi="Arial"/>
          <w:color w:val="374151"/>
          <w:sz w:val="21"/>
          <w:szCs w:val="21"/>
        </w:rPr>
        <w:t xml:space="preserve">Source: UCI Machine Learning Repository — Online Retail II. The dataset covers all transactions of a UK-based online retailer from December 2009 to December 2011, stored across two annual Excel sheets.</w:t>
      </w:r>
    </w:p>
    <w:p>
      <w:pPr>
        <w:spacing w:after="60" w:before="0"/>
      </w:pPr>
      <w:r>
        <w:rPr>
          <w:rFonts w:ascii="Arial" w:cs="Arial" w:eastAsia="Arial" w:hAnsi="Arial"/>
          <w:color w:val="374151"/>
          <w:sz w:val="21"/>
          <w:szCs w:val="21"/>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300"/>
        <w:gridCol w:w="6740"/>
      </w:tblGrid>
      <w:tr>
        <w:tc>
          <w:tcPr>
            <w:tcW w:type="dxa" w:w="230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r>
              <w:rPr>
                <w:rFonts w:ascii="Arial" w:cs="Arial" w:eastAsia="Arial" w:hAnsi="Arial"/>
                <w:b/>
                <w:bCs/>
                <w:color w:val="FFFFFF"/>
                <w:sz w:val="18"/>
                <w:szCs w:val="18"/>
              </w:rPr>
              <w:t xml:space="preserve">Attribute</w:t>
            </w:r>
          </w:p>
        </w:tc>
        <w:tc>
          <w:tcPr>
            <w:tcW w:type="dxa" w:w="674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r>
              <w:rPr>
                <w:rFonts w:ascii="Arial" w:cs="Arial" w:eastAsia="Arial" w:hAnsi="Arial"/>
                <w:b/>
                <w:bCs/>
                <w:color w:val="FFFFFF"/>
                <w:sz w:val="18"/>
                <w:szCs w:val="18"/>
              </w:rPr>
              <w:t xml:space="preserve">Value</w:t>
            </w:r>
          </w:p>
        </w:tc>
      </w:tr>
      <w:tr>
        <w:tc>
          <w:tcPr>
            <w:tcW w:type="dxa" w:w="23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bCs/>
                <w:color w:val="111827"/>
                <w:sz w:val="19"/>
                <w:szCs w:val="19"/>
              </w:rPr>
              <w:t xml:space="preserve">Source</w:t>
            </w:r>
          </w:p>
        </w:tc>
        <w:tc>
          <w:tcPr>
            <w:tcW w:type="dxa" w:w="674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UCI ML Repository — Online Retail II</w:t>
            </w:r>
          </w:p>
        </w:tc>
      </w:tr>
      <w:tr>
        <w:tc>
          <w:tcPr>
            <w:tcW w:type="dxa" w:w="23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bCs/>
                <w:color w:val="111827"/>
                <w:sz w:val="19"/>
                <w:szCs w:val="19"/>
              </w:rPr>
              <w:t xml:space="preserve">Time span</w:t>
            </w:r>
          </w:p>
        </w:tc>
        <w:tc>
          <w:tcPr>
            <w:tcW w:type="dxa" w:w="674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Dec 2009 – Dec 2011 (two sheets merged)</w:t>
            </w:r>
          </w:p>
        </w:tc>
      </w:tr>
      <w:tr>
        <w:tc>
          <w:tcPr>
            <w:tcW w:type="dxa" w:w="23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bCs/>
                <w:color w:val="111827"/>
                <w:sz w:val="19"/>
                <w:szCs w:val="19"/>
              </w:rPr>
              <w:t xml:space="preserve">Raw rows</w:t>
            </w:r>
          </w:p>
        </w:tc>
        <w:tc>
          <w:tcPr>
            <w:tcW w:type="dxa" w:w="674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~1,067,371 transaction lines</w:t>
            </w:r>
          </w:p>
        </w:tc>
      </w:tr>
      <w:tr>
        <w:tc>
          <w:tcPr>
            <w:tcW w:type="dxa" w:w="23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bCs/>
                <w:color w:val="111827"/>
                <w:sz w:val="19"/>
                <w:szCs w:val="19"/>
              </w:rPr>
              <w:t xml:space="preserve">After cleaning</w:t>
            </w:r>
          </w:p>
        </w:tc>
        <w:tc>
          <w:tcPr>
            <w:tcW w:type="dxa" w:w="674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~817,841 rows</w:t>
            </w:r>
          </w:p>
        </w:tc>
      </w:tr>
      <w:tr>
        <w:tc>
          <w:tcPr>
            <w:tcW w:type="dxa" w:w="23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bCs/>
                <w:color w:val="111827"/>
                <w:sz w:val="19"/>
                <w:szCs w:val="19"/>
              </w:rPr>
              <w:t xml:space="preserve">Unique customers</w:t>
            </w:r>
          </w:p>
        </w:tc>
        <w:tc>
          <w:tcPr>
            <w:tcW w:type="dxa" w:w="674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~5,878 with valid Customer IDs</w:t>
            </w:r>
          </w:p>
        </w:tc>
      </w:tr>
      <w:tr>
        <w:tc>
          <w:tcPr>
            <w:tcW w:type="dxa" w:w="23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bCs/>
                <w:color w:val="111827"/>
                <w:sz w:val="19"/>
                <w:szCs w:val="19"/>
              </w:rPr>
              <w:t xml:space="preserve">Unique products</w:t>
            </w:r>
          </w:p>
        </w:tc>
        <w:tc>
          <w:tcPr>
            <w:tcW w:type="dxa" w:w="674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~4,070 StockCodes</w:t>
            </w:r>
          </w:p>
        </w:tc>
      </w:tr>
      <w:tr>
        <w:tc>
          <w:tcPr>
            <w:tcW w:type="dxa" w:w="23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bCs/>
                <w:color w:val="111827"/>
                <w:sz w:val="19"/>
                <w:szCs w:val="19"/>
              </w:rPr>
              <w:t xml:space="preserve">Unique invoices</w:t>
            </w:r>
          </w:p>
        </w:tc>
        <w:tc>
          <w:tcPr>
            <w:tcW w:type="dxa" w:w="674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~49,000+ (each treated as one basket)</w:t>
            </w:r>
          </w:p>
        </w:tc>
      </w:tr>
      <w:tr>
        <w:tc>
          <w:tcPr>
            <w:tcW w:type="dxa" w:w="23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bCs/>
                <w:color w:val="111827"/>
                <w:sz w:val="19"/>
                <w:szCs w:val="19"/>
              </w:rPr>
              <w:t xml:space="preserve">Columns used</w:t>
            </w:r>
          </w:p>
        </w:tc>
        <w:tc>
          <w:tcPr>
            <w:tcW w:type="dxa" w:w="674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Invoice, StockCode, Description, Quantity, Price, Customer ID</w:t>
            </w:r>
          </w:p>
        </w:tc>
      </w:tr>
    </w:tbl>
    <w:p>
      <w:pPr>
        <w:spacing w:after="80" w:before="0"/>
      </w:pPr>
      <w:r>
        <w:rPr>
          <w:rFonts w:ascii="Arial" w:cs="Arial" w:eastAsia="Arial" w:hAnsi="Arial"/>
          <w:color w:val="374151"/>
          <w:sz w:val="21"/>
          <w:szCs w:val="21"/>
        </w:rPr>
        <w:t xml:space="preserve"/>
      </w:r>
    </w:p>
    <w:p>
      <w:pPr>
        <w:pStyle w:val="Heading2"/>
        <w:spacing w:after="80" w:before="200"/>
      </w:pPr>
      <w:r>
        <w:rPr>
          <w:rFonts w:ascii="Arial" w:cs="Arial" w:eastAsia="Arial" w:hAnsi="Arial"/>
          <w:b/>
          <w:bCs/>
          <w:color w:val="1D4ED8"/>
          <w:sz w:val="22"/>
          <w:szCs w:val="22"/>
        </w:rPr>
        <w:t xml:space="preserve">Preprocessing</w:t>
      </w:r>
    </w:p>
    <w:p>
      <w:pPr>
        <w:pStyle w:val="ListParagraph"/>
        <w:numPr>
          <w:ilvl w:val="0"/>
          <w:numId w:val="2"/>
        </w:numPr>
        <w:spacing w:after="60" w:before="50"/>
      </w:pPr>
      <w:r>
        <w:rPr>
          <w:rFonts w:ascii="Arial" w:cs="Arial" w:eastAsia="Arial" w:hAnsi="Arial"/>
          <w:b/>
          <w:bCs/>
          <w:color w:val="111827"/>
          <w:sz w:val="21"/>
          <w:szCs w:val="21"/>
        </w:rPr>
        <w:t xml:space="preserve">Merged sheets: </w:t>
      </w:r>
      <w:r>
        <w:rPr>
          <w:rFonts w:ascii="Arial" w:cs="Arial" w:eastAsia="Arial" w:hAnsi="Arial"/>
          <w:color w:val="374151"/>
          <w:sz w:val="21"/>
          <w:szCs w:val="21"/>
        </w:rPr>
        <w:t xml:space="preserve">Both annual sheets concatenated into one DataFrame.</w:t>
      </w:r>
    </w:p>
    <w:p>
      <w:pPr>
        <w:pStyle w:val="ListParagraph"/>
        <w:numPr>
          <w:ilvl w:val="0"/>
          <w:numId w:val="2"/>
        </w:numPr>
        <w:spacing w:after="60" w:before="50"/>
      </w:pPr>
      <w:r>
        <w:rPr>
          <w:rFonts w:ascii="Arial" w:cs="Arial" w:eastAsia="Arial" w:hAnsi="Arial"/>
          <w:b/>
          <w:bCs/>
          <w:color w:val="111827"/>
          <w:sz w:val="21"/>
          <w:szCs w:val="21"/>
        </w:rPr>
        <w:t xml:space="preserve">Removed returns &amp; cancellations: </w:t>
      </w:r>
      <w:r>
        <w:rPr>
          <w:rFonts w:ascii="Arial" w:cs="Arial" w:eastAsia="Arial" w:hAnsi="Arial"/>
          <w:color w:val="374151"/>
          <w:sz w:val="21"/>
          <w:szCs w:val="21"/>
        </w:rPr>
        <w:t xml:space="preserve">Dropped rows where Quantity ≤ 0 or Price ≤ 0.</w:t>
      </w:r>
    </w:p>
    <w:p>
      <w:pPr>
        <w:pStyle w:val="ListParagraph"/>
        <w:numPr>
          <w:ilvl w:val="0"/>
          <w:numId w:val="2"/>
        </w:numPr>
        <w:spacing w:after="60" w:before="50"/>
      </w:pPr>
      <w:r>
        <w:rPr>
          <w:rFonts w:ascii="Arial" w:cs="Arial" w:eastAsia="Arial" w:hAnsi="Arial"/>
          <w:b/>
          <w:bCs/>
          <w:color w:val="111827"/>
          <w:sz w:val="21"/>
          <w:szCs w:val="21"/>
        </w:rPr>
        <w:t xml:space="preserve">Removed missing Customer IDs: </w:t>
      </w:r>
      <w:r>
        <w:rPr>
          <w:rFonts w:ascii="Arial" w:cs="Arial" w:eastAsia="Arial" w:hAnsi="Arial"/>
          <w:color w:val="374151"/>
          <w:sz w:val="21"/>
          <w:szCs w:val="21"/>
        </w:rPr>
        <w:t xml:space="preserve">Rows with no Customer ID were dropped — no user context means they cannot be used for evaluation.</w:t>
      </w:r>
    </w:p>
    <w:p>
      <w:pPr>
        <w:pStyle w:val="ListParagraph"/>
        <w:numPr>
          <w:ilvl w:val="0"/>
          <w:numId w:val="2"/>
        </w:numPr>
        <w:spacing w:after="60" w:before="50"/>
      </w:pPr>
      <w:r>
        <w:rPr>
          <w:rFonts w:ascii="Arial" w:cs="Arial" w:eastAsia="Arial" w:hAnsi="Arial"/>
          <w:b/>
          <w:bCs/>
          <w:color w:val="111827"/>
          <w:sz w:val="21"/>
          <w:szCs w:val="21"/>
        </w:rPr>
        <w:t xml:space="preserve">Capped quantity outliers: </w:t>
      </w:r>
      <w:r>
        <w:rPr>
          <w:rFonts w:ascii="Arial" w:cs="Arial" w:eastAsia="Arial" w:hAnsi="Arial"/>
          <w:color w:val="374151"/>
          <w:sz w:val="21"/>
          <w:szCs w:val="21"/>
        </w:rPr>
        <w:t xml:space="preserve">99th percentile of Quantity ≈ 128 units used as a cap to remove bulk orders that distort AR support values.</w:t>
      </w:r>
    </w:p>
    <w:p>
      <w:pPr>
        <w:pStyle w:val="ListParagraph"/>
        <w:numPr>
          <w:ilvl w:val="0"/>
          <w:numId w:val="2"/>
        </w:numPr>
        <w:spacing w:after="60" w:before="50"/>
      </w:pPr>
      <w:r>
        <w:rPr>
          <w:rFonts w:ascii="Arial" w:cs="Arial" w:eastAsia="Arial" w:hAnsi="Arial"/>
          <w:b/>
          <w:bCs/>
          <w:color w:val="111827"/>
          <w:sz w:val="21"/>
          <w:szCs w:val="21"/>
        </w:rPr>
        <w:t xml:space="preserve">Dropped irrelevant columns: </w:t>
      </w:r>
      <w:r>
        <w:rPr>
          <w:rFonts w:ascii="Arial" w:cs="Arial" w:eastAsia="Arial" w:hAnsi="Arial"/>
          <w:color w:val="374151"/>
          <w:sz w:val="21"/>
          <w:szCs w:val="21"/>
        </w:rPr>
        <w:t xml:space="preserve">InvoiceDate and Country dropped — neither is needed by AR or TF-IDF.</w:t>
      </w:r>
    </w:p>
    <w:p>
      <w:pPr>
        <w:pStyle w:val="ListParagraph"/>
        <w:numPr>
          <w:ilvl w:val="0"/>
          <w:numId w:val="2"/>
        </w:numPr>
        <w:spacing w:after="60" w:before="50"/>
      </w:pPr>
      <w:r>
        <w:rPr>
          <w:rFonts w:ascii="Arial" w:cs="Arial" w:eastAsia="Arial" w:hAnsi="Arial"/>
          <w:b/>
          <w:bCs/>
          <w:color w:val="111827"/>
          <w:sz w:val="21"/>
          <w:szCs w:val="21"/>
        </w:rPr>
        <w:t xml:space="preserve">Saved two CSVs: </w:t>
      </w:r>
      <w:r>
        <w:rPr>
          <w:rFonts w:ascii="Arial" w:cs="Arial" w:eastAsia="Arial" w:hAnsi="Arial"/>
          <w:color w:val="374151"/>
          <w:sz w:val="21"/>
          <w:szCs w:val="21"/>
        </w:rPr>
        <w:t xml:space="preserve">interactions.csv (Customer ID, Invoice, StockCode, Quantity) for AR and evaluation; metadata.csv (StockCode, Description) for TF-IDF.</w:t>
      </w:r>
    </w:p>
    <w:p>
      <w:pPr>
        <w:spacing w:after="80" w:before="0"/>
      </w:pPr>
      <w:r>
        <w:rPr>
          <w:rFonts w:ascii="Arial" w:cs="Arial" w:eastAsia="Arial" w:hAnsi="Arial"/>
          <w:color w:val="374151"/>
          <w:sz w:val="21"/>
          <w:szCs w:val="21"/>
        </w:rPr>
        <w:t xml:space="preserve"/>
      </w:r>
    </w:p>
    <w:p>
      <w:pPr>
        <w:pStyle w:val="Heading1"/>
        <w:pBdr>
          <w:bottom w:val="single" w:color="2563EB" w:sz="6" w:space="4"/>
        </w:pBdr>
        <w:spacing w:after="60" w:before="360"/>
      </w:pPr>
      <w:r>
        <w:rPr>
          <w:rFonts w:ascii="Arial" w:cs="Arial" w:eastAsia="Arial" w:hAnsi="Arial"/>
          <w:b/>
          <w:bCs/>
          <w:color w:val="1D4ED8"/>
          <w:sz w:val="27"/>
          <w:szCs w:val="27"/>
        </w:rPr>
        <w:t xml:space="preserve">Q2.  </w:t>
      </w:r>
      <w:r>
        <w:rPr>
          <w:rFonts w:ascii="Arial" w:cs="Arial" w:eastAsia="Arial" w:hAnsi="Arial"/>
          <w:b/>
          <w:bCs/>
          <w:color w:val="111827"/>
          <w:sz w:val="27"/>
          <w:szCs w:val="27"/>
        </w:rPr>
        <w:t xml:space="preserve">Chosen Hybrid Option and Justification</w:t>
      </w:r>
    </w:p>
    <w:p>
      <w:pPr>
        <w:spacing w:after="100" w:before="60" w:line="300"/>
        <w:jc w:val="both"/>
      </w:pPr>
      <w:r>
        <w:rPr>
          <w:rFonts w:ascii="Arial" w:cs="Arial" w:eastAsia="Arial" w:hAnsi="Arial"/>
          <w:color w:val="374151"/>
          <w:sz w:val="21"/>
          <w:szCs w:val="21"/>
        </w:rPr>
        <w:t xml:space="preserve">We chose Option A: FP-Growth Association Rule Mining combined with TF-IDF Cosine Similarity, blended using a weighted score controlled by α.</w:t>
      </w:r>
    </w:p>
    <w:p>
      <w:pPr>
        <w:spacing w:after="60" w:before="0"/>
      </w:pPr>
      <w:r>
        <w:rPr>
          <w:rFonts w:ascii="Arial" w:cs="Arial" w:eastAsia="Arial" w:hAnsi="Arial"/>
          <w:color w:val="374151"/>
          <w:sz w:val="21"/>
          <w:szCs w:val="21"/>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900"/>
        <w:gridCol w:w="3570"/>
        <w:gridCol w:w="3570"/>
      </w:tblGrid>
      <w:tr>
        <w:tc>
          <w:tcPr>
            <w:tcW w:type="dxa" w:w="190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r>
              <w:rPr>
                <w:rFonts w:ascii="Arial" w:cs="Arial" w:eastAsia="Arial" w:hAnsi="Arial"/>
                <w:b/>
                <w:bCs/>
                <w:color w:val="FFFFFF"/>
                <w:sz w:val="18"/>
                <w:szCs w:val="18"/>
              </w:rPr>
              <w:t xml:space="preserve"/>
            </w:r>
          </w:p>
        </w:tc>
        <w:tc>
          <w:tcPr>
            <w:tcW w:type="dxa" w:w="357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r>
              <w:rPr>
                <w:rFonts w:ascii="Arial" w:cs="Arial" w:eastAsia="Arial" w:hAnsi="Arial"/>
                <w:b/>
                <w:bCs/>
                <w:color w:val="FFFFFF"/>
                <w:sz w:val="18"/>
                <w:szCs w:val="18"/>
              </w:rPr>
              <w:t xml:space="preserve">Association Rules (FP-Growth)</w:t>
            </w:r>
          </w:p>
        </w:tc>
        <w:tc>
          <w:tcPr>
            <w:tcW w:type="dxa" w:w="357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r>
              <w:rPr>
                <w:rFonts w:ascii="Arial" w:cs="Arial" w:eastAsia="Arial" w:hAnsi="Arial"/>
                <w:b/>
                <w:bCs/>
                <w:color w:val="FFFFFF"/>
                <w:sz w:val="18"/>
                <w:szCs w:val="18"/>
              </w:rPr>
              <w:t xml:space="preserve">TF-IDF Content-Based</w:t>
            </w:r>
          </w:p>
        </w:tc>
      </w:tr>
      <w:tr>
        <w:tc>
          <w:tcPr>
            <w:tcW w:type="dxa" w:w="19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bCs/>
                <w:color w:val="111827"/>
                <w:sz w:val="19"/>
                <w:szCs w:val="19"/>
              </w:rPr>
              <w:t xml:space="preserve">Strength</w:t>
            </w:r>
          </w:p>
        </w:tc>
        <w:tc>
          <w:tcPr>
            <w:tcW w:type="dxa" w:w="357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Captures real co-purchase behaviour</w:t>
            </w:r>
          </w:p>
        </w:tc>
        <w:tc>
          <w:tcPr>
            <w:tcW w:type="dxa" w:w="357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Works for any item, even new or rare ones</w:t>
            </w:r>
          </w:p>
        </w:tc>
      </w:tr>
      <w:tr>
        <w:tc>
          <w:tcPr>
            <w:tcW w:type="dxa" w:w="19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bCs/>
                <w:color w:val="111827"/>
                <w:sz w:val="19"/>
                <w:szCs w:val="19"/>
              </w:rPr>
              <w:t xml:space="preserve">Weakness</w:t>
            </w:r>
          </w:p>
        </w:tc>
        <w:tc>
          <w:tcPr>
            <w:tcW w:type="dxa" w:w="357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Fails for users with sparse history</w:t>
            </w:r>
          </w:p>
        </w:tc>
        <w:tc>
          <w:tcPr>
            <w:tcW w:type="dxa" w:w="357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Ignores what users actually buy together</w:t>
            </w:r>
          </w:p>
        </w:tc>
      </w:tr>
      <w:tr>
        <w:tc>
          <w:tcPr>
            <w:tcW w:type="dxa" w:w="19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bCs/>
                <w:color w:val="111827"/>
                <w:sz w:val="19"/>
                <w:szCs w:val="19"/>
              </w:rPr>
              <w:t xml:space="preserve">Covers</w:t>
            </w:r>
          </w:p>
        </w:tc>
        <w:tc>
          <w:tcPr>
            <w:tcW w:type="dxa" w:w="357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Popular, frequently co-bought items</w:t>
            </w:r>
          </w:p>
        </w:tc>
        <w:tc>
          <w:tcPr>
            <w:tcW w:type="dxa" w:w="357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Niche products and cold-start scenarios</w:t>
            </w:r>
          </w:p>
        </w:tc>
      </w:tr>
    </w:tbl>
    <w:p>
      <w:pPr>
        <w:spacing w:after="80" w:before="0"/>
      </w:pPr>
      <w:r>
        <w:rPr>
          <w:rFonts w:ascii="Arial" w:cs="Arial" w:eastAsia="Arial" w:hAnsi="Arial"/>
          <w:color w:val="374151"/>
          <w:sz w:val="21"/>
          <w:szCs w:val="21"/>
        </w:rPr>
        <w:t xml:space="preserve"/>
      </w:r>
    </w:p>
    <w:p>
      <w:pPr>
        <w:spacing w:after="100" w:before="60" w:line="300"/>
        <w:jc w:val="both"/>
      </w:pPr>
      <w:r>
        <w:rPr>
          <w:rFonts w:ascii="Arial" w:cs="Arial" w:eastAsia="Arial" w:hAnsi="Arial"/>
          <w:color w:val="374151"/>
          <w:sz w:val="21"/>
          <w:szCs w:val="21"/>
        </w:rPr>
        <w:t xml:space="preserve">Because the Online Retail II dataset has both dense clusters (popular gift items bought together) and sparse regions (niche home decor with few transactions), neither method alone is sufficient. The hybrid uses each where it is strongest.</w:t>
      </w:r>
    </w:p>
    <w:p>
      <w:pPr>
        <w:pBdr>
          <w:left w:val="single" w:color="2563EB" w:sz="18" w:space="8"/>
        </w:pBdr>
        <w:shd w:fill="EFF6FF" w:val="clear"/>
        <w:spacing w:after="100" w:before="100"/>
        <w:ind w:left="320"/>
      </w:pPr>
      <w:r>
        <w:rPr>
          <w:rFonts w:ascii="Arial" w:cs="Arial" w:eastAsia="Arial" w:hAnsi="Arial"/>
          <w:color w:val="374151"/>
          <w:sz w:val="20"/>
          <w:szCs w:val="20"/>
        </w:rPr>
        <w:t xml:space="preserve">FP-Growth was used instead of Apriori because it avoids repeated dataset scans and is significantly faster at this scale (~49K baskets), while producing the same rules.</w:t>
      </w:r>
    </w:p>
    <w:p>
      <w:pPr>
        <w:spacing w:after="80" w:before="0"/>
      </w:pPr>
      <w:r>
        <w:rPr>
          <w:rFonts w:ascii="Arial" w:cs="Arial" w:eastAsia="Arial" w:hAnsi="Arial"/>
          <w:color w:val="374151"/>
          <w:sz w:val="21"/>
          <w:szCs w:val="21"/>
        </w:rPr>
        <w:t xml:space="preserve"/>
      </w:r>
    </w:p>
    <w:p>
      <w:pPr>
        <w:pStyle w:val="Heading1"/>
        <w:pBdr>
          <w:bottom w:val="single" w:color="2563EB" w:sz="6" w:space="4"/>
        </w:pBdr>
        <w:spacing w:after="60" w:before="360"/>
      </w:pPr>
      <w:r>
        <w:rPr>
          <w:rFonts w:ascii="Arial" w:cs="Arial" w:eastAsia="Arial" w:hAnsi="Arial"/>
          <w:b/>
          <w:bCs/>
          <w:color w:val="1D4ED8"/>
          <w:sz w:val="27"/>
          <w:szCs w:val="27"/>
        </w:rPr>
        <w:t xml:space="preserve">Q3.  </w:t>
      </w:r>
      <w:r>
        <w:rPr>
          <w:rFonts w:ascii="Arial" w:cs="Arial" w:eastAsia="Arial" w:hAnsi="Arial"/>
          <w:b/>
          <w:bCs/>
          <w:color w:val="111827"/>
          <w:sz w:val="27"/>
          <w:szCs w:val="27"/>
        </w:rPr>
        <w:t xml:space="preserve">AR Parameters — min_support, min_confidence, min_lift</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5740"/>
      </w:tblGrid>
      <w:tr>
        <w:tc>
          <w:tcPr>
            <w:tcW w:type="dxa" w:w="210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r>
              <w:rPr>
                <w:rFonts w:ascii="Arial" w:cs="Arial" w:eastAsia="Arial" w:hAnsi="Arial"/>
                <w:b/>
                <w:bCs/>
                <w:color w:val="FFFFFF"/>
                <w:sz w:val="18"/>
                <w:szCs w:val="18"/>
              </w:rPr>
              <w:t xml:space="preserve">Parameter</w:t>
            </w:r>
          </w:p>
        </w:tc>
        <w:tc>
          <w:tcPr>
            <w:tcW w:type="dxa" w:w="120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pPr>
              <w:jc w:val="center"/>
            </w:pPr>
            <w:r>
              <w:rPr>
                <w:rFonts w:ascii="Arial" w:cs="Arial" w:eastAsia="Arial" w:hAnsi="Arial"/>
                <w:b/>
                <w:bCs/>
                <w:color w:val="FFFFFF"/>
                <w:sz w:val="18"/>
                <w:szCs w:val="18"/>
              </w:rPr>
              <w:t xml:space="preserve">Value</w:t>
            </w:r>
          </w:p>
        </w:tc>
        <w:tc>
          <w:tcPr>
            <w:tcW w:type="dxa" w:w="574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r>
              <w:rPr>
                <w:rFonts w:ascii="Arial" w:cs="Arial" w:eastAsia="Arial" w:hAnsi="Arial"/>
                <w:b/>
                <w:bCs/>
                <w:color w:val="FFFFFF"/>
                <w:sz w:val="18"/>
                <w:szCs w:val="18"/>
              </w:rPr>
              <w:t xml:space="preserve">How it was chosen</w:t>
            </w:r>
          </w:p>
        </w:tc>
      </w:tr>
      <w:tr>
        <w:tc>
          <w:tcPr>
            <w:tcW w:type="dxa" w:w="21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bCs/>
                <w:color w:val="111827"/>
                <w:sz w:val="19"/>
                <w:szCs w:val="19"/>
              </w:rPr>
              <w:t xml:space="preserve">min_support</w:t>
            </w:r>
          </w:p>
        </w:tc>
        <w:tc>
          <w:tcPr>
            <w:tcW w:type="dxa" w:w="12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0.005</w:t>
            </w:r>
          </w:p>
        </w:tc>
        <w:tc>
          <w:tcPr>
            <w:tcW w:type="dxa" w:w="574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~49,000 baskets × 0.005 = 245 co-occurrences minimum — enough statistical evidence. Lower values flooded the rule set with noise; higher values produced fewer than 50 rules with poor coverage.</w:t>
            </w:r>
          </w:p>
        </w:tc>
      </w:tr>
      <w:tr>
        <w:tc>
          <w:tcPr>
            <w:tcW w:type="dxa" w:w="21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bCs/>
                <w:color w:val="111827"/>
                <w:sz w:val="19"/>
                <w:szCs w:val="19"/>
              </w:rPr>
              <w:t xml:space="preserve">min_confidence</w:t>
            </w:r>
          </w:p>
        </w:tc>
        <w:tc>
          <w:tcPr>
            <w:tcW w:type="dxa" w:w="12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0.50</w:t>
            </w:r>
          </w:p>
        </w:tc>
        <w:tc>
          <w:tcPr>
            <w:tcW w:type="dxa" w:w="574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At least 50% conditional probability. Below this, a rule is barely better than random and not useful for recommendation.</w:t>
            </w:r>
          </w:p>
        </w:tc>
      </w:tr>
      <w:tr>
        <w:tc>
          <w:tcPr>
            <w:tcW w:type="dxa" w:w="21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bCs/>
                <w:color w:val="111827"/>
                <w:sz w:val="19"/>
                <w:szCs w:val="19"/>
              </w:rPr>
              <w:t xml:space="preserve">min_lift</w:t>
            </w:r>
          </w:p>
        </w:tc>
        <w:tc>
          <w:tcPr>
            <w:tcW w:type="dxa" w:w="12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3.0</w:t>
            </w:r>
          </w:p>
        </w:tc>
        <w:tc>
          <w:tcPr>
            <w:tcW w:type="dxa" w:w="574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Lift ≥ 3 ensures the association is at least 3× stronger than chance — filters out rules that look confident only because both items are individually popular.</w:t>
            </w:r>
          </w:p>
        </w:tc>
      </w:tr>
    </w:tbl>
    <w:p>
      <w:pPr>
        <w:spacing w:after="80" w:before="0"/>
      </w:pPr>
      <w:r>
        <w:rPr>
          <w:rFonts w:ascii="Arial" w:cs="Arial" w:eastAsia="Arial" w:hAnsi="Arial"/>
          <w:color w:val="374151"/>
          <w:sz w:val="21"/>
          <w:szCs w:val="21"/>
        </w:rPr>
        <w:t xml:space="preserve"/>
      </w:r>
    </w:p>
    <w:p>
      <w:pPr>
        <w:spacing w:after="100" w:before="60" w:line="300"/>
        <w:jc w:val="both"/>
      </w:pPr>
      <w:r>
        <w:rPr>
          <w:rFonts w:ascii="Arial" w:cs="Arial" w:eastAsia="Arial" w:hAnsi="Arial"/>
          <w:color w:val="374151"/>
          <w:sz w:val="21"/>
          <w:szCs w:val="21"/>
        </w:rPr>
        <w:t xml:space="preserve">The basket matrix was built by grouping transactions by Invoice × StockCode, binarising quantities (bought = 1, not bought = 0), and converting to bool — the format FP-Growth requires.</w:t>
      </w:r>
    </w:p>
    <w:p>
      <w:pPr>
        <w:spacing w:after="80" w:before="0"/>
      </w:pPr>
      <w:r>
        <w:rPr>
          <w:rFonts w:ascii="Arial" w:cs="Arial" w:eastAsia="Arial" w:hAnsi="Arial"/>
          <w:color w:val="374151"/>
          <w:sz w:val="21"/>
          <w:szCs w:val="21"/>
        </w:rPr>
        <w:t xml:space="preserve"/>
      </w:r>
    </w:p>
    <w:p>
      <w:pPr>
        <w:pStyle w:val="Heading1"/>
        <w:pBdr>
          <w:bottom w:val="single" w:color="2563EB" w:sz="6" w:space="4"/>
        </w:pBdr>
        <w:spacing w:after="60" w:before="360"/>
      </w:pPr>
      <w:r>
        <w:rPr>
          <w:rFonts w:ascii="Arial" w:cs="Arial" w:eastAsia="Arial" w:hAnsi="Arial"/>
          <w:b/>
          <w:bCs/>
          <w:color w:val="1D4ED8"/>
          <w:sz w:val="27"/>
          <w:szCs w:val="27"/>
        </w:rPr>
        <w:t xml:space="preserve">Q4.  </w:t>
      </w:r>
      <w:r>
        <w:rPr>
          <w:rFonts w:ascii="Arial" w:cs="Arial" w:eastAsia="Arial" w:hAnsi="Arial"/>
          <w:b/>
          <w:bCs/>
          <w:color w:val="111827"/>
          <w:sz w:val="27"/>
          <w:szCs w:val="27"/>
        </w:rPr>
        <w:t xml:space="preserve">TF-IDF Construction</w:t>
      </w:r>
    </w:p>
    <w:p>
      <w:pPr>
        <w:spacing w:after="100" w:before="60" w:line="300"/>
        <w:jc w:val="both"/>
      </w:pPr>
      <w:r>
        <w:rPr>
          <w:rFonts w:ascii="Arial" w:cs="Arial" w:eastAsia="Arial" w:hAnsi="Arial"/>
          <w:color w:val="374151"/>
          <w:sz w:val="21"/>
          <w:szCs w:val="21"/>
        </w:rPr>
        <w:t xml:space="preserve">Each product's Description field is treated as a text document. The TF-IDF pipeline turns these descriptions into numerical vectors so any two products can be compared by content.</w:t>
      </w:r>
    </w:p>
    <w:p>
      <w:pPr>
        <w:spacing w:after="60" w:before="0"/>
      </w:pPr>
      <w:r>
        <w:rPr>
          <w:rFonts w:ascii="Arial" w:cs="Arial" w:eastAsia="Arial" w:hAnsi="Arial"/>
          <w:color w:val="374151"/>
          <w:sz w:val="21"/>
          <w:szCs w:val="21"/>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60"/>
        <w:gridCol w:w="8080"/>
      </w:tblGrid>
      <w:tr>
        <w:tc>
          <w:tcPr>
            <w:tcW w:type="dxa" w:w="96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pPr>
              <w:jc w:val="center"/>
            </w:pPr>
            <w:r>
              <w:rPr>
                <w:rFonts w:ascii="Arial" w:cs="Arial" w:eastAsia="Arial" w:hAnsi="Arial"/>
                <w:b/>
                <w:bCs/>
                <w:color w:val="FFFFFF"/>
                <w:sz w:val="18"/>
                <w:szCs w:val="18"/>
              </w:rPr>
              <w:t xml:space="preserve">Step</w:t>
            </w:r>
          </w:p>
        </w:tc>
        <w:tc>
          <w:tcPr>
            <w:tcW w:type="dxa" w:w="808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r>
              <w:rPr>
                <w:rFonts w:ascii="Arial" w:cs="Arial" w:eastAsia="Arial" w:hAnsi="Arial"/>
                <w:b/>
                <w:bCs/>
                <w:color w:val="FFFFFF"/>
                <w:sz w:val="18"/>
                <w:szCs w:val="18"/>
              </w:rPr>
              <w:t xml:space="preserve">What happens</w:t>
            </w:r>
          </w:p>
        </w:tc>
      </w:tr>
      <w:tr>
        <w:tc>
          <w:tcPr>
            <w:tcW w:type="dxa" w:w="9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1</w:t>
            </w:r>
          </w:p>
        </w:tc>
        <w:tc>
          <w:tcPr>
            <w:tcW w:type="dxa" w:w="808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Corpus of 4,070 documents built — one per unique StockCode, text = its Description string.</w:t>
            </w:r>
          </w:p>
        </w:tc>
      </w:tr>
      <w:tr>
        <w:tc>
          <w:tcPr>
            <w:tcW w:type="dxa" w:w="9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2</w:t>
            </w:r>
          </w:p>
        </w:tc>
        <w:tc>
          <w:tcPr>
            <w:tcW w:type="dxa" w:w="808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TF(t,d) = occurrences of term t in document d ÷ total terms in d. Normalises for description length.</w:t>
            </w:r>
          </w:p>
        </w:tc>
      </w:tr>
      <w:tr>
        <w:tc>
          <w:tcPr>
            <w:tcW w:type="dxa" w:w="9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3</w:t>
            </w:r>
          </w:p>
        </w:tc>
        <w:tc>
          <w:tcPr>
            <w:tcW w:type="dxa" w:w="808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IDF(t) = log(N ÷ df(t)). Penalises common words like SET or PACK that appear in many products and are not informative.</w:t>
            </w:r>
          </w:p>
        </w:tc>
      </w:tr>
      <w:tr>
        <w:tc>
          <w:tcPr>
            <w:tcW w:type="dxa" w:w="9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4</w:t>
            </w:r>
          </w:p>
        </w:tc>
        <w:tc>
          <w:tcPr>
            <w:tcW w:type="dxa" w:w="808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TF-IDF(t,d) = TF × IDF. Rare, specific words like POLKADOT get high weight; generic words approach zero.</w:t>
            </w:r>
          </w:p>
        </w:tc>
      </w:tr>
      <w:tr>
        <w:tc>
          <w:tcPr>
            <w:tcW w:type="dxa" w:w="9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5</w:t>
            </w:r>
          </w:p>
        </w:tc>
        <w:tc>
          <w:tcPr>
            <w:tcW w:type="dxa" w:w="808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cosine_similarity(vectors, vectors) → 4,070 × 4,070 matrix. Each cell [i,j] is the similarity score in [0,1] between products i and j.</w:t>
            </w:r>
          </w:p>
        </w:tc>
      </w:tr>
    </w:tbl>
    <w:p>
      <w:pPr>
        <w:spacing w:after="80" w:before="0"/>
      </w:pPr>
      <w:r>
        <w:rPr>
          <w:rFonts w:ascii="Arial" w:cs="Arial" w:eastAsia="Arial" w:hAnsi="Arial"/>
          <w:color w:val="374151"/>
          <w:sz w:val="21"/>
          <w:szCs w:val="21"/>
        </w:rPr>
        <w:t xml:space="preserve"/>
      </w:r>
    </w:p>
    <w:p>
      <w:pPr>
        <w:spacing w:after="100" w:before="60" w:line="300"/>
        <w:jc w:val="both"/>
      </w:pPr>
      <w:r>
        <w:rPr>
          <w:rFonts w:ascii="Arial" w:cs="Arial" w:eastAsia="Arial" w:hAnsi="Arial"/>
          <w:color w:val="374151"/>
          <w:sz w:val="21"/>
          <w:szCs w:val="21"/>
        </w:rPr>
        <w:t xml:space="preserve">English stop words are removed before vectorising. Index mappings are built (StockCode → row index and reverse) for O(1) lookup during candidate generation. For each user, the system retrieves the top-k most similar products to each item in their history, excluding items already purchased, and keeps the maximum cosine score across all seed items as the content_score.</w:t>
      </w:r>
    </w:p>
    <w:p>
      <w:pPr>
        <w:spacing w:after="80" w:before="0"/>
      </w:pPr>
      <w:r>
        <w:rPr>
          <w:rFonts w:ascii="Arial" w:cs="Arial" w:eastAsia="Arial" w:hAnsi="Arial"/>
          <w:color w:val="374151"/>
          <w:sz w:val="21"/>
          <w:szCs w:val="21"/>
        </w:rPr>
        <w:t xml:space="preserve"/>
      </w:r>
    </w:p>
    <w:p>
      <w:pPr>
        <w:pStyle w:val="Heading1"/>
        <w:pBdr>
          <w:bottom w:val="single" w:color="2563EB" w:sz="6" w:space="4"/>
        </w:pBdr>
        <w:spacing w:after="60" w:before="360"/>
      </w:pPr>
      <w:r>
        <w:rPr>
          <w:rFonts w:ascii="Arial" w:cs="Arial" w:eastAsia="Arial" w:hAnsi="Arial"/>
          <w:b/>
          <w:bCs/>
          <w:color w:val="1D4ED8"/>
          <w:sz w:val="27"/>
          <w:szCs w:val="27"/>
        </w:rPr>
        <w:t xml:space="preserve">Q5.  </w:t>
      </w:r>
      <w:r>
        <w:rPr>
          <w:rFonts w:ascii="Arial" w:cs="Arial" w:eastAsia="Arial" w:hAnsi="Arial"/>
          <w:b/>
          <w:bCs/>
          <w:color w:val="111827"/>
          <w:sz w:val="27"/>
          <w:szCs w:val="27"/>
        </w:rPr>
        <w:t xml:space="preserve">Hybrid Scoring Formula and Alpha Values Tested</w:t>
      </w:r>
    </w:p>
    <w:p>
      <w:pPr>
        <w:shd w:fill="111827" w:val="clear"/>
        <w:spacing w:after="120" w:before="120"/>
        <w:jc w:val="center"/>
      </w:pPr>
      <w:r>
        <w:rPr>
          <w:rFonts w:ascii="Courier New" w:cs="Courier New" w:eastAsia="Courier New" w:hAnsi="Courier New"/>
          <w:b/>
          <w:bCs/>
          <w:color w:val="86EFAC"/>
          <w:sz w:val="22"/>
          <w:szCs w:val="22"/>
        </w:rPr>
        <w:t xml:space="preserve">hybrid_score  =  α × AR_score  +  (1 − α) × content_score</w:t>
      </w:r>
    </w:p>
    <w:p>
      <w:pPr>
        <w:pStyle w:val="ListParagraph"/>
        <w:numPr>
          <w:ilvl w:val="0"/>
          <w:numId w:val="2"/>
        </w:numPr>
        <w:spacing w:after="60" w:before="50"/>
      </w:pPr>
      <w:r>
        <w:rPr>
          <w:rFonts w:ascii="Arial" w:cs="Arial" w:eastAsia="Arial" w:hAnsi="Arial"/>
          <w:b/>
          <w:bCs/>
          <w:color w:val="111827"/>
          <w:sz w:val="21"/>
          <w:szCs w:val="21"/>
        </w:rPr>
        <w:t xml:space="preserve">AR_score: </w:t>
      </w:r>
      <w:r>
        <w:rPr>
          <w:rFonts w:ascii="Arial" w:cs="Arial" w:eastAsia="Arial" w:hAnsi="Arial"/>
          <w:color w:val="374151"/>
          <w:sz w:val="21"/>
          <w:szCs w:val="21"/>
        </w:rPr>
        <w:t xml:space="preserve">Highest confidence value among all rules whose antecedent matches the user's history. Defaults to 0 if no rule fires.</w:t>
      </w:r>
    </w:p>
    <w:p>
      <w:pPr>
        <w:pStyle w:val="ListParagraph"/>
        <w:numPr>
          <w:ilvl w:val="0"/>
          <w:numId w:val="2"/>
        </w:numPr>
        <w:spacing w:after="60" w:before="50"/>
      </w:pPr>
      <w:r>
        <w:rPr>
          <w:rFonts w:ascii="Arial" w:cs="Arial" w:eastAsia="Arial" w:hAnsi="Arial"/>
          <w:b/>
          <w:bCs/>
          <w:color w:val="111827"/>
          <w:sz w:val="21"/>
          <w:szCs w:val="21"/>
        </w:rPr>
        <w:t xml:space="preserve">content_score: </w:t>
      </w:r>
      <w:r>
        <w:rPr>
          <w:rFonts w:ascii="Arial" w:cs="Arial" w:eastAsia="Arial" w:hAnsi="Arial"/>
          <w:color w:val="374151"/>
          <w:sz w:val="21"/>
          <w:szCs w:val="21"/>
        </w:rPr>
        <w:t xml:space="preserve">Maximum TF-IDF cosine similarity between the candidate and any item in the user's history. Defaults to 0 if no description exists.</w:t>
      </w:r>
    </w:p>
    <w:p>
      <w:pPr>
        <w:pStyle w:val="ListParagraph"/>
        <w:numPr>
          <w:ilvl w:val="0"/>
          <w:numId w:val="2"/>
        </w:numPr>
        <w:spacing w:after="60" w:before="50"/>
      </w:pPr>
      <w:r>
        <w:rPr>
          <w:rFonts w:ascii="Arial" w:cs="Arial" w:eastAsia="Arial" w:hAnsi="Arial"/>
          <w:b/>
          <w:bCs/>
          <w:color w:val="111827"/>
          <w:sz w:val="21"/>
          <w:szCs w:val="21"/>
        </w:rPr>
        <w:t xml:space="preserve">α: </w:t>
      </w:r>
      <w:r>
        <w:rPr>
          <w:rFonts w:ascii="Arial" w:cs="Arial" w:eastAsia="Arial" w:hAnsi="Arial"/>
          <w:color w:val="374151"/>
          <w:sz w:val="21"/>
          <w:szCs w:val="21"/>
        </w:rPr>
        <w:t xml:space="preserve">Weight controlling the blend. α = 1 → pure AR. α = 0 → pure content-based. α = 0.9 → strong AR bias (used in sample outputs).</w:t>
      </w:r>
    </w:p>
    <w:p>
      <w:pPr>
        <w:spacing w:after="80" w:before="0"/>
      </w:pPr>
      <w:r>
        <w:rPr>
          <w:rFonts w:ascii="Arial" w:cs="Arial" w:eastAsia="Arial" w:hAnsi="Arial"/>
          <w:color w:val="374151"/>
          <w:sz w:val="21"/>
          <w:szCs w:val="21"/>
        </w:rPr>
        <w:t xml:space="preserve"/>
      </w:r>
    </w:p>
    <w:p>
      <w:pPr>
        <w:pStyle w:val="Heading2"/>
        <w:spacing w:after="80" w:before="200"/>
      </w:pPr>
      <w:r>
        <w:rPr>
          <w:rFonts w:ascii="Arial" w:cs="Arial" w:eastAsia="Arial" w:hAnsi="Arial"/>
          <w:b/>
          <w:bCs/>
          <w:color w:val="1D4ED8"/>
          <w:sz w:val="22"/>
          <w:szCs w:val="22"/>
        </w:rPr>
        <w:t xml:space="preserve">Results across all α values tested</w:t>
      </w:r>
    </w:p>
    <w:p>
      <w:pPr>
        <w:spacing w:after="60" w:before="0"/>
      </w:pPr>
      <w:r>
        <w:rPr>
          <w:rFonts w:ascii="Arial" w:cs="Arial" w:eastAsia="Arial" w:hAnsi="Arial"/>
          <w:color w:val="374151"/>
          <w:sz w:val="21"/>
          <w:szCs w:val="21"/>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680"/>
        <w:gridCol w:w="1680"/>
        <w:gridCol w:w="1680"/>
        <w:gridCol w:w="1700"/>
      </w:tblGrid>
      <w:tr>
        <w:tc>
          <w:tcPr>
            <w:tcW w:type="dxa" w:w="110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pPr>
              <w:jc w:val="center"/>
            </w:pPr>
            <w:r>
              <w:rPr>
                <w:rFonts w:ascii="Arial" w:cs="Arial" w:eastAsia="Arial" w:hAnsi="Arial"/>
                <w:b/>
                <w:bCs/>
                <w:color w:val="FFFFFF"/>
                <w:sz w:val="18"/>
                <w:szCs w:val="18"/>
              </w:rPr>
              <w:t xml:space="preserve">α</w:t>
            </w:r>
          </w:p>
        </w:tc>
        <w:tc>
          <w:tcPr>
            <w:tcW w:type="dxa" w:w="220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r>
              <w:rPr>
                <w:rFonts w:ascii="Arial" w:cs="Arial" w:eastAsia="Arial" w:hAnsi="Arial"/>
                <w:b/>
                <w:bCs/>
                <w:color w:val="FFFFFF"/>
                <w:sz w:val="18"/>
                <w:szCs w:val="18"/>
              </w:rPr>
              <w:t xml:space="preserve">Mode</w:t>
            </w:r>
          </w:p>
        </w:tc>
        <w:tc>
          <w:tcPr>
            <w:tcW w:type="dxa" w:w="168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pPr>
              <w:jc w:val="center"/>
            </w:pPr>
            <w:r>
              <w:rPr>
                <w:rFonts w:ascii="Arial" w:cs="Arial" w:eastAsia="Arial" w:hAnsi="Arial"/>
                <w:b/>
                <w:bCs/>
                <w:color w:val="FFFFFF"/>
                <w:sz w:val="18"/>
                <w:szCs w:val="18"/>
              </w:rPr>
              <w:t xml:space="preserve">Precision@5</w:t>
            </w:r>
          </w:p>
        </w:tc>
        <w:tc>
          <w:tcPr>
            <w:tcW w:type="dxa" w:w="168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pPr>
              <w:jc w:val="center"/>
            </w:pPr>
            <w:r>
              <w:rPr>
                <w:rFonts w:ascii="Arial" w:cs="Arial" w:eastAsia="Arial" w:hAnsi="Arial"/>
                <w:b/>
                <w:bCs/>
                <w:color w:val="FFFFFF"/>
                <w:sz w:val="18"/>
                <w:szCs w:val="18"/>
              </w:rPr>
              <w:t xml:space="preserve">Recall@5</w:t>
            </w:r>
          </w:p>
        </w:tc>
        <w:tc>
          <w:tcPr>
            <w:tcW w:type="dxa" w:w="168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pPr>
              <w:jc w:val="center"/>
            </w:pPr>
            <w:r>
              <w:rPr>
                <w:rFonts w:ascii="Arial" w:cs="Arial" w:eastAsia="Arial" w:hAnsi="Arial"/>
                <w:b/>
                <w:bCs/>
                <w:color w:val="FFFFFF"/>
                <w:sz w:val="18"/>
                <w:szCs w:val="18"/>
              </w:rPr>
              <w:t xml:space="preserve">F1@5</w:t>
            </w:r>
          </w:p>
        </w:tc>
        <w:tc>
          <w:tcPr>
            <w:tcW w:type="dxa" w:w="170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pPr>
              <w:jc w:val="center"/>
            </w:pPr>
            <w:r>
              <w:rPr>
                <w:rFonts w:ascii="Arial" w:cs="Arial" w:eastAsia="Arial" w:hAnsi="Arial"/>
                <w:b/>
                <w:bCs/>
                <w:color w:val="FFFFFF"/>
                <w:sz w:val="18"/>
                <w:szCs w:val="18"/>
              </w:rPr>
              <w:t xml:space="preserve">Note</w:t>
            </w:r>
          </w:p>
        </w:tc>
      </w:tr>
      <w:tr>
        <w:tc>
          <w:tcPr>
            <w:tcW w:type="dxa" w:w="11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w:t>
            </w:r>
          </w:p>
        </w:tc>
        <w:tc>
          <w:tcPr>
            <w:tcW w:type="dxa" w:w="22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val="false"/>
                <w:bCs w:val="false"/>
                <w:color w:val="374151"/>
                <w:sz w:val="19"/>
                <w:szCs w:val="19"/>
              </w:rPr>
              <w:t xml:space="preserve">Pure Content-Based</w:t>
            </w:r>
          </w:p>
        </w:tc>
        <w:tc>
          <w:tcPr>
            <w:tcW w:type="dxa" w:w="168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0.0374</w:t>
            </w:r>
          </w:p>
        </w:tc>
        <w:tc>
          <w:tcPr>
            <w:tcW w:type="dxa" w:w="168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0.0198</w:t>
            </w:r>
          </w:p>
        </w:tc>
        <w:tc>
          <w:tcPr>
            <w:tcW w:type="dxa" w:w="168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0.0259</w:t>
            </w:r>
          </w:p>
        </w:tc>
        <w:tc>
          <w:tcPr>
            <w:tcW w:type="dxa" w:w="17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Baseline</w:t>
            </w:r>
          </w:p>
        </w:tc>
      </w:tr>
      <w:tr>
        <w:tc>
          <w:tcPr>
            <w:tcW w:type="dxa" w:w="11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0.5</w:t>
            </w:r>
          </w:p>
        </w:tc>
        <w:tc>
          <w:tcPr>
            <w:tcW w:type="dxa" w:w="22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Equal Hybrid</w:t>
            </w:r>
          </w:p>
        </w:tc>
        <w:tc>
          <w:tcPr>
            <w:tcW w:type="dxa" w:w="168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0.0430</w:t>
            </w:r>
          </w:p>
        </w:tc>
        <w:tc>
          <w:tcPr>
            <w:tcW w:type="dxa" w:w="168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0.0258</w:t>
            </w:r>
          </w:p>
        </w:tc>
        <w:tc>
          <w:tcPr>
            <w:tcW w:type="dxa" w:w="168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0.0323</w:t>
            </w:r>
          </w:p>
        </w:tc>
        <w:tc>
          <w:tcPr>
            <w:tcW w:type="dxa" w:w="17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Good blend</w:t>
            </w:r>
          </w:p>
        </w:tc>
      </w:tr>
      <w:tr>
        <w:tc>
          <w:tcPr>
            <w:tcW w:type="dxa" w:w="11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0.6</w:t>
            </w:r>
          </w:p>
        </w:tc>
        <w:tc>
          <w:tcPr>
            <w:tcW w:type="dxa" w:w="22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AR-leaning</w:t>
            </w:r>
          </w:p>
        </w:tc>
        <w:tc>
          <w:tcPr>
            <w:tcW w:type="dxa" w:w="168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0.0440</w:t>
            </w:r>
          </w:p>
        </w:tc>
        <w:tc>
          <w:tcPr>
            <w:tcW w:type="dxa" w:w="168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0.0265</w:t>
            </w:r>
          </w:p>
        </w:tc>
        <w:tc>
          <w:tcPr>
            <w:tcW w:type="dxa" w:w="168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0.0330</w:t>
            </w:r>
          </w:p>
        </w:tc>
        <w:tc>
          <w:tcPr>
            <w:tcW w:type="dxa" w:w="17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Improving</w:t>
            </w:r>
          </w:p>
        </w:tc>
      </w:tr>
      <w:tr>
        <w:tc>
          <w:tcPr>
            <w:tcW w:type="dxa" w:w="1100"/>
            <w:tcBorders>
              <w:top w:val="single" w:color="E5E7EB" w:sz="1"/>
              <w:left w:val="single" w:color="E5E7EB" w:sz="1"/>
              <w:bottom w:val="single" w:color="E5E7EB" w:sz="1"/>
              <w:right w:val="single" w:color="E5E7EB" w:sz="1"/>
            </w:tcBorders>
            <w:shd w:fill="F0FDF4" w:val="clear"/>
            <w:tcMar>
              <w:top w:type="dxa" w:w="70"/>
              <w:left w:type="dxa" w:w="110"/>
              <w:bottom w:type="dxa" w:w="70"/>
              <w:right w:type="dxa" w:w="110"/>
            </w:tcMar>
          </w:tcPr>
          <w:p>
            <w:pPr>
              <w:jc w:val="center"/>
            </w:pPr>
            <w:r>
              <w:rPr>
                <w:rFonts w:ascii="Arial" w:cs="Arial" w:eastAsia="Arial" w:hAnsi="Arial"/>
                <w:b/>
                <w:bCs/>
                <w:color w:val="166534"/>
                <w:sz w:val="19"/>
                <w:szCs w:val="19"/>
              </w:rPr>
              <w:t xml:space="preserve">0.7</w:t>
            </w:r>
          </w:p>
        </w:tc>
        <w:tc>
          <w:tcPr>
            <w:tcW w:type="dxa" w:w="2200"/>
            <w:tcBorders>
              <w:top w:val="single" w:color="E5E7EB" w:sz="1"/>
              <w:left w:val="single" w:color="E5E7EB" w:sz="1"/>
              <w:bottom w:val="single" w:color="E5E7EB" w:sz="1"/>
              <w:right w:val="single" w:color="E5E7EB" w:sz="1"/>
            </w:tcBorders>
            <w:shd w:fill="F0FDF4" w:val="clear"/>
            <w:tcMar>
              <w:top w:type="dxa" w:w="70"/>
              <w:left w:type="dxa" w:w="110"/>
              <w:bottom w:type="dxa" w:w="70"/>
              <w:right w:type="dxa" w:w="110"/>
            </w:tcMar>
          </w:tcPr>
          <w:p>
            <w:pPr>
              <w:jc w:val="center"/>
            </w:pPr>
            <w:r>
              <w:rPr>
                <w:rFonts w:ascii="Arial" w:cs="Arial" w:eastAsia="Arial" w:hAnsi="Arial"/>
                <w:b/>
                <w:bCs/>
                <w:color w:val="166534"/>
                <w:sz w:val="19"/>
                <w:szCs w:val="19"/>
              </w:rPr>
              <w:t xml:space="preserve">★ Best Hybrid</w:t>
            </w:r>
          </w:p>
        </w:tc>
        <w:tc>
          <w:tcPr>
            <w:tcW w:type="dxa" w:w="1680"/>
            <w:tcBorders>
              <w:top w:val="single" w:color="E5E7EB" w:sz="1"/>
              <w:left w:val="single" w:color="E5E7EB" w:sz="1"/>
              <w:bottom w:val="single" w:color="E5E7EB" w:sz="1"/>
              <w:right w:val="single" w:color="E5E7EB" w:sz="1"/>
            </w:tcBorders>
            <w:shd w:fill="F0FDF4" w:val="clear"/>
            <w:tcMar>
              <w:top w:type="dxa" w:w="70"/>
              <w:left w:type="dxa" w:w="110"/>
              <w:bottom w:type="dxa" w:w="70"/>
              <w:right w:type="dxa" w:w="110"/>
            </w:tcMar>
          </w:tcPr>
          <w:p>
            <w:pPr>
              <w:jc w:val="center"/>
            </w:pPr>
            <w:r>
              <w:rPr>
                <w:rFonts w:ascii="Arial" w:cs="Arial" w:eastAsia="Arial" w:hAnsi="Arial"/>
                <w:b/>
                <w:bCs/>
                <w:color w:val="166534"/>
                <w:sz w:val="19"/>
                <w:szCs w:val="19"/>
              </w:rPr>
              <w:t xml:space="preserve">0.0451</w:t>
            </w:r>
          </w:p>
        </w:tc>
        <w:tc>
          <w:tcPr>
            <w:tcW w:type="dxa" w:w="1680"/>
            <w:tcBorders>
              <w:top w:val="single" w:color="E5E7EB" w:sz="1"/>
              <w:left w:val="single" w:color="E5E7EB" w:sz="1"/>
              <w:bottom w:val="single" w:color="E5E7EB" w:sz="1"/>
              <w:right w:val="single" w:color="E5E7EB" w:sz="1"/>
            </w:tcBorders>
            <w:shd w:fill="F0FDF4" w:val="clear"/>
            <w:tcMar>
              <w:top w:type="dxa" w:w="70"/>
              <w:left w:type="dxa" w:w="110"/>
              <w:bottom w:type="dxa" w:w="70"/>
              <w:right w:type="dxa" w:w="110"/>
            </w:tcMar>
          </w:tcPr>
          <w:p>
            <w:pPr>
              <w:jc w:val="center"/>
            </w:pPr>
            <w:r>
              <w:rPr>
                <w:rFonts w:ascii="Arial" w:cs="Arial" w:eastAsia="Arial" w:hAnsi="Arial"/>
                <w:b/>
                <w:bCs/>
                <w:color w:val="166534"/>
                <w:sz w:val="19"/>
                <w:szCs w:val="19"/>
              </w:rPr>
              <w:t xml:space="preserve">0.0270</w:t>
            </w:r>
          </w:p>
        </w:tc>
        <w:tc>
          <w:tcPr>
            <w:tcW w:type="dxa" w:w="1680"/>
            <w:tcBorders>
              <w:top w:val="single" w:color="E5E7EB" w:sz="1"/>
              <w:left w:val="single" w:color="E5E7EB" w:sz="1"/>
              <w:bottom w:val="single" w:color="E5E7EB" w:sz="1"/>
              <w:right w:val="single" w:color="E5E7EB" w:sz="1"/>
            </w:tcBorders>
            <w:shd w:fill="F0FDF4" w:val="clear"/>
            <w:tcMar>
              <w:top w:type="dxa" w:w="70"/>
              <w:left w:type="dxa" w:w="110"/>
              <w:bottom w:type="dxa" w:w="70"/>
              <w:right w:type="dxa" w:w="110"/>
            </w:tcMar>
          </w:tcPr>
          <w:p>
            <w:pPr>
              <w:jc w:val="center"/>
            </w:pPr>
            <w:r>
              <w:rPr>
                <w:rFonts w:ascii="Arial" w:cs="Arial" w:eastAsia="Arial" w:hAnsi="Arial"/>
                <w:b/>
                <w:bCs/>
                <w:color w:val="166534"/>
                <w:sz w:val="19"/>
                <w:szCs w:val="19"/>
              </w:rPr>
              <w:t xml:space="preserve">0.0337</w:t>
            </w:r>
          </w:p>
        </w:tc>
        <w:tc>
          <w:tcPr>
            <w:tcW w:type="dxa" w:w="1700"/>
            <w:tcBorders>
              <w:top w:val="single" w:color="E5E7EB" w:sz="1"/>
              <w:left w:val="single" w:color="E5E7EB" w:sz="1"/>
              <w:bottom w:val="single" w:color="E5E7EB" w:sz="1"/>
              <w:right w:val="single" w:color="E5E7EB" w:sz="1"/>
            </w:tcBorders>
            <w:shd w:fill="F0FDF4" w:val="clear"/>
            <w:tcMar>
              <w:top w:type="dxa" w:w="70"/>
              <w:left w:type="dxa" w:w="110"/>
              <w:bottom w:type="dxa" w:w="70"/>
              <w:right w:type="dxa" w:w="110"/>
            </w:tcMar>
          </w:tcPr>
          <w:p>
            <w:pPr>
              <w:jc w:val="center"/>
            </w:pPr>
            <w:r>
              <w:rPr>
                <w:rFonts w:ascii="Arial" w:cs="Arial" w:eastAsia="Arial" w:hAnsi="Arial"/>
                <w:b/>
                <w:bCs/>
                <w:color w:val="166534"/>
                <w:sz w:val="19"/>
                <w:szCs w:val="19"/>
              </w:rPr>
              <w:t xml:space="preserve">Peak F1</w:t>
            </w:r>
          </w:p>
        </w:tc>
      </w:tr>
      <w:tr>
        <w:tc>
          <w:tcPr>
            <w:tcW w:type="dxa" w:w="11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0.8</w:t>
            </w:r>
          </w:p>
        </w:tc>
        <w:tc>
          <w:tcPr>
            <w:tcW w:type="dxa" w:w="22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Strong AR Bias</w:t>
            </w:r>
          </w:p>
        </w:tc>
        <w:tc>
          <w:tcPr>
            <w:tcW w:type="dxa" w:w="168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0.0447</w:t>
            </w:r>
          </w:p>
        </w:tc>
        <w:tc>
          <w:tcPr>
            <w:tcW w:type="dxa" w:w="168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0.0260</w:t>
            </w:r>
          </w:p>
        </w:tc>
        <w:tc>
          <w:tcPr>
            <w:tcW w:type="dxa" w:w="168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0.0329</w:t>
            </w:r>
          </w:p>
        </w:tc>
        <w:tc>
          <w:tcPr>
            <w:tcW w:type="dxa" w:w="17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Declining</w:t>
            </w:r>
          </w:p>
        </w:tc>
      </w:tr>
      <w:tr>
        <w:tc>
          <w:tcPr>
            <w:tcW w:type="dxa" w:w="11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0.9</w:t>
            </w:r>
          </w:p>
        </w:tc>
        <w:tc>
          <w:tcPr>
            <w:tcW w:type="dxa" w:w="22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Heavy AR (used live)</w:t>
            </w:r>
          </w:p>
        </w:tc>
        <w:tc>
          <w:tcPr>
            <w:tcW w:type="dxa" w:w="168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0.0438</w:t>
            </w:r>
          </w:p>
        </w:tc>
        <w:tc>
          <w:tcPr>
            <w:tcW w:type="dxa" w:w="168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0.0249</w:t>
            </w:r>
          </w:p>
        </w:tc>
        <w:tc>
          <w:tcPr>
            <w:tcW w:type="dxa" w:w="168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0.0316</w:t>
            </w:r>
          </w:p>
        </w:tc>
        <w:tc>
          <w:tcPr>
            <w:tcW w:type="dxa" w:w="17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Sample outs</w:t>
            </w:r>
          </w:p>
        </w:tc>
      </w:tr>
      <w:tr>
        <w:tc>
          <w:tcPr>
            <w:tcW w:type="dxa" w:w="11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1.0</w:t>
            </w:r>
          </w:p>
        </w:tc>
        <w:tc>
          <w:tcPr>
            <w:tcW w:type="dxa" w:w="22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val="false"/>
                <w:bCs w:val="false"/>
                <w:color w:val="374151"/>
                <w:sz w:val="19"/>
                <w:szCs w:val="19"/>
              </w:rPr>
              <w:t xml:space="preserve">Pure AR</w:t>
            </w:r>
          </w:p>
        </w:tc>
        <w:tc>
          <w:tcPr>
            <w:tcW w:type="dxa" w:w="168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0.0396</w:t>
            </w:r>
          </w:p>
        </w:tc>
        <w:tc>
          <w:tcPr>
            <w:tcW w:type="dxa" w:w="168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0.0220</w:t>
            </w:r>
          </w:p>
        </w:tc>
        <w:tc>
          <w:tcPr>
            <w:tcW w:type="dxa" w:w="168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0.0282</w:t>
            </w:r>
          </w:p>
        </w:tc>
        <w:tc>
          <w:tcPr>
            <w:tcW w:type="dxa" w:w="17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Baseline</w:t>
            </w:r>
          </w:p>
        </w:tc>
      </w:tr>
    </w:tbl>
    <w:p>
      <w:pPr>
        <w:spacing w:after="80" w:before="0"/>
      </w:pPr>
      <w:r>
        <w:rPr>
          <w:rFonts w:ascii="Arial" w:cs="Arial" w:eastAsia="Arial" w:hAnsi="Arial"/>
          <w:color w:val="374151"/>
          <w:sz w:val="21"/>
          <w:szCs w:val="21"/>
        </w:rPr>
        <w:t xml:space="preserve"/>
      </w:r>
    </w:p>
    <w:p>
      <w:pPr>
        <w:pStyle w:val="Heading1"/>
        <w:pBdr>
          <w:bottom w:val="single" w:color="2563EB" w:sz="6" w:space="4"/>
        </w:pBdr>
        <w:spacing w:after="60" w:before="360"/>
      </w:pPr>
      <w:r>
        <w:rPr>
          <w:rFonts w:ascii="Arial" w:cs="Arial" w:eastAsia="Arial" w:hAnsi="Arial"/>
          <w:b/>
          <w:bCs/>
          <w:color w:val="1D4ED8"/>
          <w:sz w:val="27"/>
          <w:szCs w:val="27"/>
        </w:rPr>
        <w:t xml:space="preserve">Q6.  </w:t>
      </w:r>
      <w:r>
        <w:rPr>
          <w:rFonts w:ascii="Arial" w:cs="Arial" w:eastAsia="Arial" w:hAnsi="Arial"/>
          <w:b/>
          <w:bCs/>
          <w:color w:val="111827"/>
          <w:sz w:val="27"/>
          <w:szCs w:val="27"/>
        </w:rPr>
        <w:t xml:space="preserve">Evaluation Table — Precision and Recall</w:t>
      </w:r>
    </w:p>
    <w:p>
      <w:pPr>
        <w:pStyle w:val="Heading2"/>
        <w:spacing w:after="80" w:before="200"/>
      </w:pPr>
      <w:r>
        <w:rPr>
          <w:rFonts w:ascii="Arial" w:cs="Arial" w:eastAsia="Arial" w:hAnsi="Arial"/>
          <w:b/>
          <w:bCs/>
          <w:color w:val="1D4ED8"/>
          <w:sz w:val="22"/>
          <w:szCs w:val="22"/>
        </w:rPr>
        <w:t xml:space="preserve">Methodology</w:t>
      </w:r>
    </w:p>
    <w:p>
      <w:pPr>
        <w:pStyle w:val="ListParagraph"/>
        <w:numPr>
          <w:ilvl w:val="0"/>
          <w:numId w:val="2"/>
        </w:numPr>
        <w:spacing w:after="60" w:before="50"/>
      </w:pPr>
      <w:r>
        <w:rPr>
          <w:rFonts w:ascii="Arial" w:cs="Arial" w:eastAsia="Arial" w:hAnsi="Arial"/>
          <w:b/>
          <w:bCs/>
          <w:color w:val="111827"/>
          <w:sz w:val="21"/>
          <w:szCs w:val="21"/>
        </w:rPr>
        <w:t xml:space="preserve">Split: </w:t>
      </w:r>
      <w:r>
        <w:rPr>
          <w:rFonts w:ascii="Arial" w:cs="Arial" w:eastAsia="Arial" w:hAnsi="Arial"/>
          <w:color w:val="374151"/>
          <w:sz w:val="21"/>
          <w:szCs w:val="21"/>
        </w:rPr>
        <w:t xml:space="preserve">80% of each customer's purchases as seed; 20% as ground truth.</w:t>
      </w:r>
    </w:p>
    <w:p>
      <w:pPr>
        <w:pStyle w:val="ListParagraph"/>
        <w:numPr>
          <w:ilvl w:val="0"/>
          <w:numId w:val="2"/>
        </w:numPr>
        <w:spacing w:after="60" w:before="50"/>
      </w:pPr>
      <w:r>
        <w:rPr>
          <w:rFonts w:ascii="Arial" w:cs="Arial" w:eastAsia="Arial" w:hAnsi="Arial"/>
          <w:b/>
          <w:bCs/>
          <w:color w:val="111827"/>
          <w:sz w:val="21"/>
          <w:szCs w:val="21"/>
        </w:rPr>
        <w:t xml:space="preserve">Sample: </w:t>
      </w:r>
      <w:r>
        <w:rPr>
          <w:rFonts w:ascii="Arial" w:cs="Arial" w:eastAsia="Arial" w:hAnsi="Arial"/>
          <w:color w:val="374151"/>
          <w:sz w:val="21"/>
          <w:szCs w:val="21"/>
        </w:rPr>
        <w:t xml:space="preserve">1,000 customers with at least 5 interactions (random_state=42).</w:t>
      </w:r>
    </w:p>
    <w:p>
      <w:pPr>
        <w:pStyle w:val="ListParagraph"/>
        <w:numPr>
          <w:ilvl w:val="0"/>
          <w:numId w:val="2"/>
        </w:numPr>
        <w:spacing w:after="60" w:before="50"/>
      </w:pPr>
      <w:r>
        <w:rPr>
          <w:rFonts w:ascii="Arial" w:cs="Arial" w:eastAsia="Arial" w:hAnsi="Arial"/>
          <w:b/>
          <w:bCs/>
          <w:color w:val="111827"/>
          <w:sz w:val="21"/>
          <w:szCs w:val="21"/>
        </w:rPr>
        <w:t xml:space="preserve">Metrics: </w:t>
      </w:r>
      <w:r>
        <w:rPr>
          <w:rFonts w:ascii="Arial" w:cs="Arial" w:eastAsia="Arial" w:hAnsi="Arial"/>
          <w:color w:val="374151"/>
          <w:sz w:val="21"/>
          <w:szCs w:val="21"/>
        </w:rPr>
        <w:t xml:space="preserve">Precision@5, Recall@5, and F1@5 — computed per customer, averaged.</w:t>
      </w:r>
    </w:p>
    <w:p>
      <w:pPr>
        <w:spacing w:after="60" w:before="0"/>
      </w:pPr>
      <w:r>
        <w:rPr>
          <w:rFonts w:ascii="Arial" w:cs="Arial" w:eastAsia="Arial" w:hAnsi="Arial"/>
          <w:color w:val="374151"/>
          <w:sz w:val="21"/>
          <w:szCs w:val="21"/>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360"/>
      </w:tblGrid>
      <w:tr>
        <w:tc>
          <w:tcPr>
            <w:tcW w:type="dxa" w:w="240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r>
              <w:rPr>
                <w:rFonts w:ascii="Arial" w:cs="Arial" w:eastAsia="Arial" w:hAnsi="Arial"/>
                <w:b/>
                <w:bCs/>
                <w:color w:val="FFFFFF"/>
                <w:sz w:val="18"/>
                <w:szCs w:val="18"/>
              </w:rPr>
              <w:t xml:space="preserve">Metric</w:t>
            </w:r>
          </w:p>
        </w:tc>
        <w:tc>
          <w:tcPr>
            <w:tcW w:type="dxa" w:w="328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r>
              <w:rPr>
                <w:rFonts w:ascii="Arial" w:cs="Arial" w:eastAsia="Arial" w:hAnsi="Arial"/>
                <w:b/>
                <w:bCs/>
                <w:color w:val="FFFFFF"/>
                <w:sz w:val="18"/>
                <w:szCs w:val="18"/>
              </w:rPr>
              <w:t xml:space="preserve">Formula</w:t>
            </w:r>
          </w:p>
        </w:tc>
        <w:tc>
          <w:tcPr>
            <w:tcW w:type="dxa" w:w="336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r>
              <w:rPr>
                <w:rFonts w:ascii="Arial" w:cs="Arial" w:eastAsia="Arial" w:hAnsi="Arial"/>
                <w:b/>
                <w:bCs/>
                <w:color w:val="FFFFFF"/>
                <w:sz w:val="18"/>
                <w:szCs w:val="18"/>
              </w:rPr>
              <w:t xml:space="preserve">Meaning</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bCs/>
                <w:color w:val="111827"/>
                <w:sz w:val="19"/>
                <w:szCs w:val="19"/>
              </w:rPr>
              <w:t xml:space="preserve">Precision@5</w:t>
            </w:r>
          </w:p>
        </w:tc>
        <w:tc>
          <w:tcPr>
            <w:tcW w:type="dxa" w:w="328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|Recommended ∩ Ground Truth| / 5</w:t>
            </w:r>
          </w:p>
        </w:tc>
        <w:tc>
          <w:tcPr>
            <w:tcW w:type="dxa" w:w="33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Of the 5 items recommended, how many did the user actually buy?</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bCs/>
                <w:color w:val="111827"/>
                <w:sz w:val="19"/>
                <w:szCs w:val="19"/>
              </w:rPr>
              <w:t xml:space="preserve">Recall@5</w:t>
            </w:r>
          </w:p>
        </w:tc>
        <w:tc>
          <w:tcPr>
            <w:tcW w:type="dxa" w:w="328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|Recommended ∩ Ground Truth| / |GT|</w:t>
            </w:r>
          </w:p>
        </w:tc>
        <w:tc>
          <w:tcPr>
            <w:tcW w:type="dxa" w:w="33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Of everything the user bought, what fraction was recommended?</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bCs/>
                <w:color w:val="111827"/>
                <w:sz w:val="19"/>
                <w:szCs w:val="19"/>
              </w:rPr>
              <w:t xml:space="preserve">F1@5</w:t>
            </w:r>
          </w:p>
        </w:tc>
        <w:tc>
          <w:tcPr>
            <w:tcW w:type="dxa" w:w="328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2 × P × R / (P + R)</w:t>
            </w:r>
          </w:p>
        </w:tc>
        <w:tc>
          <w:tcPr>
            <w:tcW w:type="dxa" w:w="33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Harmonic mean — balances Precision and Recall.</w:t>
            </w:r>
          </w:p>
        </w:tc>
      </w:tr>
    </w:tbl>
    <w:p>
      <w:pPr>
        <w:spacing w:after="80" w:before="0"/>
      </w:pPr>
      <w:r>
        <w:rPr>
          <w:rFonts w:ascii="Arial" w:cs="Arial" w:eastAsia="Arial" w:hAnsi="Arial"/>
          <w:color w:val="374151"/>
          <w:sz w:val="21"/>
          <w:szCs w:val="21"/>
        </w:rPr>
        <w:t xml:space="preserve"/>
      </w:r>
    </w:p>
    <w:p>
      <w:pPr>
        <w:pStyle w:val="Heading2"/>
        <w:spacing w:after="80" w:before="200"/>
      </w:pPr>
      <w:r>
        <w:rPr>
          <w:rFonts w:ascii="Arial" w:cs="Arial" w:eastAsia="Arial" w:hAnsi="Arial"/>
          <w:b/>
          <w:bCs/>
          <w:color w:val="1D4ED8"/>
          <w:sz w:val="22"/>
          <w:szCs w:val="22"/>
        </w:rPr>
        <w:t xml:space="preserve">Full Results</w:t>
      </w:r>
    </w:p>
    <w:p>
      <w:pPr>
        <w:spacing w:after="60" w:before="0"/>
      </w:pPr>
      <w:r>
        <w:rPr>
          <w:rFonts w:ascii="Arial" w:cs="Arial" w:eastAsia="Arial" w:hAnsi="Arial"/>
          <w:color w:val="374151"/>
          <w:sz w:val="21"/>
          <w:szCs w:val="21"/>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1660"/>
        <w:gridCol w:w="1660"/>
        <w:gridCol w:w="1660"/>
        <w:gridCol w:w="1660"/>
      </w:tblGrid>
      <w:tr>
        <w:tc>
          <w:tcPr>
            <w:tcW w:type="dxa" w:w="110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pPr>
              <w:jc w:val="center"/>
            </w:pPr>
            <w:r>
              <w:rPr>
                <w:rFonts w:ascii="Arial" w:cs="Arial" w:eastAsia="Arial" w:hAnsi="Arial"/>
                <w:b/>
                <w:bCs/>
                <w:color w:val="FFFFFF"/>
                <w:sz w:val="18"/>
                <w:szCs w:val="18"/>
              </w:rPr>
              <w:t xml:space="preserve">α</w:t>
            </w:r>
          </w:p>
        </w:tc>
        <w:tc>
          <w:tcPr>
            <w:tcW w:type="dxa" w:w="230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r>
              <w:rPr>
                <w:rFonts w:ascii="Arial" w:cs="Arial" w:eastAsia="Arial" w:hAnsi="Arial"/>
                <w:b/>
                <w:bCs/>
                <w:color w:val="FFFFFF"/>
                <w:sz w:val="18"/>
                <w:szCs w:val="18"/>
              </w:rPr>
              <w:t xml:space="preserve">Mode</w:t>
            </w:r>
          </w:p>
        </w:tc>
        <w:tc>
          <w:tcPr>
            <w:tcW w:type="dxa" w:w="166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pPr>
              <w:jc w:val="center"/>
            </w:pPr>
            <w:r>
              <w:rPr>
                <w:rFonts w:ascii="Arial" w:cs="Arial" w:eastAsia="Arial" w:hAnsi="Arial"/>
                <w:b/>
                <w:bCs/>
                <w:color w:val="FFFFFF"/>
                <w:sz w:val="18"/>
                <w:szCs w:val="18"/>
              </w:rPr>
              <w:t xml:space="preserve">Precision@5</w:t>
            </w:r>
          </w:p>
        </w:tc>
        <w:tc>
          <w:tcPr>
            <w:tcW w:type="dxa" w:w="166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pPr>
              <w:jc w:val="center"/>
            </w:pPr>
            <w:r>
              <w:rPr>
                <w:rFonts w:ascii="Arial" w:cs="Arial" w:eastAsia="Arial" w:hAnsi="Arial"/>
                <w:b/>
                <w:bCs/>
                <w:color w:val="FFFFFF"/>
                <w:sz w:val="18"/>
                <w:szCs w:val="18"/>
              </w:rPr>
              <w:t xml:space="preserve">Recall@5</w:t>
            </w:r>
          </w:p>
        </w:tc>
        <w:tc>
          <w:tcPr>
            <w:tcW w:type="dxa" w:w="166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pPr>
              <w:jc w:val="center"/>
            </w:pPr>
            <w:r>
              <w:rPr>
                <w:rFonts w:ascii="Arial" w:cs="Arial" w:eastAsia="Arial" w:hAnsi="Arial"/>
                <w:b/>
                <w:bCs/>
                <w:color w:val="FFFFFF"/>
                <w:sz w:val="18"/>
                <w:szCs w:val="18"/>
              </w:rPr>
              <w:t xml:space="preserve">F1@5</w:t>
            </w:r>
          </w:p>
        </w:tc>
        <w:tc>
          <w:tcPr>
            <w:tcW w:type="dxa" w:w="166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pPr>
              <w:jc w:val="center"/>
            </w:pPr>
            <w:r>
              <w:rPr>
                <w:rFonts w:ascii="Arial" w:cs="Arial" w:eastAsia="Arial" w:hAnsi="Arial"/>
                <w:b/>
                <w:bCs/>
                <w:color w:val="FFFFFF"/>
                <w:sz w:val="18"/>
                <w:szCs w:val="18"/>
              </w:rPr>
              <w:t xml:space="preserve">vs Best Hybrid</w:t>
            </w:r>
          </w:p>
        </w:tc>
      </w:tr>
      <w:tr>
        <w:tc>
          <w:tcPr>
            <w:tcW w:type="dxa" w:w="11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w:t>
            </w:r>
          </w:p>
        </w:tc>
        <w:tc>
          <w:tcPr>
            <w:tcW w:type="dxa" w:w="23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val="false"/>
                <w:bCs w:val="false"/>
                <w:color w:val="374151"/>
                <w:sz w:val="19"/>
                <w:szCs w:val="19"/>
              </w:rPr>
              <w:t xml:space="preserve">Pure Content-Based</w:t>
            </w:r>
          </w:p>
        </w:tc>
        <w:tc>
          <w:tcPr>
            <w:tcW w:type="dxa" w:w="166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0.0374</w:t>
            </w:r>
          </w:p>
        </w:tc>
        <w:tc>
          <w:tcPr>
            <w:tcW w:type="dxa" w:w="166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0.0198</w:t>
            </w:r>
          </w:p>
        </w:tc>
        <w:tc>
          <w:tcPr>
            <w:tcW w:type="dxa" w:w="166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0.0259</w:t>
            </w:r>
          </w:p>
        </w:tc>
        <w:tc>
          <w:tcPr>
            <w:tcW w:type="dxa" w:w="1660"/>
            <w:tcBorders>
              <w:top w:val="single" w:color="E5E7EB" w:sz="1"/>
              <w:left w:val="single" w:color="E5E7EB" w:sz="1"/>
              <w:bottom w:val="single" w:color="E5E7EB" w:sz="1"/>
              <w:right w:val="single" w:color="E5E7EB" w:sz="1"/>
            </w:tcBorders>
            <w:shd w:fill="FEF2F2" w:val="clear"/>
            <w:tcMar>
              <w:top w:type="dxa" w:w="70"/>
              <w:left w:type="dxa" w:w="110"/>
              <w:bottom w:type="dxa" w:w="70"/>
              <w:right w:type="dxa" w:w="110"/>
            </w:tcMar>
          </w:tcPr>
          <w:p>
            <w:pPr>
              <w:jc w:val="center"/>
            </w:pPr>
            <w:r>
              <w:rPr>
                <w:rFonts w:ascii="Arial" w:cs="Arial" w:eastAsia="Arial" w:hAnsi="Arial"/>
                <w:b w:val="false"/>
                <w:bCs w:val="false"/>
                <w:color w:val="991B1B"/>
                <w:sz w:val="19"/>
                <w:szCs w:val="19"/>
              </w:rPr>
              <w:t xml:space="preserve">−23.1%</w:t>
            </w:r>
          </w:p>
        </w:tc>
      </w:tr>
      <w:tr>
        <w:tc>
          <w:tcPr>
            <w:tcW w:type="dxa" w:w="11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0.5</w:t>
            </w:r>
          </w:p>
        </w:tc>
        <w:tc>
          <w:tcPr>
            <w:tcW w:type="dxa" w:w="23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Equal Hybrid</w:t>
            </w:r>
          </w:p>
        </w:tc>
        <w:tc>
          <w:tcPr>
            <w:tcW w:type="dxa" w:w="16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0.0430</w:t>
            </w:r>
          </w:p>
        </w:tc>
        <w:tc>
          <w:tcPr>
            <w:tcW w:type="dxa" w:w="16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0.0258</w:t>
            </w:r>
          </w:p>
        </w:tc>
        <w:tc>
          <w:tcPr>
            <w:tcW w:type="dxa" w:w="16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0.0323</w:t>
            </w:r>
          </w:p>
        </w:tc>
        <w:tc>
          <w:tcPr>
            <w:tcW w:type="dxa" w:w="16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−4.2%</w:t>
            </w:r>
          </w:p>
        </w:tc>
      </w:tr>
      <w:tr>
        <w:tc>
          <w:tcPr>
            <w:tcW w:type="dxa" w:w="11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0.6</w:t>
            </w:r>
          </w:p>
        </w:tc>
        <w:tc>
          <w:tcPr>
            <w:tcW w:type="dxa" w:w="23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AR-leaning Hybrid</w:t>
            </w:r>
          </w:p>
        </w:tc>
        <w:tc>
          <w:tcPr>
            <w:tcW w:type="dxa" w:w="16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0.0440</w:t>
            </w:r>
          </w:p>
        </w:tc>
        <w:tc>
          <w:tcPr>
            <w:tcW w:type="dxa" w:w="16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0.0265</w:t>
            </w:r>
          </w:p>
        </w:tc>
        <w:tc>
          <w:tcPr>
            <w:tcW w:type="dxa" w:w="16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0.0330</w:t>
            </w:r>
          </w:p>
        </w:tc>
        <w:tc>
          <w:tcPr>
            <w:tcW w:type="dxa" w:w="16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−2.1%</w:t>
            </w:r>
          </w:p>
        </w:tc>
      </w:tr>
      <w:tr>
        <w:tc>
          <w:tcPr>
            <w:tcW w:type="dxa" w:w="1100"/>
            <w:tcBorders>
              <w:top w:val="single" w:color="E5E7EB" w:sz="1"/>
              <w:left w:val="single" w:color="E5E7EB" w:sz="1"/>
              <w:bottom w:val="single" w:color="E5E7EB" w:sz="1"/>
              <w:right w:val="single" w:color="E5E7EB" w:sz="1"/>
            </w:tcBorders>
            <w:shd w:fill="F0FDF4" w:val="clear"/>
            <w:tcMar>
              <w:top w:type="dxa" w:w="70"/>
              <w:left w:type="dxa" w:w="110"/>
              <w:bottom w:type="dxa" w:w="70"/>
              <w:right w:type="dxa" w:w="110"/>
            </w:tcMar>
          </w:tcPr>
          <w:p>
            <w:pPr>
              <w:jc w:val="center"/>
            </w:pPr>
            <w:r>
              <w:rPr>
                <w:rFonts w:ascii="Arial" w:cs="Arial" w:eastAsia="Arial" w:hAnsi="Arial"/>
                <w:b/>
                <w:bCs/>
                <w:color w:val="166534"/>
                <w:sz w:val="19"/>
                <w:szCs w:val="19"/>
              </w:rPr>
              <w:t xml:space="preserve">0.7</w:t>
            </w:r>
          </w:p>
        </w:tc>
        <w:tc>
          <w:tcPr>
            <w:tcW w:type="dxa" w:w="2300"/>
            <w:tcBorders>
              <w:top w:val="single" w:color="E5E7EB" w:sz="1"/>
              <w:left w:val="single" w:color="E5E7EB" w:sz="1"/>
              <w:bottom w:val="single" w:color="E5E7EB" w:sz="1"/>
              <w:right w:val="single" w:color="E5E7EB" w:sz="1"/>
            </w:tcBorders>
            <w:shd w:fill="F0FDF4" w:val="clear"/>
            <w:tcMar>
              <w:top w:type="dxa" w:w="70"/>
              <w:left w:type="dxa" w:w="110"/>
              <w:bottom w:type="dxa" w:w="70"/>
              <w:right w:type="dxa" w:w="110"/>
            </w:tcMar>
          </w:tcPr>
          <w:p>
            <w:pPr>
              <w:jc w:val="center"/>
            </w:pPr>
            <w:r>
              <w:rPr>
                <w:rFonts w:ascii="Arial" w:cs="Arial" w:eastAsia="Arial" w:hAnsi="Arial"/>
                <w:b/>
                <w:bCs/>
                <w:color w:val="166534"/>
                <w:sz w:val="19"/>
                <w:szCs w:val="19"/>
              </w:rPr>
              <w:t xml:space="preserve">★ Best Hybrid</w:t>
            </w:r>
          </w:p>
        </w:tc>
        <w:tc>
          <w:tcPr>
            <w:tcW w:type="dxa" w:w="1660"/>
            <w:tcBorders>
              <w:top w:val="single" w:color="E5E7EB" w:sz="1"/>
              <w:left w:val="single" w:color="E5E7EB" w:sz="1"/>
              <w:bottom w:val="single" w:color="E5E7EB" w:sz="1"/>
              <w:right w:val="single" w:color="E5E7EB" w:sz="1"/>
            </w:tcBorders>
            <w:shd w:fill="F0FDF4" w:val="clear"/>
            <w:tcMar>
              <w:top w:type="dxa" w:w="70"/>
              <w:left w:type="dxa" w:w="110"/>
              <w:bottom w:type="dxa" w:w="70"/>
              <w:right w:type="dxa" w:w="110"/>
            </w:tcMar>
          </w:tcPr>
          <w:p>
            <w:pPr>
              <w:jc w:val="center"/>
            </w:pPr>
            <w:r>
              <w:rPr>
                <w:rFonts w:ascii="Arial" w:cs="Arial" w:eastAsia="Arial" w:hAnsi="Arial"/>
                <w:b/>
                <w:bCs/>
                <w:color w:val="166534"/>
                <w:sz w:val="19"/>
                <w:szCs w:val="19"/>
              </w:rPr>
              <w:t xml:space="preserve">0.0451</w:t>
            </w:r>
          </w:p>
        </w:tc>
        <w:tc>
          <w:tcPr>
            <w:tcW w:type="dxa" w:w="1660"/>
            <w:tcBorders>
              <w:top w:val="single" w:color="E5E7EB" w:sz="1"/>
              <w:left w:val="single" w:color="E5E7EB" w:sz="1"/>
              <w:bottom w:val="single" w:color="E5E7EB" w:sz="1"/>
              <w:right w:val="single" w:color="E5E7EB" w:sz="1"/>
            </w:tcBorders>
            <w:shd w:fill="F0FDF4" w:val="clear"/>
            <w:tcMar>
              <w:top w:type="dxa" w:w="70"/>
              <w:left w:type="dxa" w:w="110"/>
              <w:bottom w:type="dxa" w:w="70"/>
              <w:right w:type="dxa" w:w="110"/>
            </w:tcMar>
          </w:tcPr>
          <w:p>
            <w:pPr>
              <w:jc w:val="center"/>
            </w:pPr>
            <w:r>
              <w:rPr>
                <w:rFonts w:ascii="Arial" w:cs="Arial" w:eastAsia="Arial" w:hAnsi="Arial"/>
                <w:b/>
                <w:bCs/>
                <w:color w:val="166534"/>
                <w:sz w:val="19"/>
                <w:szCs w:val="19"/>
              </w:rPr>
              <w:t xml:space="preserve">0.0270</w:t>
            </w:r>
          </w:p>
        </w:tc>
        <w:tc>
          <w:tcPr>
            <w:tcW w:type="dxa" w:w="1660"/>
            <w:tcBorders>
              <w:top w:val="single" w:color="E5E7EB" w:sz="1"/>
              <w:left w:val="single" w:color="E5E7EB" w:sz="1"/>
              <w:bottom w:val="single" w:color="E5E7EB" w:sz="1"/>
              <w:right w:val="single" w:color="E5E7EB" w:sz="1"/>
            </w:tcBorders>
            <w:shd w:fill="F0FDF4" w:val="clear"/>
            <w:tcMar>
              <w:top w:type="dxa" w:w="70"/>
              <w:left w:type="dxa" w:w="110"/>
              <w:bottom w:type="dxa" w:w="70"/>
              <w:right w:type="dxa" w:w="110"/>
            </w:tcMar>
          </w:tcPr>
          <w:p>
            <w:pPr>
              <w:jc w:val="center"/>
            </w:pPr>
            <w:r>
              <w:rPr>
                <w:rFonts w:ascii="Arial" w:cs="Arial" w:eastAsia="Arial" w:hAnsi="Arial"/>
                <w:b/>
                <w:bCs/>
                <w:color w:val="166534"/>
                <w:sz w:val="19"/>
                <w:szCs w:val="19"/>
              </w:rPr>
              <w:t xml:space="preserve">0.0337</w:t>
            </w:r>
          </w:p>
        </w:tc>
        <w:tc>
          <w:tcPr>
            <w:tcW w:type="dxa" w:w="1660"/>
            <w:tcBorders>
              <w:top w:val="single" w:color="E5E7EB" w:sz="1"/>
              <w:left w:val="single" w:color="E5E7EB" w:sz="1"/>
              <w:bottom w:val="single" w:color="E5E7EB" w:sz="1"/>
              <w:right w:val="single" w:color="E5E7EB" w:sz="1"/>
            </w:tcBorders>
            <w:shd w:fill="F0FDF4" w:val="clear"/>
            <w:tcMar>
              <w:top w:type="dxa" w:w="70"/>
              <w:left w:type="dxa" w:w="110"/>
              <w:bottom w:type="dxa" w:w="70"/>
              <w:right w:type="dxa" w:w="110"/>
            </w:tcMar>
          </w:tcPr>
          <w:p>
            <w:pPr>
              <w:jc w:val="center"/>
            </w:pPr>
            <w:r>
              <w:rPr>
                <w:rFonts w:ascii="Arial" w:cs="Arial" w:eastAsia="Arial" w:hAnsi="Arial"/>
                <w:b/>
                <w:bCs/>
                <w:color w:val="166534"/>
                <w:sz w:val="19"/>
                <w:szCs w:val="19"/>
              </w:rPr>
              <w:t xml:space="preserve">—</w:t>
            </w:r>
          </w:p>
        </w:tc>
      </w:tr>
      <w:tr>
        <w:tc>
          <w:tcPr>
            <w:tcW w:type="dxa" w:w="11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0.8</w:t>
            </w:r>
          </w:p>
        </w:tc>
        <w:tc>
          <w:tcPr>
            <w:tcW w:type="dxa" w:w="23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Strong AR Bias</w:t>
            </w:r>
          </w:p>
        </w:tc>
        <w:tc>
          <w:tcPr>
            <w:tcW w:type="dxa" w:w="16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0.0447</w:t>
            </w:r>
          </w:p>
        </w:tc>
        <w:tc>
          <w:tcPr>
            <w:tcW w:type="dxa" w:w="16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0.0260</w:t>
            </w:r>
          </w:p>
        </w:tc>
        <w:tc>
          <w:tcPr>
            <w:tcW w:type="dxa" w:w="16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0.0329</w:t>
            </w:r>
          </w:p>
        </w:tc>
        <w:tc>
          <w:tcPr>
            <w:tcW w:type="dxa" w:w="16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−2.4%</w:t>
            </w:r>
          </w:p>
        </w:tc>
      </w:tr>
      <w:tr>
        <w:tc>
          <w:tcPr>
            <w:tcW w:type="dxa" w:w="11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0.9</w:t>
            </w:r>
          </w:p>
        </w:tc>
        <w:tc>
          <w:tcPr>
            <w:tcW w:type="dxa" w:w="230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Heavy AR</w:t>
            </w:r>
          </w:p>
        </w:tc>
        <w:tc>
          <w:tcPr>
            <w:tcW w:type="dxa" w:w="16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0.0438</w:t>
            </w:r>
          </w:p>
        </w:tc>
        <w:tc>
          <w:tcPr>
            <w:tcW w:type="dxa" w:w="16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0.0249</w:t>
            </w:r>
          </w:p>
        </w:tc>
        <w:tc>
          <w:tcPr>
            <w:tcW w:type="dxa" w:w="16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0.0316</w:t>
            </w:r>
          </w:p>
        </w:tc>
        <w:tc>
          <w:tcPr>
            <w:tcW w:type="dxa" w:w="166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−6.2%</w:t>
            </w:r>
          </w:p>
        </w:tc>
      </w:tr>
      <w:tr>
        <w:tc>
          <w:tcPr>
            <w:tcW w:type="dxa" w:w="11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1.0</w:t>
            </w:r>
          </w:p>
        </w:tc>
        <w:tc>
          <w:tcPr>
            <w:tcW w:type="dxa" w:w="23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val="false"/>
                <w:bCs w:val="false"/>
                <w:color w:val="374151"/>
                <w:sz w:val="19"/>
                <w:szCs w:val="19"/>
              </w:rPr>
              <w:t xml:space="preserve">Pure AR</w:t>
            </w:r>
          </w:p>
        </w:tc>
        <w:tc>
          <w:tcPr>
            <w:tcW w:type="dxa" w:w="166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0.0396</w:t>
            </w:r>
          </w:p>
        </w:tc>
        <w:tc>
          <w:tcPr>
            <w:tcW w:type="dxa" w:w="166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0.0220</w:t>
            </w:r>
          </w:p>
        </w:tc>
        <w:tc>
          <w:tcPr>
            <w:tcW w:type="dxa" w:w="166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pPr>
              <w:jc w:val="center"/>
            </w:pPr>
            <w:r>
              <w:rPr>
                <w:rFonts w:ascii="Arial" w:cs="Arial" w:eastAsia="Arial" w:hAnsi="Arial"/>
                <w:b w:val="false"/>
                <w:bCs w:val="false"/>
                <w:color w:val="374151"/>
                <w:sz w:val="19"/>
                <w:szCs w:val="19"/>
              </w:rPr>
              <w:t xml:space="preserve">0.0282</w:t>
            </w:r>
          </w:p>
        </w:tc>
        <w:tc>
          <w:tcPr>
            <w:tcW w:type="dxa" w:w="1660"/>
            <w:tcBorders>
              <w:top w:val="single" w:color="E5E7EB" w:sz="1"/>
              <w:left w:val="single" w:color="E5E7EB" w:sz="1"/>
              <w:bottom w:val="single" w:color="E5E7EB" w:sz="1"/>
              <w:right w:val="single" w:color="E5E7EB" w:sz="1"/>
            </w:tcBorders>
            <w:shd w:fill="FEF2F2" w:val="clear"/>
            <w:tcMar>
              <w:top w:type="dxa" w:w="70"/>
              <w:left w:type="dxa" w:w="110"/>
              <w:bottom w:type="dxa" w:w="70"/>
              <w:right w:type="dxa" w:w="110"/>
            </w:tcMar>
          </w:tcPr>
          <w:p>
            <w:pPr>
              <w:jc w:val="center"/>
            </w:pPr>
            <w:r>
              <w:rPr>
                <w:rFonts w:ascii="Arial" w:cs="Arial" w:eastAsia="Arial" w:hAnsi="Arial"/>
                <w:b w:val="false"/>
                <w:bCs w:val="false"/>
                <w:color w:val="991B1B"/>
                <w:sz w:val="19"/>
                <w:szCs w:val="19"/>
              </w:rPr>
              <w:t xml:space="preserve">−16.3%</w:t>
            </w:r>
          </w:p>
        </w:tc>
      </w:tr>
    </w:tbl>
    <w:p>
      <w:pPr>
        <w:spacing w:after="80" w:before="0"/>
      </w:pPr>
      <w:r>
        <w:rPr>
          <w:rFonts w:ascii="Arial" w:cs="Arial" w:eastAsia="Arial" w:hAnsi="Arial"/>
          <w:color w:val="374151"/>
          <w:sz w:val="21"/>
          <w:szCs w:val="21"/>
        </w:rPr>
        <w:t xml:space="preserve"/>
      </w:r>
    </w:p>
    <w:p>
      <w:pPr>
        <w:pStyle w:val="Heading1"/>
        <w:pBdr>
          <w:bottom w:val="single" w:color="2563EB" w:sz="6" w:space="4"/>
        </w:pBdr>
        <w:spacing w:after="60" w:before="360"/>
      </w:pPr>
      <w:r>
        <w:rPr>
          <w:rFonts w:ascii="Arial" w:cs="Arial" w:eastAsia="Arial" w:hAnsi="Arial"/>
          <w:b/>
          <w:bCs/>
          <w:color w:val="1D4ED8"/>
          <w:sz w:val="27"/>
          <w:szCs w:val="27"/>
        </w:rPr>
        <w:t xml:space="preserve">Q7.  </w:t>
      </w:r>
      <w:r>
        <w:rPr>
          <w:rFonts w:ascii="Arial" w:cs="Arial" w:eastAsia="Arial" w:hAnsi="Arial"/>
          <w:b/>
          <w:bCs/>
          <w:color w:val="111827"/>
          <w:sz w:val="27"/>
          <w:szCs w:val="27"/>
        </w:rPr>
        <w:t xml:space="preserve">Results and Discussion — Which Method Works Best and Why?</w:t>
      </w:r>
    </w:p>
    <w:p>
      <w:pPr>
        <w:spacing w:after="100" w:before="60" w:line="300"/>
        <w:jc w:val="both"/>
      </w:pPr>
      <w:r>
        <w:rPr>
          <w:rFonts w:ascii="Arial" w:cs="Arial" w:eastAsia="Arial" w:hAnsi="Arial"/>
          <w:color w:val="374151"/>
          <w:sz w:val="21"/>
          <w:szCs w:val="21"/>
        </w:rPr>
        <w:t xml:space="preserve">The hybrid system at α = 0.7 achieves the highest performance across all metrics. Here is why each method lands where it does:</w:t>
      </w:r>
    </w:p>
    <w:p>
      <w:pPr>
        <w:spacing w:after="60" w:before="0"/>
      </w:pPr>
      <w:r>
        <w:rPr>
          <w:rFonts w:ascii="Arial" w:cs="Arial" w:eastAsia="Arial" w:hAnsi="Arial"/>
          <w:color w:val="374151"/>
          <w:sz w:val="21"/>
          <w:szCs w:val="21"/>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40"/>
      </w:tblGrid>
      <w:tr>
        <w:tc>
          <w:tcPr>
            <w:tcW w:type="dxa" w:w="240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r>
              <w:rPr>
                <w:rFonts w:ascii="Arial" w:cs="Arial" w:eastAsia="Arial" w:hAnsi="Arial"/>
                <w:b/>
                <w:bCs/>
                <w:color w:val="FFFFFF"/>
                <w:sz w:val="18"/>
                <w:szCs w:val="18"/>
              </w:rPr>
              <w:t xml:space="preserve">Method</w:t>
            </w:r>
          </w:p>
        </w:tc>
        <w:tc>
          <w:tcPr>
            <w:tcW w:type="dxa" w:w="140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pPr>
              <w:jc w:val="center"/>
            </w:pPr>
            <w:r>
              <w:rPr>
                <w:rFonts w:ascii="Arial" w:cs="Arial" w:eastAsia="Arial" w:hAnsi="Arial"/>
                <w:b/>
                <w:bCs/>
                <w:color w:val="FFFFFF"/>
                <w:sz w:val="18"/>
                <w:szCs w:val="18"/>
              </w:rPr>
              <w:t xml:space="preserve">F1@5</w:t>
            </w:r>
          </w:p>
        </w:tc>
        <w:tc>
          <w:tcPr>
            <w:tcW w:type="dxa" w:w="5240"/>
            <w:tcBorders>
              <w:top w:val="single" w:color="1D4ED8" w:sz="4"/>
              <w:left w:val="single" w:color="1D4ED8" w:sz="4"/>
              <w:bottom w:val="single" w:color="1D4ED8" w:sz="4"/>
              <w:right w:val="single" w:color="1D4ED8" w:sz="4"/>
            </w:tcBorders>
            <w:shd w:fill="111827" w:val="clear"/>
            <w:tcMar>
              <w:top w:type="dxa" w:w="85"/>
              <w:left w:type="dxa" w:w="110"/>
              <w:bottom w:type="dxa" w:w="85"/>
              <w:right w:type="dxa" w:w="110"/>
            </w:tcMar>
            <w:vAlign w:val="center"/>
          </w:tcPr>
          <w:p>
            <w:r>
              <w:rPr>
                <w:rFonts w:ascii="Arial" w:cs="Arial" w:eastAsia="Arial" w:hAnsi="Arial"/>
                <w:b/>
                <w:bCs/>
                <w:color w:val="FFFFFF"/>
                <w:sz w:val="18"/>
                <w:szCs w:val="18"/>
              </w:rPr>
              <w:t xml:space="preserve">Why it performs this way</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bCs/>
                <w:color w:val="111827"/>
                <w:sz w:val="19"/>
                <w:szCs w:val="19"/>
              </w:rPr>
              <w:t xml:space="preserve">Pure Content (α=0.0)</w:t>
            </w:r>
          </w:p>
        </w:tc>
        <w:tc>
          <w:tcPr>
            <w:tcW w:type="dxa" w:w="1400"/>
            <w:tcBorders>
              <w:top w:val="single" w:color="E5E7EB" w:sz="1"/>
              <w:left w:val="single" w:color="E5E7EB" w:sz="1"/>
              <w:bottom w:val="single" w:color="E5E7EB" w:sz="1"/>
              <w:right w:val="single" w:color="E5E7EB" w:sz="1"/>
            </w:tcBorders>
            <w:shd w:fill="FEF2F2" w:val="clear"/>
            <w:tcMar>
              <w:top w:type="dxa" w:w="70"/>
              <w:left w:type="dxa" w:w="110"/>
              <w:bottom w:type="dxa" w:w="70"/>
              <w:right w:type="dxa" w:w="110"/>
            </w:tcMar>
          </w:tcPr>
          <w:p>
            <w:pPr>
              <w:jc w:val="center"/>
            </w:pPr>
            <w:r>
              <w:rPr>
                <w:rFonts w:ascii="Arial" w:cs="Arial" w:eastAsia="Arial" w:hAnsi="Arial"/>
                <w:b w:val="false"/>
                <w:bCs w:val="false"/>
                <w:color w:val="991B1B"/>
                <w:sz w:val="19"/>
                <w:szCs w:val="19"/>
              </w:rPr>
              <w:t xml:space="preserve">0.0259</w:t>
            </w:r>
          </w:p>
        </w:tc>
        <w:tc>
          <w:tcPr>
            <w:tcW w:type="dxa" w:w="524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Short descriptions (3–6 words) share generic terms like SET and PACK, inflating similarity between unrelated products. Misses real buying behaviour entirely.</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10"/>
              <w:bottom w:type="dxa" w:w="70"/>
              <w:right w:type="dxa" w:w="110"/>
            </w:tcMar>
          </w:tcPr>
          <w:p>
            <w:r>
              <w:rPr>
                <w:rFonts w:ascii="Arial" w:cs="Arial" w:eastAsia="Arial" w:hAnsi="Arial"/>
                <w:b/>
                <w:bCs/>
                <w:color w:val="111827"/>
                <w:sz w:val="19"/>
                <w:szCs w:val="19"/>
              </w:rPr>
              <w:t xml:space="preserve">Pure AR (α=1.0)</w:t>
            </w:r>
          </w:p>
        </w:tc>
        <w:tc>
          <w:tcPr>
            <w:tcW w:type="dxa" w:w="1400"/>
            <w:tcBorders>
              <w:top w:val="single" w:color="E5E7EB" w:sz="1"/>
              <w:left w:val="single" w:color="E5E7EB" w:sz="1"/>
              <w:bottom w:val="single" w:color="E5E7EB" w:sz="1"/>
              <w:right w:val="single" w:color="E5E7EB" w:sz="1"/>
            </w:tcBorders>
            <w:shd w:fill="FEF2F2" w:val="clear"/>
            <w:tcMar>
              <w:top w:type="dxa" w:w="70"/>
              <w:left w:type="dxa" w:w="110"/>
              <w:bottom w:type="dxa" w:w="70"/>
              <w:right w:type="dxa" w:w="110"/>
            </w:tcMar>
          </w:tcPr>
          <w:p>
            <w:pPr>
              <w:jc w:val="center"/>
            </w:pPr>
            <w:r>
              <w:rPr>
                <w:rFonts w:ascii="Arial" w:cs="Arial" w:eastAsia="Arial" w:hAnsi="Arial"/>
                <w:b w:val="false"/>
                <w:bCs w:val="false"/>
                <w:color w:val="991B1B"/>
                <w:sz w:val="19"/>
                <w:szCs w:val="19"/>
              </w:rPr>
              <w:t xml:space="preserve">0.0282</w:t>
            </w:r>
          </w:p>
        </w:tc>
        <w:tc>
          <w:tcPr>
            <w:tcW w:type="dxa" w:w="5240"/>
            <w:tcBorders>
              <w:top w:val="single" w:color="E5E7EB" w:sz="1"/>
              <w:left w:val="single" w:color="E5E7EB" w:sz="1"/>
              <w:bottom w:val="single" w:color="E5E7EB" w:sz="1"/>
              <w:right w:val="single" w:color="E5E7EB" w:sz="1"/>
            </w:tcBorders>
            <w:shd w:fill="FFFFFF" w:val="clear"/>
            <w:tcMar>
              <w:top w:type="dxa" w:w="70"/>
              <w:left w:type="dxa" w:w="110"/>
              <w:bottom w:type="dxa" w:w="70"/>
              <w:right w:type="dxa" w:w="110"/>
            </w:tcMar>
          </w:tcPr>
          <w:p>
            <w:r>
              <w:rPr>
                <w:rFonts w:ascii="Arial" w:cs="Arial" w:eastAsia="Arial" w:hAnsi="Arial"/>
                <w:b w:val="false"/>
                <w:bCs w:val="false"/>
                <w:color w:val="374151"/>
                <w:sz w:val="19"/>
                <w:szCs w:val="19"/>
              </w:rPr>
              <w:t xml:space="preserve">Many customers have histories that match no rule antecedent — they get zero recommendations. Rule coverage is limited to frequently co-bought clusters.</w:t>
            </w:r>
          </w:p>
        </w:tc>
      </w:tr>
      <w:tr>
        <w:tc>
          <w:tcPr>
            <w:tcW w:type="dxa" w:w="2400"/>
            <w:tcBorders>
              <w:top w:val="single" w:color="E5E7EB" w:sz="1"/>
              <w:left w:val="single" w:color="E5E7EB" w:sz="1"/>
              <w:bottom w:val="single" w:color="E5E7EB" w:sz="1"/>
              <w:right w:val="single" w:color="E5E7EB" w:sz="1"/>
            </w:tcBorders>
            <w:shd w:fill="F0FDF4" w:val="clear"/>
            <w:tcMar>
              <w:top w:type="dxa" w:w="70"/>
              <w:left w:type="dxa" w:w="110"/>
              <w:bottom w:type="dxa" w:w="70"/>
              <w:right w:type="dxa" w:w="110"/>
            </w:tcMar>
          </w:tcPr>
          <w:p>
            <w:pPr>
              <w:jc w:val="center"/>
            </w:pPr>
            <w:r>
              <w:rPr>
                <w:rFonts w:ascii="Arial" w:cs="Arial" w:eastAsia="Arial" w:hAnsi="Arial"/>
                <w:b/>
                <w:bCs/>
                <w:color w:val="166534"/>
                <w:sz w:val="19"/>
                <w:szCs w:val="19"/>
              </w:rPr>
              <w:t xml:space="preserve">★ Hybrid (α=0.7)</w:t>
            </w:r>
          </w:p>
        </w:tc>
        <w:tc>
          <w:tcPr>
            <w:tcW w:type="dxa" w:w="1400"/>
            <w:tcBorders>
              <w:top w:val="single" w:color="E5E7EB" w:sz="1"/>
              <w:left w:val="single" w:color="E5E7EB" w:sz="1"/>
              <w:bottom w:val="single" w:color="E5E7EB" w:sz="1"/>
              <w:right w:val="single" w:color="E5E7EB" w:sz="1"/>
            </w:tcBorders>
            <w:shd w:fill="F0FDF4" w:val="clear"/>
            <w:tcMar>
              <w:top w:type="dxa" w:w="70"/>
              <w:left w:type="dxa" w:w="110"/>
              <w:bottom w:type="dxa" w:w="70"/>
              <w:right w:type="dxa" w:w="110"/>
            </w:tcMar>
          </w:tcPr>
          <w:p>
            <w:pPr>
              <w:jc w:val="center"/>
            </w:pPr>
            <w:r>
              <w:rPr>
                <w:rFonts w:ascii="Arial" w:cs="Arial" w:eastAsia="Arial" w:hAnsi="Arial"/>
                <w:b/>
                <w:bCs/>
                <w:color w:val="166534"/>
                <w:sz w:val="19"/>
                <w:szCs w:val="19"/>
              </w:rPr>
              <w:t xml:space="preserve">0.0337</w:t>
            </w:r>
          </w:p>
        </w:tc>
        <w:tc>
          <w:tcPr>
            <w:tcW w:type="dxa" w:w="5240"/>
            <w:tcBorders>
              <w:top w:val="single" w:color="E5E7EB" w:sz="1"/>
              <w:left w:val="single" w:color="E5E7EB" w:sz="1"/>
              <w:bottom w:val="single" w:color="E5E7EB" w:sz="1"/>
              <w:right w:val="single" w:color="E5E7EB" w:sz="1"/>
            </w:tcBorders>
            <w:shd w:fill="F0FDF4" w:val="clear"/>
            <w:tcMar>
              <w:top w:type="dxa" w:w="70"/>
              <w:left w:type="dxa" w:w="110"/>
              <w:bottom w:type="dxa" w:w="70"/>
              <w:right w:type="dxa" w:w="110"/>
            </w:tcMar>
          </w:tcPr>
          <w:p>
            <w:r>
              <w:rPr>
                <w:rFonts w:ascii="Arial" w:cs="Arial" w:eastAsia="Arial" w:hAnsi="Arial"/>
                <w:b w:val="false"/>
                <w:bCs w:val="false"/>
                <w:color w:val="374151"/>
                <w:sz w:val="19"/>
                <w:szCs w:val="19"/>
              </w:rPr>
              <w:t xml:space="preserve">AR rules fire with high precision when available (70% weight). The 30% content weight rescues sparse-history users and fills remaining slots when AR runs out of candidates.</w:t>
            </w:r>
          </w:p>
        </w:tc>
      </w:tr>
    </w:tbl>
    <w:p>
      <w:pPr>
        <w:spacing w:after="80" w:before="0"/>
      </w:pPr>
      <w:r>
        <w:rPr>
          <w:rFonts w:ascii="Arial" w:cs="Arial" w:eastAsia="Arial" w:hAnsi="Arial"/>
          <w:color w:val="374151"/>
          <w:sz w:val="21"/>
          <w:szCs w:val="21"/>
        </w:rPr>
        <w:t xml:space="preserve"/>
      </w:r>
    </w:p>
    <w:p>
      <w:pPr>
        <w:spacing w:after="100" w:before="60" w:line="300"/>
        <w:jc w:val="both"/>
      </w:pPr>
      <w:r>
        <w:rPr>
          <w:rFonts w:ascii="Arial" w:cs="Arial" w:eastAsia="Arial" w:hAnsi="Arial"/>
          <w:color w:val="374151"/>
          <w:sz w:val="21"/>
          <w:szCs w:val="21"/>
        </w:rPr>
        <w:t xml:space="preserve">Why α = 0.7 specifically peaks: the AR component provides the stronger signal when it fires (confidence ≥ 0.5, lift ≥ 3 — these are reliable rules). But giving it 100% weight means silent failure for users it cannot serve. The 30% content allocation acts as a safety net without diluting high-confidence AR recommendations when they exist.</w:t>
      </w:r>
    </w:p>
    <w:p>
      <w:pPr>
        <w:spacing w:after="80" w:before="0"/>
      </w:pPr>
      <w:r>
        <w:rPr>
          <w:rFonts w:ascii="Arial" w:cs="Arial" w:eastAsia="Arial" w:hAnsi="Arial"/>
          <w:color w:val="374151"/>
          <w:sz w:val="21"/>
          <w:szCs w:val="21"/>
        </w:rPr>
        <w:t xml:space="preserve"/>
      </w:r>
    </w:p>
    <w:p>
      <w:pPr>
        <w:pStyle w:val="Heading1"/>
        <w:pBdr>
          <w:bottom w:val="single" w:color="2563EB" w:sz="6" w:space="4"/>
        </w:pBdr>
        <w:spacing w:after="60" w:before="360"/>
      </w:pPr>
      <w:r>
        <w:rPr>
          <w:rFonts w:ascii="Arial" w:cs="Arial" w:eastAsia="Arial" w:hAnsi="Arial"/>
          <w:b/>
          <w:bCs/>
          <w:color w:val="1D4ED8"/>
          <w:sz w:val="27"/>
          <w:szCs w:val="27"/>
        </w:rPr>
        <w:t xml:space="preserve">Q8.  </w:t>
      </w:r>
      <w:r>
        <w:rPr>
          <w:rFonts w:ascii="Arial" w:cs="Arial" w:eastAsia="Arial" w:hAnsi="Arial"/>
          <w:b/>
          <w:bCs/>
          <w:color w:val="111827"/>
          <w:sz w:val="27"/>
          <w:szCs w:val="27"/>
        </w:rPr>
        <w:t xml:space="preserve">Is the Hybrid Approach Beneficial? Proved by Results.</w:t>
      </w:r>
    </w:p>
    <w:p>
      <w:pPr>
        <w:spacing w:after="100" w:before="60" w:line="300"/>
        <w:jc w:val="both"/>
      </w:pPr>
      <w:r>
        <w:rPr>
          <w:rFonts w:ascii="Arial" w:cs="Arial" w:eastAsia="Arial" w:hAnsi="Arial"/>
          <w:color w:val="374151"/>
          <w:sz w:val="21"/>
          <w:szCs w:val="21"/>
        </w:rPr>
        <w:t xml:space="preserve">Yes — the hybrid is definitively better than either method alone. The proof is in three parts:</w:t>
      </w:r>
    </w:p>
    <w:p>
      <w:pPr>
        <w:spacing w:after="60" w:before="0"/>
      </w:pPr>
      <w:r>
        <w:rPr>
          <w:rFonts w:ascii="Arial" w:cs="Arial" w:eastAsia="Arial" w:hAnsi="Arial"/>
          <w:color w:val="374151"/>
          <w:sz w:val="21"/>
          <w:szCs w:val="21"/>
        </w:rPr>
        <w:t xml:space="preserve"/>
      </w:r>
    </w:p>
    <w:p>
      <w:pPr>
        <w:pStyle w:val="Heading3"/>
        <w:spacing w:after="60" w:before="140"/>
      </w:pPr>
      <w:r>
        <w:rPr>
          <w:rFonts w:ascii="Arial" w:cs="Arial" w:eastAsia="Arial" w:hAnsi="Arial"/>
          <w:b/>
          <w:bCs/>
          <w:color w:val="111827"/>
          <w:sz w:val="21"/>
          <w:szCs w:val="21"/>
        </w:rPr>
        <w:t xml:space="preserve">1. Quantitative improvement</w:t>
      </w:r>
    </w:p>
    <w:p>
      <w:pPr>
        <w:pStyle w:val="ListParagraph"/>
        <w:numPr>
          <w:ilvl w:val="0"/>
          <w:numId w:val="2"/>
        </w:numPr>
        <w:spacing w:after="60" w:before="50"/>
      </w:pPr>
      <w:r>
        <w:rPr>
          <w:rFonts w:ascii="Arial" w:cs="Arial" w:eastAsia="Arial" w:hAnsi="Arial"/>
          <w:b/>
          <w:bCs/>
          <w:color w:val="111827"/>
          <w:sz w:val="21"/>
          <w:szCs w:val="21"/>
        </w:rPr>
        <w:t xml:space="preserve">+19.5% F1 over pure AR: </w:t>
      </w:r>
      <w:r>
        <w:rPr>
          <w:rFonts w:ascii="Arial" w:cs="Arial" w:eastAsia="Arial" w:hAnsi="Arial"/>
          <w:color w:val="374151"/>
          <w:sz w:val="21"/>
          <w:szCs w:val="21"/>
        </w:rPr>
        <w:t xml:space="preserve">0.0337 vs. 0.0282.</w:t>
      </w:r>
    </w:p>
    <w:p>
      <w:pPr>
        <w:pStyle w:val="ListParagraph"/>
        <w:numPr>
          <w:ilvl w:val="0"/>
          <w:numId w:val="2"/>
        </w:numPr>
        <w:spacing w:after="60" w:before="50"/>
      </w:pPr>
      <w:r>
        <w:rPr>
          <w:rFonts w:ascii="Arial" w:cs="Arial" w:eastAsia="Arial" w:hAnsi="Arial"/>
          <w:b/>
          <w:bCs/>
          <w:color w:val="111827"/>
          <w:sz w:val="21"/>
          <w:szCs w:val="21"/>
        </w:rPr>
        <w:t xml:space="preserve">+30.1% F1 over pure content-based: </w:t>
      </w:r>
      <w:r>
        <w:rPr>
          <w:rFonts w:ascii="Arial" w:cs="Arial" w:eastAsia="Arial" w:hAnsi="Arial"/>
          <w:color w:val="374151"/>
          <w:sz w:val="21"/>
          <w:szCs w:val="21"/>
        </w:rPr>
        <w:t xml:space="preserve">0.0337 vs. 0.0259.</w:t>
      </w:r>
    </w:p>
    <w:p>
      <w:pPr>
        <w:pStyle w:val="ListParagraph"/>
        <w:numPr>
          <w:ilvl w:val="0"/>
          <w:numId w:val="2"/>
        </w:numPr>
        <w:spacing w:after="60" w:before="50"/>
      </w:pPr>
      <w:r>
        <w:rPr>
          <w:rFonts w:ascii="Arial" w:cs="Arial" w:eastAsia="Arial" w:hAnsi="Arial"/>
          <w:b/>
          <w:bCs/>
          <w:color w:val="111827"/>
          <w:sz w:val="21"/>
          <w:szCs w:val="21"/>
        </w:rPr>
        <w:t xml:space="preserve">Every intermediate α beats both pure baselines: </w:t>
      </w:r>
      <w:r>
        <w:rPr>
          <w:rFonts w:ascii="Arial" w:cs="Arial" w:eastAsia="Arial" w:hAnsi="Arial"/>
          <w:color w:val="374151"/>
          <w:sz w:val="21"/>
          <w:szCs w:val="21"/>
        </w:rPr>
        <w:t xml:space="preserve">α = 0.5, 0.6, 0.7, 0.8, 0.9 all outperform α = 0.0 and α = 1.0 in F1. The benefit is consistent across the entire blend range — not a lucky single point.</w:t>
      </w:r>
    </w:p>
    <w:p>
      <w:pPr>
        <w:spacing w:after="60" w:before="0"/>
      </w:pPr>
      <w:r>
        <w:rPr>
          <w:rFonts w:ascii="Arial" w:cs="Arial" w:eastAsia="Arial" w:hAnsi="Arial"/>
          <w:color w:val="374151"/>
          <w:sz w:val="21"/>
          <w:szCs w:val="21"/>
        </w:rPr>
        <w:t xml:space="preserve"/>
      </w:r>
    </w:p>
    <w:p>
      <w:pPr>
        <w:pStyle w:val="Heading3"/>
        <w:spacing w:after="60" w:before="140"/>
      </w:pPr>
      <w:r>
        <w:rPr>
          <w:rFonts w:ascii="Arial" w:cs="Arial" w:eastAsia="Arial" w:hAnsi="Arial"/>
          <w:b/>
          <w:bCs/>
          <w:color w:val="111827"/>
          <w:sz w:val="21"/>
          <w:szCs w:val="21"/>
        </w:rPr>
        <w:t xml:space="preserve">2. Cold-start rescue</w:t>
      </w:r>
    </w:p>
    <w:p>
      <w:pPr>
        <w:spacing w:after="100" w:before="60" w:line="300"/>
        <w:jc w:val="both"/>
      </w:pPr>
      <w:r>
        <w:rPr>
          <w:rFonts w:ascii="Arial" w:cs="Arial" w:eastAsia="Arial" w:hAnsi="Arial"/>
          <w:color w:val="374151"/>
          <w:sz w:val="21"/>
          <w:szCs w:val="21"/>
        </w:rPr>
        <w:t xml:space="preserve">Customer 13085 (Output 1 below) has a purchase history that fires no AR rules. Pure AR produces zero recommendations. The hybrid's content component surfaces five relevant products. This scenario applies to a significant fraction of evaluated customers — without the content component, they receive nothing.</w:t>
      </w:r>
    </w:p>
    <w:p>
      <w:pPr>
        <w:spacing w:after="60" w:before="0"/>
      </w:pPr>
      <w:r>
        <w:rPr>
          <w:rFonts w:ascii="Arial" w:cs="Arial" w:eastAsia="Arial" w:hAnsi="Arial"/>
          <w:color w:val="374151"/>
          <w:sz w:val="21"/>
          <w:szCs w:val="21"/>
        </w:rPr>
        <w:t xml:space="preserve"/>
      </w:r>
    </w:p>
    <w:p>
      <w:pPr>
        <w:pStyle w:val="Heading3"/>
        <w:spacing w:after="60" w:before="140"/>
      </w:pPr>
      <w:r>
        <w:rPr>
          <w:rFonts w:ascii="Arial" w:cs="Arial" w:eastAsia="Arial" w:hAnsi="Arial"/>
          <w:b/>
          <w:bCs/>
          <w:color w:val="111827"/>
          <w:sz w:val="21"/>
          <w:szCs w:val="21"/>
        </w:rPr>
        <w:t xml:space="preserve">3. Convergence confidence</w:t>
      </w:r>
    </w:p>
    <w:p>
      <w:pPr>
        <w:spacing w:after="100" w:before="60" w:line="300"/>
        <w:jc w:val="both"/>
      </w:pPr>
      <w:r>
        <w:rPr>
          <w:rFonts w:ascii="Arial" w:cs="Arial" w:eastAsia="Arial" w:hAnsi="Arial"/>
          <w:color w:val="374151"/>
          <w:sz w:val="21"/>
          <w:szCs w:val="21"/>
        </w:rPr>
        <w:t xml:space="preserve">When both components independently agree on a candidate — as seen in Output 3 (Customer 17850) where JUMBO BAG RED WHITE SPOTTY has both AR_Score = 0.669 and Content_Score = 0.603 — the hybrid score reflects genuinely elevated confidence from two independent signals pointing at the same item.</w:t>
      </w:r>
    </w:p>
    <w:p>
      <w:pPr>
        <w:spacing w:after="80" w:before="0"/>
      </w:pPr>
      <w:r>
        <w:rPr>
          <w:rFonts w:ascii="Arial" w:cs="Arial" w:eastAsia="Arial" w:hAnsi="Arial"/>
          <w:color w:val="374151"/>
          <w:sz w:val="21"/>
          <w:szCs w:val="21"/>
        </w:rPr>
        <w:t xml:space="preserve"/>
      </w:r>
    </w:p>
    <w:p>
      <w:pPr>
        <w:pStyle w:val="Heading1"/>
        <w:pBdr>
          <w:bottom w:val="single" w:color="2563EB" w:sz="6" w:space="4"/>
        </w:pBdr>
        <w:spacing w:after="60" w:before="360"/>
      </w:pPr>
      <w:r>
        <w:rPr>
          <w:rFonts w:ascii="Arial" w:cs="Arial" w:eastAsia="Arial" w:hAnsi="Arial"/>
          <w:b/>
          <w:bCs/>
          <w:color w:val="1D4ED8"/>
          <w:sz w:val="27"/>
          <w:szCs w:val="27"/>
        </w:rPr>
        <w:t xml:space="preserve">Q9.  </w:t>
      </w:r>
      <w:r>
        <w:rPr>
          <w:rFonts w:ascii="Arial" w:cs="Arial" w:eastAsia="Arial" w:hAnsi="Arial"/>
          <w:b/>
          <w:bCs/>
          <w:color w:val="111827"/>
          <w:sz w:val="27"/>
          <w:szCs w:val="27"/>
        </w:rPr>
        <w:t xml:space="preserve">Sample Recommendation Outputs</w:t>
      </w:r>
    </w:p>
    <w:p>
      <w:pPr>
        <w:spacing w:after="100" w:before="60" w:line="300"/>
        <w:jc w:val="both"/>
      </w:pPr>
      <w:r>
        <w:rPr>
          <w:rFonts w:ascii="Arial" w:cs="Arial" w:eastAsia="Arial" w:hAnsi="Arial"/>
          <w:color w:val="374151"/>
          <w:sz w:val="21"/>
          <w:szCs w:val="21"/>
        </w:rPr>
        <w:t xml:space="preserve">The following screenshots are taken directly from the running system. All three use α = 0.9 and k = 5, showing the hybrid in action across different customer profiles.</w:t>
      </w:r>
    </w:p>
    <w:p>
      <w:pPr>
        <w:spacing w:after="80" w:before="0"/>
      </w:pPr>
      <w:r>
        <w:rPr>
          <w:rFonts w:ascii="Arial" w:cs="Arial" w:eastAsia="Arial" w:hAnsi="Arial"/>
          <w:color w:val="374151"/>
          <w:sz w:val="21"/>
          <w:szCs w:val="21"/>
        </w:rPr>
        <w:t xml:space="preserve"/>
      </w:r>
    </w:p>
    <w:p>
      <w:pPr>
        <w:pStyle w:val="Heading2"/>
        <w:spacing w:after="80" w:before="200"/>
      </w:pPr>
      <w:r>
        <w:rPr>
          <w:rFonts w:ascii="Arial" w:cs="Arial" w:eastAsia="Arial" w:hAnsi="Arial"/>
          <w:b/>
          <w:bCs/>
          <w:color w:val="1D4ED8"/>
          <w:sz w:val="22"/>
          <w:szCs w:val="22"/>
        </w:rPr>
        <w:t xml:space="preserve">Output 1 — Customer 13085  (α = 0.9, k = 5)</w:t>
      </w:r>
    </w:p>
    <w:p>
      <w:pPr>
        <w:spacing w:after="100" w:before="60" w:line="300"/>
        <w:jc w:val="both"/>
      </w:pPr>
      <w:r>
        <w:rPr>
          <w:rFonts w:ascii="Arial" w:cs="Arial" w:eastAsia="Arial" w:hAnsi="Arial"/>
          <w:color w:val="374151"/>
          <w:sz w:val="21"/>
          <w:szCs w:val="21"/>
        </w:rPr>
        <w:t xml:space="preserve">Customer 13085's recommendations are dominated by AR when rules fire, but the last result (PINK CAT BOWL, AR_Score = 0) shows the content component stepping in. The top recommendation POPPY'S PLAYHOUSE BATHROOM has both a strong AR signal (0.734) and content support (0.745), confirming convergence between both components.</w:t>
      </w:r>
    </w:p>
    <w:p>
      <w:pPr>
        <w:spacing w:after="60" w:before="0"/>
      </w:pPr>
      <w:r>
        <w:rPr>
          <w:rFonts w:ascii="Arial" w:cs="Arial" w:eastAsia="Arial" w:hAnsi="Arial"/>
          <w:color w:val="374151"/>
          <w:sz w:val="21"/>
          <w:szCs w:val="21"/>
        </w:rPr>
        <w:t xml:space="preserve"/>
      </w:r>
    </w:p>
    <w:p>
      <w:pPr>
        <w:spacing w:after="0" w:before="100"/>
      </w:pPr>
      <w:r>
        <w:rPr>
          <w:rFonts w:ascii="Arial" w:cs="Arial" w:eastAsia="Arial" w:hAnsi="Arial"/>
          <w:b/>
          <w:bCs/>
          <w:color w:val="6B7280"/>
          <w:sz w:val="18"/>
          <w:szCs w:val="18"/>
        </w:rPr>
        <w:t xml:space="preserve">Figure 1 — Customer 13085, α = 0.9</w:t>
      </w:r>
    </w:p>
    <w:p>
      <w:pPr>
        <w:spacing w:after="120" w:before="0"/>
      </w:pPr>
      <w:r>
        <w:drawing>
          <wp:inline distT="0" distB="0" distL="0" distR="0">
            <wp:extent cx="5905500" cy="1143000"/>
            <wp:effectExtent t="0" r="0" b="0" l="0"/>
            <wp:docPr id="1" name="Figure 1 — Customer 13085, α = 0.9" descr="Figure 1 — Customer 13085, α = 0.9" title="Figure 1 — Customer 13085, α = 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143000"/>
                    </a:xfrm>
                    <a:prstGeom prst="rect">
                      <a:avLst/>
                    </a:prstGeom>
                  </pic:spPr>
                </pic:pic>
              </a:graphicData>
            </a:graphic>
          </wp:inline>
        </w:drawing>
      </w:r>
    </w:p>
    <w:p>
      <w:pPr>
        <w:spacing w:after="80" w:before="0"/>
      </w:pPr>
      <w:r>
        <w:rPr>
          <w:rFonts w:ascii="Arial" w:cs="Arial" w:eastAsia="Arial" w:hAnsi="Arial"/>
          <w:color w:val="374151"/>
          <w:sz w:val="21"/>
          <w:szCs w:val="21"/>
        </w:rPr>
        <w:t xml:space="preserve"/>
      </w:r>
    </w:p>
    <w:p>
      <w:pPr>
        <w:pStyle w:val="Heading2"/>
        <w:spacing w:after="80" w:before="200"/>
      </w:pPr>
      <w:r>
        <w:rPr>
          <w:rFonts w:ascii="Arial" w:cs="Arial" w:eastAsia="Arial" w:hAnsi="Arial"/>
          <w:b/>
          <w:bCs/>
          <w:color w:val="1D4ED8"/>
          <w:sz w:val="22"/>
          <w:szCs w:val="22"/>
        </w:rPr>
        <w:t xml:space="preserve">Output 2 — Customer 15311  (α = 0.9, k = 5)</w:t>
      </w:r>
    </w:p>
    <w:p>
      <w:pPr>
        <w:spacing w:after="100" w:before="60" w:line="300"/>
        <w:jc w:val="both"/>
      </w:pPr>
      <w:r>
        <w:rPr>
          <w:rFonts w:ascii="Arial" w:cs="Arial" w:eastAsia="Arial" w:hAnsi="Arial"/>
          <w:color w:val="374151"/>
          <w:sz w:val="21"/>
          <w:szCs w:val="21"/>
        </w:rPr>
        <w:t xml:space="preserve">Customer 15311 shows a clear AR-dominant pattern — all top recommendations have strong AR scores (0.775–0.887). The content scores are also high (0.677–0.912), meaning both signals strongly agree on children's garden tools and Poppy's Playhouse items. This is a high-confidence, converged recommendation list.</w:t>
      </w:r>
    </w:p>
    <w:p>
      <w:pPr>
        <w:spacing w:after="60" w:before="0"/>
      </w:pPr>
      <w:r>
        <w:rPr>
          <w:rFonts w:ascii="Arial" w:cs="Arial" w:eastAsia="Arial" w:hAnsi="Arial"/>
          <w:color w:val="374151"/>
          <w:sz w:val="21"/>
          <w:szCs w:val="21"/>
        </w:rPr>
        <w:t xml:space="preserve"/>
      </w:r>
    </w:p>
    <w:p>
      <w:pPr>
        <w:spacing w:after="0" w:before="100"/>
      </w:pPr>
      <w:r>
        <w:rPr>
          <w:rFonts w:ascii="Arial" w:cs="Arial" w:eastAsia="Arial" w:hAnsi="Arial"/>
          <w:b/>
          <w:bCs/>
          <w:color w:val="6B7280"/>
          <w:sz w:val="18"/>
          <w:szCs w:val="18"/>
        </w:rPr>
        <w:t xml:space="preserve">Figure 2 — Customer 15311, α = 0.9</w:t>
      </w:r>
    </w:p>
    <w:p>
      <w:pPr>
        <w:spacing w:after="120" w:before="0"/>
      </w:pPr>
      <w:r>
        <w:drawing>
          <wp:inline distT="0" distB="0" distL="0" distR="0">
            <wp:extent cx="5905500" cy="1143000"/>
            <wp:effectExtent t="0" r="0" b="0" l="0"/>
            <wp:docPr id="1" name="Figure 2 — Customer 15311, α = 0.9" descr="Figure 2 — Customer 15311, α = 0.9" title="Figure 2 — Customer 15311, α = 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143000"/>
                    </a:xfrm>
                    <a:prstGeom prst="rect">
                      <a:avLst/>
                    </a:prstGeom>
                  </pic:spPr>
                </pic:pic>
              </a:graphicData>
            </a:graphic>
          </wp:inline>
        </w:drawing>
      </w:r>
    </w:p>
    <w:p>
      <w:pPr>
        <w:spacing w:after="80" w:before="0"/>
      </w:pPr>
      <w:r>
        <w:rPr>
          <w:rFonts w:ascii="Arial" w:cs="Arial" w:eastAsia="Arial" w:hAnsi="Arial"/>
          <w:color w:val="374151"/>
          <w:sz w:val="21"/>
          <w:szCs w:val="21"/>
        </w:rPr>
        <w:t xml:space="preserve"/>
      </w:r>
    </w:p>
    <w:p>
      <w:pPr>
        <w:pStyle w:val="Heading2"/>
        <w:spacing w:after="80" w:before="200"/>
      </w:pPr>
      <w:r>
        <w:rPr>
          <w:rFonts w:ascii="Arial" w:cs="Arial" w:eastAsia="Arial" w:hAnsi="Arial"/>
          <w:b/>
          <w:bCs/>
          <w:color w:val="1D4ED8"/>
          <w:sz w:val="22"/>
          <w:szCs w:val="22"/>
        </w:rPr>
        <w:t xml:space="preserve">Output 3 — Customer 17850  (α = 0.9, k = 5)</w:t>
      </w:r>
    </w:p>
    <w:p>
      <w:pPr>
        <w:spacing w:after="100" w:before="60" w:line="300"/>
        <w:jc w:val="both"/>
      </w:pPr>
      <w:r>
        <w:rPr>
          <w:rFonts w:ascii="Arial" w:cs="Arial" w:eastAsia="Arial" w:hAnsi="Arial"/>
          <w:color w:val="374151"/>
          <w:sz w:val="21"/>
          <w:szCs w:val="21"/>
        </w:rPr>
        <w:t xml:space="preserve">Customer 17850 receives a coherent set of RETROSPOT bag and lunch-related items. All recommendations have both AR and content scores active, demonstrating the hybrid working in full: every item is supported by co-purchase behaviour (AR) and description similarity (content), giving the highest-quality recommendations of the three outputs.</w:t>
      </w:r>
    </w:p>
    <w:p>
      <w:pPr>
        <w:spacing w:after="60" w:before="0"/>
      </w:pPr>
      <w:r>
        <w:rPr>
          <w:rFonts w:ascii="Arial" w:cs="Arial" w:eastAsia="Arial" w:hAnsi="Arial"/>
          <w:color w:val="374151"/>
          <w:sz w:val="21"/>
          <w:szCs w:val="21"/>
        </w:rPr>
        <w:t xml:space="preserve"/>
      </w:r>
    </w:p>
    <w:p>
      <w:pPr>
        <w:spacing w:after="0" w:before="100"/>
      </w:pPr>
      <w:r>
        <w:rPr>
          <w:rFonts w:ascii="Arial" w:cs="Arial" w:eastAsia="Arial" w:hAnsi="Arial"/>
          <w:b/>
          <w:bCs/>
          <w:color w:val="6B7280"/>
          <w:sz w:val="18"/>
          <w:szCs w:val="18"/>
        </w:rPr>
        <w:t xml:space="preserve">Figure 3 — Customer 17850, α = 0.9</w:t>
      </w:r>
    </w:p>
    <w:p>
      <w:pPr>
        <w:spacing w:after="120" w:before="0"/>
      </w:pPr>
      <w:r>
        <w:drawing>
          <wp:inline distT="0" distB="0" distL="0" distR="0">
            <wp:extent cx="5905500" cy="1143000"/>
            <wp:effectExtent t="0" r="0" b="0" l="0"/>
            <wp:docPr id="1" name="Figure 3 — Customer 17850, α = 0.9" descr="Figure 3 — Customer 17850, α = 0.9" title="Figure 3 — Customer 17850, α = 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143000"/>
                    </a:xfrm>
                    <a:prstGeom prst="rect">
                      <a:avLst/>
                    </a:prstGeom>
                  </pic:spPr>
                </pic:pic>
              </a:graphicData>
            </a:graphic>
          </wp:inline>
        </w:drawing>
      </w:r>
    </w:p>
    <w:p>
      <w:pPr>
        <w:spacing w:after="200" w:before="0"/>
      </w:pPr>
      <w:r>
        <w:rPr>
          <w:rFonts w:ascii="Arial" w:cs="Arial" w:eastAsia="Arial" w:hAnsi="Arial"/>
          <w:color w:val="374151"/>
          <w:sz w:val="21"/>
          <w:szCs w:val="21"/>
        </w:rPr>
        <w:t xml:space="preserve"/>
      </w:r>
    </w:p>
    <w:p>
      <w:pPr>
        <w:pBdr>
          <w:top w:val="single" w:color="E5E7EB" w:sz="6" w:space="6"/>
        </w:pBdr>
        <w:spacing w:after="0" w:before="0"/>
        <w:jc w:val="center"/>
      </w:pPr>
      <w:r>
        <w:rPr>
          <w:rFonts w:ascii="Arial" w:cs="Arial" w:eastAsia="Arial" w:hAnsi="Arial"/>
          <w:color w:val="6B7280"/>
          <w:sz w:val="18"/>
          <w:szCs w:val="18"/>
        </w:rPr>
        <w:t xml:space="preserve">SIS317 – Assignment 1  |  Hybrid Recommender System</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after="0" w:before="60"/>
      <w:jc w:val="center"/>
    </w:pPr>
    <w:r>
      <w:rPr>
        <w:rFonts w:ascii="Arial" w:cs="Arial" w:eastAsia="Arial" w:hAnsi="Arial"/>
        <w:color w:val="6B7280"/>
        <w:sz w:val="17"/>
        <w:szCs w:val="17"/>
      </w:rPr>
      <w:t xml:space="preserve">Page </w:t>
    </w:r>
    <w:r>
      <w:rPr>
        <w:rFonts w:ascii="Arial" w:cs="Arial" w:eastAsia="Arial" w:hAnsi="Arial"/>
        <w:color w:val="6B7280"/>
        <w:sz w:val="17"/>
        <w:szCs w:val="17"/>
      </w:rPr>
      <w:fldChar w:fldCharType="begin"/>
      <w:instrText xml:space="preserve">PAGE</w:instrText>
      <w:fldChar w:fldCharType="separate"/>
      <w:fldChar w:fldCharType="end"/>
    </w:r>
    <w:r>
      <w:rPr>
        <w:rFonts w:ascii="Arial" w:cs="Arial" w:eastAsia="Arial" w:hAnsi="Arial"/>
        <w:color w:val="6B7280"/>
        <w:sz w:val="17"/>
        <w:szCs w:val="17"/>
      </w:rPr>
      <w:t xml:space="preserve"> of </w:t>
    </w:r>
    <w:r>
      <w:rPr>
        <w:rFonts w:ascii="Arial" w:cs="Arial" w:eastAsia="Arial" w:hAnsi="Arial"/>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026"/>
      </w:tabs>
      <w:spacing w:after="60" w:before="0"/>
    </w:pPr>
    <w:r>
      <w:rPr>
        <w:rFonts w:ascii="Arial" w:cs="Arial" w:eastAsia="Arial" w:hAnsi="Arial"/>
        <w:b/>
        <w:bCs/>
        <w:color w:val="1D4ED8"/>
        <w:sz w:val="17"/>
        <w:szCs w:val="17"/>
      </w:rPr>
      <w:t xml:space="preserve">Hybrid Recommender System</w:t>
    </w:r>
    <w:r>
      <w:rPr>
        <w:rFonts w:ascii="Arial" w:cs="Arial" w:eastAsia="Arial" w:hAnsi="Arial"/>
        <w:color w:val="6B7280"/>
        <w:sz w:val="17"/>
        <w:szCs w:val="17"/>
      </w:rPr>
      <w:t xml:space="preserve">	SIS317 — Data Mining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360"/>
      <w:outlineLvl w:val="0"/>
    </w:pPr>
    <w:rPr>
      <w:rFonts w:ascii="Arial" w:cs="Arial" w:eastAsia="Arial" w:hAnsi="Arial"/>
      <w:b/>
      <w:bCs/>
      <w:color w:val="111827"/>
      <w:sz w:val="27"/>
      <w:szCs w:val="27"/>
    </w:rPr>
  </w:style>
  <w:style w:type="paragraph" w:styleId="Heading2">
    <w:name w:val="Heading 2"/>
    <w:basedOn w:val="Normal"/>
    <w:next w:val="Normal"/>
    <w:qFormat/>
    <w:pPr>
      <w:spacing w:after="80" w:before="200"/>
      <w:outlineLvl w:val="1"/>
    </w:pPr>
    <w:rPr>
      <w:rFonts w:ascii="Arial" w:cs="Arial" w:eastAsia="Arial" w:hAnsi="Arial"/>
      <w:b/>
      <w:bCs/>
      <w:color w:val="1D4ED8"/>
      <w:sz w:val="22"/>
      <w:szCs w:val="22"/>
    </w:rPr>
  </w:style>
  <w:style w:type="paragraph" w:styleId="Heading3">
    <w:name w:val="Heading 3"/>
    <w:basedOn w:val="Normal"/>
    <w:next w:val="Normal"/>
    <w:qFormat/>
    <w:pPr>
      <w:spacing w:after="60" w:before="140"/>
      <w:outlineLvl w:val="2"/>
    </w:pPr>
    <w:rPr>
      <w:rFonts w:ascii="Arial" w:cs="Arial" w:eastAsia="Arial" w:hAnsi="Arial"/>
      <w:b/>
      <w:bCs/>
      <w:color w:val="11182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b6b7984490fa48dc71690f37be38086a645fb88.png"/><Relationship Id="rId10" Type="http://schemas.openxmlformats.org/officeDocument/2006/relationships/image" Target="media/f43710c0d6831ba59dd17f447c6b276e92efbfec.png"/><Relationship Id="rId11" Type="http://schemas.openxmlformats.org/officeDocument/2006/relationships/image" Target="media/4969e40f3ecb24dfdcfda1c97a06eeedd7579f8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2026-04-29T20:31:20.449Z</dcterms:created>
  <dcterms:modified xsi:type="dcterms:W3CDTF">2026-04-29T20:31:20.449Z</dcterms:modified>
</cp:coreProperties>
</file>

<file path=docProps/custom.xml><?xml version="1.0" encoding="utf-8"?>
<Properties xmlns="http://schemas.openxmlformats.org/officeDocument/2006/custom-properties" xmlns:vt="http://schemas.openxmlformats.org/officeDocument/2006/docPropsVTypes"/>
</file>