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360"/>
        <w:jc w:val="center"/>
      </w:pPr>
      <w:r>
        <w:rPr>
          <w:rFonts w:ascii="Calibri" w:eastAsia="SimSun"/>
          <w:b/>
          <w:bCs/>
          <w:color w:val="000000"/>
          <w:sz w:val="36"/>
          <w:szCs w:val="36"/>
        </w:rPr>
        <w:t xml:space="preserve">Vocabulary Lists</w:t>
      </w:r>
    </w:p>
    <w:p>
      <w:pPr>
        <w:spacing w:after="40" w:before="0" w:line="360"/>
        <w:jc w:val="center"/>
      </w:pPr>
      <w:r>
        <w:rPr>
          <w:rFonts w:ascii="Times New Roman" w:eastAsia="SimSun"/>
          <w:color w:val="555555"/>
          <w:sz w:val="22"/>
          <w:szCs w:val="22"/>
        </w:rPr>
        <w:t xml:space="preserve">Jordanian ESL Learner Series</w:t>
      </w:r>
    </w:p>
    <w:p>
      <w:pPr>
        <w:spacing w:after="100" w:before="0" w:line="360"/>
        <w:jc w:val="center"/>
      </w:pPr>
      <w:r>
        <w:rPr>
          <w:rFonts w:ascii="Times New Roman" w:eastAsia="SimSun"/>
          <w:color w:val="888888"/>
          <w:sz w:val="18"/>
          <w:szCs w:val="18"/>
        </w:rPr>
        <w:t xml:space="preserve">Levels: A1  •  B2  •  C2  |  10 Words per Level  |  30 Words Total</w:t>
      </w:r>
    </w:p>
    <w:p>
      <w:pPr>
        <w:spacing w:after="200" w:before="60" w:line="360"/>
        <w:jc w:val="center"/>
      </w:pPr>
      <w:r>
        <w:rPr>
          <w:rFonts w:ascii="Times New Roman" w:eastAsia="SimSun"/>
          <w:color w:val="666666"/>
          <w:sz w:val="18"/>
          <w:szCs w:val="18"/>
        </w:rPr>
        <w:t xml:space="preserve">Each word includes its Arabic translation and a culturally relevant example sentence. Practice using each word in your own sentences.</w:t>
      </w:r>
    </w:p>
    <w:p>
      <w:pPr>
        <w:spacing w:after="60" w:before="200" w:line="360"/>
        <w:jc w:val="left"/>
      </w:pPr>
      <w:r>
        <w:rPr>
          <w:rFonts w:ascii="Calibri" w:eastAsia="SimSun"/>
          <w:b/>
          <w:bCs/>
          <w:color w:val="1B5E20"/>
          <w:sz w:val="20"/>
          <w:szCs w:val="20"/>
        </w:rPr>
        <w:t xml:space="preserve">CEFR A1  —  Beginner</w:t>
      </w:r>
    </w:p>
    <w:p>
      <w:pPr>
        <w:spacing w:after="40" w:before="60" w:line="360" w:lineRule="atLeast"/>
        <w:jc w:val="left"/>
      </w:pPr>
      <w:r>
        <w:rPr>
          <w:rFonts w:ascii="Calibri" w:eastAsia="SimSun"/>
          <w:b/>
          <w:bCs/>
          <w:color w:val="000000"/>
          <w:sz w:val="32"/>
          <w:szCs w:val="32"/>
        </w:rPr>
        <w:t xml:space="preserve">Essential Words for Daily Life</w:t>
      </w:r>
    </w:p>
    <w:p>
      <w:pPr>
        <w:spacing w:after="60" w:before="0" w:line="360"/>
        <w:jc w:val="left"/>
      </w:pPr>
      <w:r>
        <w:rPr>
          <w:rFonts w:ascii="Times New Roman" w:eastAsia="SimSun"/>
          <w:i/>
          <w:iCs/>
          <w:color w:val="555555"/>
          <w:sz w:val="20"/>
          <w:szCs w:val="20"/>
        </w:rPr>
        <w:t xml:space="preserve">Basic Family Members, Household Items, and Islamic Greetings</w:t>
      </w:r>
    </w:p>
    <w:p>
      <w:pPr>
        <w:spacing w:after="200" w:before="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4800"/>
      </w:tblGrid>
      <w:tr>
        <w:trPr>
          <w:cantSplit/>
          <w:tblHeader/>
        </w:trPr>
        <w:tc>
          <w:tcPr>
            <w:tcW w:type="pct" w:w="6%"/>
            <w:tcBorders>
              <w:top w:val="single" w:color="A5D6A7" w:sz="1"/>
              <w:left w:val="single" w:color="A5D6A7" w:sz="1"/>
              <w:bottom w:val="single" w:color="A5D6A7" w:sz="1"/>
              <w:right w:val="single" w:color="A5D6A7" w:sz="1"/>
            </w:tcBorders>
            <w:shd w:fill="E8F5E9" w:val="clear"/>
            <w:tcMar>
              <w:top w:type="dxa" w:w="60"/>
              <w:left w:type="dxa" w:w="100"/>
              <w:bottom w:type="dxa" w:w="60"/>
              <w:right w:type="dxa" w:w="100"/>
            </w:tcMar>
          </w:tcPr>
          <w:p>
            <w:pPr>
              <w:spacing w:after="0" w:before="0" w:line="360"/>
              <w:jc w:val="center"/>
            </w:pPr>
            <w:r>
              <w:rPr>
                <w:rFonts w:ascii="Calibri" w:eastAsia="SimSun"/>
                <w:b/>
                <w:bCs/>
                <w:color w:val="1B5E20"/>
                <w:sz w:val="20"/>
                <w:szCs w:val="20"/>
              </w:rPr>
              <w:t xml:space="preserve">#</w:t>
            </w:r>
          </w:p>
        </w:tc>
        <w:tc>
          <w:tcPr>
            <w:tcW w:type="pct" w:w="22%"/>
            <w:tcBorders>
              <w:top w:val="single" w:color="A5D6A7" w:sz="1"/>
              <w:left w:val="single" w:color="A5D6A7" w:sz="1"/>
              <w:bottom w:val="single" w:color="A5D6A7" w:sz="1"/>
              <w:right w:val="single" w:color="A5D6A7" w:sz="1"/>
            </w:tcBorders>
            <w:shd w:fill="E8F5E9" w:val="clear"/>
            <w:tcMar>
              <w:top w:type="dxa" w:w="60"/>
              <w:left w:type="dxa" w:w="100"/>
              <w:bottom w:type="dxa" w:w="60"/>
              <w:right w:type="dxa" w:w="100"/>
            </w:tcMar>
          </w:tcPr>
          <w:p>
            <w:pPr>
              <w:spacing w:after="0" w:before="0" w:line="360"/>
              <w:jc w:val="center"/>
            </w:pPr>
            <w:r>
              <w:rPr>
                <w:rFonts w:ascii="Calibri" w:eastAsia="SimSun"/>
                <w:b/>
                <w:bCs/>
                <w:color w:val="1B5E20"/>
                <w:sz w:val="20"/>
                <w:szCs w:val="20"/>
              </w:rPr>
              <w:t xml:space="preserve">Word</w:t>
            </w:r>
          </w:p>
        </w:tc>
        <w:tc>
          <w:tcPr>
            <w:tcW w:type="pct" w:w="24%"/>
            <w:tcBorders>
              <w:top w:val="single" w:color="A5D6A7" w:sz="1"/>
              <w:left w:val="single" w:color="A5D6A7" w:sz="1"/>
              <w:bottom w:val="single" w:color="A5D6A7" w:sz="1"/>
              <w:right w:val="single" w:color="A5D6A7" w:sz="1"/>
            </w:tcBorders>
            <w:shd w:fill="E8F5E9" w:val="clear"/>
            <w:tcMar>
              <w:top w:type="dxa" w:w="60"/>
              <w:left w:type="dxa" w:w="100"/>
              <w:bottom w:type="dxa" w:w="60"/>
              <w:right w:type="dxa" w:w="100"/>
            </w:tcMar>
          </w:tcPr>
          <w:p>
            <w:pPr>
              <w:spacing w:after="0" w:before="0" w:line="360"/>
              <w:jc w:val="center"/>
            </w:pPr>
            <w:r>
              <w:rPr>
                <w:rFonts w:ascii="Calibri" w:eastAsia="SimSun"/>
                <w:b/>
                <w:bCs/>
                <w:color w:val="1B5E20"/>
                <w:sz w:val="20"/>
                <w:szCs w:val="20"/>
              </w:rPr>
              <w:t xml:space="preserve">Arabic</w:t>
            </w:r>
          </w:p>
        </w:tc>
        <w:tc>
          <w:tcPr>
            <w:tcW w:type="pct" w:w="48%"/>
            <w:tcBorders>
              <w:top w:val="single" w:color="A5D6A7" w:sz="1"/>
              <w:left w:val="single" w:color="A5D6A7" w:sz="1"/>
              <w:bottom w:val="single" w:color="A5D6A7" w:sz="1"/>
              <w:right w:val="single" w:color="A5D6A7" w:sz="1"/>
            </w:tcBorders>
            <w:shd w:fill="E8F5E9" w:val="clear"/>
            <w:tcMar>
              <w:top w:type="dxa" w:w="60"/>
              <w:left w:type="dxa" w:w="100"/>
              <w:bottom w:type="dxa" w:w="60"/>
              <w:right w:type="dxa" w:w="100"/>
            </w:tcMar>
          </w:tcPr>
          <w:p>
            <w:pPr>
              <w:spacing w:after="0" w:before="0" w:line="360"/>
              <w:jc w:val="left"/>
            </w:pPr>
            <w:r>
              <w:rPr>
                <w:rFonts w:ascii="Calibri" w:eastAsia="SimSun"/>
                <w:b/>
                <w:bCs/>
                <w:color w:val="1B5E20"/>
                <w:sz w:val="20"/>
                <w:szCs w:val="20"/>
              </w:rPr>
              <w:t xml:space="preserve">Example Sentence</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1</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B5E20"/>
                <w:sz w:val="21"/>
                <w:szCs w:val="21"/>
              </w:rPr>
              <w:t xml:space="preserve">mother</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أمّ (umm)</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My mother prepares Arabic coffee every morning for the whole family before breakfast.</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2</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B5E20"/>
                <w:sz w:val="21"/>
                <w:szCs w:val="21"/>
              </w:rPr>
              <w:t xml:space="preserve">father</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أب (abb)</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My father takes us to the mosque every Friday for Jummah prayer.</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3</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B5E20"/>
                <w:sz w:val="21"/>
                <w:szCs w:val="21"/>
              </w:rPr>
              <w:t xml:space="preserve">grandmother</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جدّة (jaddah)</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My grandmother tells us beautiful stories about our family’s olive trees in Palestine.</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4</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B5E20"/>
                <w:sz w:val="21"/>
                <w:szCs w:val="21"/>
              </w:rPr>
              <w:t xml:space="preserve">brother</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أخ (akh)</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My brother helps me with my English homework every evening after school.</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5</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B5E20"/>
                <w:sz w:val="21"/>
                <w:szCs w:val="21"/>
              </w:rPr>
              <w:t xml:space="preserve">sister</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أخت (ukht)</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My sister and I share a bedroom in our small apartment in Amman.</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6</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B5E20"/>
                <w:sz w:val="21"/>
                <w:szCs w:val="21"/>
              </w:rPr>
              <w:t xml:space="preserve">kitchen</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مطبخ (matbakh)</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The kitchen always smells wonderful when my mother cooks mansaf on Fridays.</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7</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B5E20"/>
                <w:sz w:val="21"/>
                <w:szCs w:val="21"/>
              </w:rPr>
              <w:t xml:space="preserve">prayer mat</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سجادة صلاة (sajadah salah)</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My grandfather prays on his prayer mat five times a day, even at his age.</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8</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B5E20"/>
                <w:sz w:val="21"/>
                <w:szCs w:val="21"/>
              </w:rPr>
              <w:t xml:space="preserve">cushion</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وسادة (wisadah)</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We sit on cushions on the floor when guests come to visit our home.</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9</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B5E20"/>
                <w:sz w:val="21"/>
                <w:szCs w:val="21"/>
              </w:rPr>
              <w:t xml:space="preserve">As-salamu alaykum</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السلام عليكم</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When we enter a room, we say ‘As-salamu alaykum’ to greet everyone with peace.</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10</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B5E20"/>
                <w:sz w:val="21"/>
                <w:szCs w:val="21"/>
              </w:rPr>
              <w:t xml:space="preserve">In sha’a Allah</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إن شاء الله</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I will visit my grandmother in Irbid next weekend, in sha’a Allah.</w:t>
            </w:r>
          </w:p>
        </w:tc>
      </w:tr>
    </w:tbl>
    <w:p>
      <w:pPr>
        <w:spacing w:after="60" w:before="500" w:line="360"/>
        <w:jc w:val="left"/>
      </w:pPr>
      <w:r>
        <w:rPr>
          <w:rFonts w:ascii="Calibri" w:eastAsia="SimSun"/>
          <w:b/>
          <w:bCs/>
          <w:color w:val="1565C0"/>
          <w:sz w:val="20"/>
          <w:szCs w:val="20"/>
        </w:rPr>
        <w:t xml:space="preserve">CEFR B2  —  Upper Intermediate</w:t>
      </w:r>
    </w:p>
    <w:p>
      <w:pPr>
        <w:spacing w:after="40" w:before="60" w:line="360" w:lineRule="atLeast"/>
        <w:jc w:val="left"/>
      </w:pPr>
      <w:r>
        <w:rPr>
          <w:rFonts w:ascii="Calibri" w:eastAsia="SimSun"/>
          <w:b/>
          <w:bCs/>
          <w:color w:val="000000"/>
          <w:sz w:val="32"/>
          <w:szCs w:val="32"/>
        </w:rPr>
        <w:t xml:space="preserve">On the Road: Technology and Safety</w:t>
      </w:r>
    </w:p>
    <w:p>
      <w:pPr>
        <w:spacing w:after="60" w:before="0" w:line="360"/>
        <w:jc w:val="left"/>
      </w:pPr>
      <w:r>
        <w:rPr>
          <w:rFonts w:ascii="Times New Roman" w:eastAsia="SimSun"/>
          <w:i/>
          <w:iCs/>
          <w:color w:val="555555"/>
          <w:sz w:val="20"/>
          <w:szCs w:val="20"/>
        </w:rPr>
        <w:t xml:space="preserve">Automotive Technology, Luxury Vehicles, and Driving Safely in the City</w:t>
      </w:r>
    </w:p>
    <w:p>
      <w:pPr>
        <w:spacing w:after="200" w:before="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4800"/>
      </w:tblGrid>
      <w:tr>
        <w:trPr>
          <w:cantSplit/>
          <w:tblHeader/>
        </w:trPr>
        <w:tc>
          <w:tcPr>
            <w:tcW w:type="pct" w:w="6%"/>
            <w:tcBorders>
              <w:top w:val="single" w:color="90CAF9" w:sz="1"/>
              <w:left w:val="single" w:color="90CAF9" w:sz="1"/>
              <w:bottom w:val="single" w:color="90CAF9" w:sz="1"/>
              <w:right w:val="single" w:color="90CAF9" w:sz="1"/>
            </w:tcBorders>
            <w:shd w:fill="E3F2FD" w:val="clear"/>
            <w:tcMar>
              <w:top w:type="dxa" w:w="60"/>
              <w:left w:type="dxa" w:w="100"/>
              <w:bottom w:type="dxa" w:w="60"/>
              <w:right w:type="dxa" w:w="100"/>
            </w:tcMar>
          </w:tcPr>
          <w:p>
            <w:pPr>
              <w:spacing w:after="0" w:before="0" w:line="360"/>
              <w:jc w:val="center"/>
            </w:pPr>
            <w:r>
              <w:rPr>
                <w:rFonts w:ascii="Calibri" w:eastAsia="SimSun"/>
                <w:b/>
                <w:bCs/>
                <w:color w:val="1565C0"/>
                <w:sz w:val="20"/>
                <w:szCs w:val="20"/>
              </w:rPr>
              <w:t xml:space="preserve">#</w:t>
            </w:r>
          </w:p>
        </w:tc>
        <w:tc>
          <w:tcPr>
            <w:tcW w:type="pct" w:w="22%"/>
            <w:tcBorders>
              <w:top w:val="single" w:color="90CAF9" w:sz="1"/>
              <w:left w:val="single" w:color="90CAF9" w:sz="1"/>
              <w:bottom w:val="single" w:color="90CAF9" w:sz="1"/>
              <w:right w:val="single" w:color="90CAF9" w:sz="1"/>
            </w:tcBorders>
            <w:shd w:fill="E3F2FD" w:val="clear"/>
            <w:tcMar>
              <w:top w:type="dxa" w:w="60"/>
              <w:left w:type="dxa" w:w="100"/>
              <w:bottom w:type="dxa" w:w="60"/>
              <w:right w:type="dxa" w:w="100"/>
            </w:tcMar>
          </w:tcPr>
          <w:p>
            <w:pPr>
              <w:spacing w:after="0" w:before="0" w:line="360"/>
              <w:jc w:val="center"/>
            </w:pPr>
            <w:r>
              <w:rPr>
                <w:rFonts w:ascii="Calibri" w:eastAsia="SimSun"/>
                <w:b/>
                <w:bCs/>
                <w:color w:val="1565C0"/>
                <w:sz w:val="20"/>
                <w:szCs w:val="20"/>
              </w:rPr>
              <w:t xml:space="preserve">Word</w:t>
            </w:r>
          </w:p>
        </w:tc>
        <w:tc>
          <w:tcPr>
            <w:tcW w:type="pct" w:w="24%"/>
            <w:tcBorders>
              <w:top w:val="single" w:color="90CAF9" w:sz="1"/>
              <w:left w:val="single" w:color="90CAF9" w:sz="1"/>
              <w:bottom w:val="single" w:color="90CAF9" w:sz="1"/>
              <w:right w:val="single" w:color="90CAF9" w:sz="1"/>
            </w:tcBorders>
            <w:shd w:fill="E3F2FD" w:val="clear"/>
            <w:tcMar>
              <w:top w:type="dxa" w:w="60"/>
              <w:left w:type="dxa" w:w="100"/>
              <w:bottom w:type="dxa" w:w="60"/>
              <w:right w:type="dxa" w:w="100"/>
            </w:tcMar>
          </w:tcPr>
          <w:p>
            <w:pPr>
              <w:spacing w:after="0" w:before="0" w:line="360"/>
              <w:jc w:val="center"/>
            </w:pPr>
            <w:r>
              <w:rPr>
                <w:rFonts w:ascii="Calibri" w:eastAsia="SimSun"/>
                <w:b/>
                <w:bCs/>
                <w:color w:val="1565C0"/>
                <w:sz w:val="20"/>
                <w:szCs w:val="20"/>
              </w:rPr>
              <w:t xml:space="preserve">Arabic</w:t>
            </w:r>
          </w:p>
        </w:tc>
        <w:tc>
          <w:tcPr>
            <w:tcW w:type="pct" w:w="48%"/>
            <w:tcBorders>
              <w:top w:val="single" w:color="90CAF9" w:sz="1"/>
              <w:left w:val="single" w:color="90CAF9" w:sz="1"/>
              <w:bottom w:val="single" w:color="90CAF9" w:sz="1"/>
              <w:right w:val="single" w:color="90CAF9" w:sz="1"/>
            </w:tcBorders>
            <w:shd w:fill="E3F2FD" w:val="clear"/>
            <w:tcMar>
              <w:top w:type="dxa" w:w="60"/>
              <w:left w:type="dxa" w:w="100"/>
              <w:bottom w:type="dxa" w:w="60"/>
              <w:right w:type="dxa" w:w="100"/>
            </w:tcMar>
          </w:tcPr>
          <w:p>
            <w:pPr>
              <w:spacing w:after="0" w:before="0" w:line="360"/>
              <w:jc w:val="left"/>
            </w:pPr>
            <w:r>
              <w:rPr>
                <w:rFonts w:ascii="Calibri" w:eastAsia="SimSun"/>
                <w:b/>
                <w:bCs/>
                <w:color w:val="1565C0"/>
                <w:sz w:val="20"/>
                <w:szCs w:val="20"/>
              </w:rPr>
              <w:t xml:space="preserve">Example Sentence</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1</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565C0"/>
                <w:sz w:val="21"/>
                <w:szCs w:val="21"/>
              </w:rPr>
              <w:t xml:space="preserve">infotainment system</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نظام المعلومات والترفيه</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The BMW 5 Series features an advanced infotainment system with navigation, voice commands, and wireless connectivity.</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2</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565C0"/>
                <w:sz w:val="21"/>
                <w:szCs w:val="21"/>
              </w:rPr>
              <w:t xml:space="preserve">collision avoidance</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تجنب الاصطحام</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Modern vehicles use radar and cameras for collision avoidance, helping prevent accidents on Amman’s busy highways.</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3</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565C0"/>
                <w:sz w:val="21"/>
                <w:szCs w:val="21"/>
              </w:rPr>
              <w:t xml:space="preserve">fuel efficiency</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كفاءة استهلاك الوقود</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Many Jordanian families prioritize fuel efficiency because fuel prices have risen steadily in recent years.</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4</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565C0"/>
                <w:sz w:val="21"/>
                <w:szCs w:val="21"/>
              </w:rPr>
              <w:t xml:space="preserve">lane departure warning</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تحذير الانحراف عن المسار</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The lane departure warning system gently vibrates the steering wheel if you drift out of your lane without signaling.</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5</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565C0"/>
                <w:sz w:val="21"/>
                <w:szCs w:val="21"/>
              </w:rPr>
              <w:t xml:space="preserve">adaptive cruise control</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نظام التحكم التكيفي بالسرعة</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On long drives from Amman to Aqaba, adaptive cruise control automatically adjusts your speed to maintain a safe distance from the car ahead.</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6</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565C0"/>
                <w:sz w:val="21"/>
                <w:szCs w:val="21"/>
              </w:rPr>
              <w:t xml:space="preserve">horsepower</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قوة الحصان</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The BMW 5 Series delivers impressive horsepower while maintaining a smooth, comfortable ride through city traffic.</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7</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565C0"/>
                <w:sz w:val="21"/>
                <w:szCs w:val="21"/>
              </w:rPr>
              <w:t xml:space="preserve">blind spot</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النقطة العمياء</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Before changing lanes on the Airport Road in Amman, always check your blind spot carefully for motorcycles and scooters.</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8</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565C0"/>
                <w:sz w:val="21"/>
                <w:szCs w:val="21"/>
              </w:rPr>
              <w:t xml:space="preserve">vehicle diagnostics</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تشخيص المركبات</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The car’s onboard computer runs automatic vehicle diagnostics to detect mechanical issues before they become costly repairs.</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9</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565C0"/>
                <w:sz w:val="21"/>
                <w:szCs w:val="21"/>
              </w:rPr>
              <w:t xml:space="preserve">regenerative braking</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الكبح التجديدي</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Hybrid and electric vehicles use regenerative braking to convert kinetic energy back into battery power when the driver slows down.</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10</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565C0"/>
                <w:sz w:val="21"/>
                <w:szCs w:val="21"/>
              </w:rPr>
              <w:t xml:space="preserve">anti-lock braking system (ABS)</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نظام مانع الانغلاق</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The anti-lock braking system prevents the wheels from locking up during sudden braking on wet roads, giving the driver better steering control.</w:t>
            </w:r>
          </w:p>
        </w:tc>
      </w:tr>
    </w:tbl>
    <w:p>
      <w:pPr>
        <w:spacing w:after="60" w:before="500" w:line="360"/>
        <w:jc w:val="left"/>
      </w:pPr>
      <w:r>
        <w:rPr>
          <w:rFonts w:ascii="Calibri" w:eastAsia="SimSun"/>
          <w:b/>
          <w:bCs/>
          <w:color w:val="6A1B9A"/>
          <w:sz w:val="20"/>
          <w:szCs w:val="20"/>
        </w:rPr>
        <w:t xml:space="preserve">CEFR C2  —  Proficiency</w:t>
      </w:r>
    </w:p>
    <w:p>
      <w:pPr>
        <w:spacing w:after="40" w:before="60" w:line="360" w:lineRule="atLeast"/>
        <w:jc w:val="left"/>
      </w:pPr>
      <w:r>
        <w:rPr>
          <w:rFonts w:ascii="Calibri" w:eastAsia="SimSun"/>
          <w:b/>
          <w:bCs/>
          <w:color w:val="000000"/>
          <w:sz w:val="32"/>
          <w:szCs w:val="32"/>
        </w:rPr>
        <w:t xml:space="preserve">The Architecture of Language</w:t>
      </w:r>
    </w:p>
    <w:p>
      <w:pPr>
        <w:spacing w:after="60" w:before="0" w:line="360"/>
        <w:jc w:val="left"/>
      </w:pPr>
      <w:r>
        <w:rPr>
          <w:rFonts w:ascii="Times New Roman" w:eastAsia="SimSun"/>
          <w:i/>
          <w:iCs/>
          <w:color w:val="555555"/>
          <w:sz w:val="20"/>
          <w:szCs w:val="20"/>
        </w:rPr>
        <w:t xml:space="preserve">Advanced Linguistics, Pragmatics of Spoken Communication, and Academic Research</w:t>
      </w:r>
    </w:p>
    <w:p>
      <w:pPr>
        <w:spacing w:after="200" w:before="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4800"/>
      </w:tblGrid>
      <w:tr>
        <w:trPr>
          <w:cantSplit/>
          <w:tblHeader/>
        </w:trPr>
        <w:tc>
          <w:tcPr>
            <w:tcW w:type="pct" w:w="6%"/>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pPr>
              <w:spacing w:after="0" w:before="0" w:line="360"/>
              <w:jc w:val="center"/>
            </w:pPr>
            <w:r>
              <w:rPr>
                <w:rFonts w:ascii="Calibri" w:eastAsia="SimSun"/>
                <w:b/>
                <w:bCs/>
                <w:color w:val="6A1B9A"/>
                <w:sz w:val="20"/>
                <w:szCs w:val="20"/>
              </w:rPr>
              <w:t xml:space="preserve">#</w:t>
            </w:r>
          </w:p>
        </w:tc>
        <w:tc>
          <w:tcPr>
            <w:tcW w:type="pct" w:w="22%"/>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pPr>
              <w:spacing w:after="0" w:before="0" w:line="360"/>
              <w:jc w:val="center"/>
            </w:pPr>
            <w:r>
              <w:rPr>
                <w:rFonts w:ascii="Calibri" w:eastAsia="SimSun"/>
                <w:b/>
                <w:bCs/>
                <w:color w:val="6A1B9A"/>
                <w:sz w:val="20"/>
                <w:szCs w:val="20"/>
              </w:rPr>
              <w:t xml:space="preserve">Word</w:t>
            </w:r>
          </w:p>
        </w:tc>
        <w:tc>
          <w:tcPr>
            <w:tcW w:type="pct" w:w="24%"/>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pPr>
              <w:spacing w:after="0" w:before="0" w:line="360"/>
              <w:jc w:val="center"/>
            </w:pPr>
            <w:r>
              <w:rPr>
                <w:rFonts w:ascii="Calibri" w:eastAsia="SimSun"/>
                <w:b/>
                <w:bCs/>
                <w:color w:val="6A1B9A"/>
                <w:sz w:val="20"/>
                <w:szCs w:val="20"/>
              </w:rPr>
              <w:t xml:space="preserve">Arabic</w:t>
            </w:r>
          </w:p>
        </w:tc>
        <w:tc>
          <w:tcPr>
            <w:tcW w:type="pct" w:w="48%"/>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pPr>
              <w:spacing w:after="0" w:before="0" w:line="360"/>
              <w:jc w:val="left"/>
            </w:pPr>
            <w:r>
              <w:rPr>
                <w:rFonts w:ascii="Calibri" w:eastAsia="SimSun"/>
                <w:b/>
                <w:bCs/>
                <w:color w:val="6A1B9A"/>
                <w:sz w:val="20"/>
                <w:szCs w:val="20"/>
              </w:rPr>
              <w:t xml:space="preserve">Example Sentence</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1</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6A1B9A"/>
                <w:sz w:val="21"/>
                <w:szCs w:val="21"/>
              </w:rPr>
              <w:t xml:space="preserve">pragmatics</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علم الدلالة التعاملية (البراغماتيكا)</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Pragmatics investigates how speakers use context, tone, and cultural knowledge to convey meanings that go far beyond the literal definitions of individual words.</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2</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6A1B9A"/>
                <w:sz w:val="21"/>
                <w:szCs w:val="21"/>
              </w:rPr>
              <w:t xml:space="preserve">discourse analysis</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تحليل الخطاب</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Through discourse analysis, researchers can identify subtle power dynamics in political speeches and media narratives that shape public opinion.</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3</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6A1B9A"/>
                <w:sz w:val="21"/>
                <w:szCs w:val="21"/>
              </w:rPr>
              <w:t xml:space="preserve">speech act</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فعل كلامي</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When a professor says ‘I strongly encourage you to revise this essay,’ the utterance functions as a speech act that is both an evaluation and a directive.</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4</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6A1B9A"/>
                <w:sz w:val="21"/>
                <w:szCs w:val="21"/>
              </w:rPr>
              <w:t xml:space="preserve">sociolinguistics</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علم اللغة الاجتماعي</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Sociolinguistics explores how factors like social class, educational background, and regional origin influence the way Jordanians switch between dialects in daily conversation.</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5</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6A1B9A"/>
                <w:sz w:val="21"/>
                <w:szCs w:val="21"/>
              </w:rPr>
              <w:t xml:space="preserve">morphosyntax</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الصرف والنحو</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Morphosyntax examines the interplay between a language’s word formation processes and the rules that govern how words combine into meaningful sentences.</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6</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6A1B9A"/>
                <w:sz w:val="21"/>
                <w:szCs w:val="21"/>
              </w:rPr>
              <w:t xml:space="preserve">presupposition</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افتراض مسبق</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The question ‘Why did you stop supporting the charitable initiative?’ carries the presupposition that the listener once supported it — a strategy sometimes used in debates to frame the discussion.</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7</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6A1B9A"/>
                <w:sz w:val="21"/>
                <w:szCs w:val="21"/>
              </w:rPr>
              <w:t xml:space="preserve">utterance</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مقطع كلامي</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An utterance is not merely a grammatical sentence; it is a spoken act produced within a specific social setting, shaped by the speaker’s intentions and the listener’s expectations.</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8</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6A1B9A"/>
                <w:sz w:val="21"/>
                <w:szCs w:val="21"/>
              </w:rPr>
              <w:t xml:space="preserve">corpus linguistics</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لغويات المجموعات النصية</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Corpus linguistics allows researchers to analyze millions of naturally occurring sentences, revealing patterns of usage that intuition alone could never detect.</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9</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6A1B9A"/>
                <w:sz w:val="21"/>
                <w:szCs w:val="21"/>
              </w:rPr>
              <w:t xml:space="preserve">phonological awareness</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الوعي الفونولوجي (الصوتي)</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Research in second-language acquisition has shown that strong phonological awareness in the mother tongue significantly facilitates the learning of additional languages.</w:t>
            </w:r>
          </w:p>
        </w:tc>
      </w:tr>
      <w:tr>
        <w:trPr>
          <w:cantSplit/>
        </w:trPr>
        <w:tc>
          <w:tcPr>
            <w:tcW w:type="pct" w:w="6%"/>
            <w:tcBorders>
              <w:top w:val="single" w:color="DDDDDD" w:sz="1"/>
              <w:left w:val="single" w:color="DDDDDD" w:sz="1"/>
              <w:bottom w:val="single" w:color="DDDDDD" w:sz="1"/>
              <w:right w:val="single" w:color="DDDDDD" w:sz="1"/>
            </w:tcBorders>
            <w:tcMar>
              <w:top w:type="dxa" w:w="50"/>
              <w:left w:type="dxa" w:w="80"/>
              <w:bottom w:type="dxa" w:w="50"/>
              <w:right w:type="dxa" w:w="60"/>
            </w:tcMar>
          </w:tcPr>
          <w:p>
            <w:pPr>
              <w:spacing w:after="0" w:before="0" w:line="360"/>
              <w:jc w:val="center"/>
            </w:pPr>
            <w:r>
              <w:rPr>
                <w:rFonts w:ascii="Times New Roman" w:eastAsia="SimSun"/>
                <w:color w:val="888888"/>
                <w:sz w:val="20"/>
                <w:szCs w:val="20"/>
              </w:rPr>
              <w:t xml:space="preserve">10</w:t>
            </w:r>
          </w:p>
        </w:tc>
        <w:tc>
          <w:tcPr>
            <w:tcW w:type="pct" w:w="22%"/>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6A1B9A"/>
                <w:sz w:val="21"/>
                <w:szCs w:val="21"/>
              </w:rPr>
              <w:t xml:space="preserve">semantics</w:t>
            </w:r>
          </w:p>
        </w:tc>
        <w:tc>
          <w:tcPr>
            <w:tcW w:type="pct" w:w="24%"/>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000000"/>
                <w:sz w:val="21"/>
                <w:szCs w:val="21"/>
              </w:rPr>
              <w:t xml:space="preserve">علم الدلالة (المعنى)</w:t>
            </w:r>
          </w:p>
        </w:tc>
        <w:tc>
          <w:tcPr>
            <w:tcW w:type="pct" w:w="48%"/>
            <w:tcBorders>
              <w:top w:val="single" w:color="DDDDDD" w:sz="1"/>
              <w:left w:val="single" w:color="DDDDDD" w:sz="1"/>
              <w:bottom w:val="single" w:color="DDDDDD" w:sz="1"/>
              <w:right w:val="single" w:color="DDDDDD" w:sz="1"/>
            </w:tcBorders>
            <w:tcMar>
              <w:top w:type="dxa" w:w="50"/>
              <w:left w:type="dxa" w:w="100"/>
              <w:bottom w:type="dxa" w:w="50"/>
              <w:right w:type="dxa" w:w="100"/>
            </w:tcMar>
          </w:tcPr>
          <w:p>
            <w:pPr>
              <w:spacing w:after="0" w:before="0" w:line="360"/>
              <w:jc w:val="left"/>
            </w:pPr>
            <w:r>
              <w:rPr>
                <w:rFonts w:ascii="Times New Roman" w:eastAsia="SimSun"/>
                <w:i/>
                <w:iCs/>
                <w:color w:val="333333"/>
                <w:sz w:val="20"/>
                <w:szCs w:val="20"/>
              </w:rPr>
              <w:t xml:space="preserve">While semantics focuses on the inherent meaning encoded in words and sentences, pragmatics extends the study to how those meanings shift depending on who is speaking, to whom, and under what circumstances.</w:t>
            </w:r>
          </w:p>
        </w:tc>
      </w:tr>
    </w:tbl>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999999"/>
        <w:sz w:val="16"/>
        <w:szCs w:val="16"/>
      </w:rPr>
      <w:t xml:space="preserve">Vocabulary Lists — Jordanian ESL Learner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2026-05-02T18:08:56.316Z</dcterms:created>
  <dcterms:modified xsi:type="dcterms:W3CDTF">2026-05-02T18:08:56.317Z</dcterms:modified>
</cp:coreProperties>
</file>

<file path=docProps/custom.xml><?xml version="1.0" encoding="utf-8"?>
<Properties xmlns="http://schemas.openxmlformats.org/officeDocument/2006/custom-properties" xmlns:vt="http://schemas.openxmlformats.org/officeDocument/2006/docPropsVTypes"/>
</file>