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Quantity Engineer -2</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PT. Ciriajasa E.C. </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Ir. Wawan Setiawan EPS</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Garut, 7 Juni 1963</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Sarjana (S1) Teknik Sipil Universitas Islam Indonesia 1992</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Sertifikasi Keahlian â Ahli Madya Teknik Bangunan Gedung, Lembaga Pengembangan Jasa Konstruksi (LPJK).</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2017 - 2020</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Manajemen Konstruksi Pembagunan Fasilitas Gedung Parkir, Pengendalian Banjir dan Fasilitas Ground Water Tank di Kompleks Kementerian PUPR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DKI Jakarta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Satuan Kerja Pengembangan Penataan Bangunan dan Lingkungan Strategis, Direktorat Jenderal Cipta Karya, Kementerian Pekerjaan Umum dan Perumahan Rakyat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Ciriajasa C.M.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penanggungjawab tertinggi pekerjaan manajemen konstruksi secara keceluruhan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koordinator seluruh kegiatan teknis maupun administrasi di lapangan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penanggung jawab pengendalian mutu pelaksanaan kegiatan di atas kewenangan penyedia jasa konstrusksi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pemimpin rapat yang diselenggarakan internal dalam organisasi proyek</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pengkoordinir komunikasi antara PPK dengan penyedia jasa konstruksi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Membawahi dan mengkoordinir kegiatan para tenaga ahli manajemen konstruksi dan tenaga pendukung manajemen konstruksi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Memiliki wewenang mengubah prosedur kegiatan dan mengubah desain rencana apabila diperlukan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Menyusun Organisasi Kerja Tim Manajemen Konstruksi secara keseluruhan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Mengkoordinasikan pelaksanaan pengendalian dan pengawasan terhadap semua hal yang berhubungan dengan kelancaran pekerjaan pelaksanaan fisik oleh pihak kontraktor pelaksana</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Mengkoordinasikan hubungan kerja antar organisasi kerja sesuai tugas masing-masing dengan semua unsur proyek dan instansi terkait</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Memimpin rapat koordinasi bulanan yang melibatkan pihak – pihak lain yang terkait (Pemberi Tugas maupun Konsultan Perencana).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17 Desember 2017 - 15 Desember 2020 (36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Team Leader/ Supervision Engineer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23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Ir. Wawan Setiawan EPS</w:t>
            </w:r>
            <w:r w:rsidRPr="00DC018D">
              <w:rPr>
                <w:rFonts w:ascii="Arial Narrow" w:hAnsi="Arial Narrow"/>
                <w:b/>
                <w:bCs/>
                <w:szCs w:val="22"/>
                <w:u w:val="single"/>
                <w:lang w:val="en-US"/>
              </w:rPr>
              <w:br/>
            </w:r>
            <w:r w:rsidRPr="00DC018D">
              <w:rPr>
                <w:rFonts w:ascii="Arial Narrow" w:hAnsi="Arial Narrow"/>
                <w:szCs w:val="22"/>
                <w:lang w:val="en-US"/>
              </w:rPr>
              <w:t>Quantity Engineer -2</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Ir. Wawan Setiawan EPS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Ir. Wawan Setiawan EPS</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