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63EB"/>
          <w:sz w:val="20"/>
          <w:szCs w:val="20"/>
        </w:rPr>
        <w:t xml:space="preserve">BENCHMARK &amp; RECOMMANDATIONS</w:t>
      </w:r>
    </w:p>
    <w:p>
      <w:pPr>
        <w:spacing w:after="100"/>
      </w:pPr>
      <w:r>
        <w:rPr>
          <w:b/>
          <w:bCs/>
          <w:color w:val="1F2937"/>
          <w:sz w:val="40"/>
          <w:szCs w:val="40"/>
        </w:rPr>
        <w:t xml:space="preserve">Outil de gestion commerciale &amp; marketing</w:t>
      </w:r>
    </w:p>
    <w:p>
      <w:pPr>
        <w:spacing w:after="300"/>
      </w:pPr>
      <w:r>
        <w:rPr>
          <w:color w:val="6B7280"/>
          <w:sz w:val="22"/>
          <w:szCs w:val="22"/>
        </w:rPr>
        <w:t xml:space="preserve">Développement &amp; commercialisation d'applications digitales pour l'industrie</w:t>
      </w:r>
    </w:p>
    <w:p>
      <w:pPr>
        <w:pBdr>
          <w:bottom w:val="single" w:color="D1D5DB" w:sz="6" w:space="4"/>
        </w:pBdr>
        <w:spacing w:after="400"/>
      </w:pPr>
      <w:r>
        <w:rPr>
          <w:color w:val="6B7280"/>
          <w:sz w:val="18"/>
          <w:szCs w:val="18"/>
        </w:rPr>
        <w:t xml:space="preserve">Juillet 2026</w:t>
      </w:r>
    </w:p>
    <w:p>
      <w:pPr>
        <w:pStyle w:val="Heading1"/>
        <w:pBdr>
          <w:bottom w:val="single" w:color="2563EB" w:sz="8" w:space="4"/>
        </w:pBdr>
        <w:spacing w:after="200" w:before="400"/>
      </w:pPr>
      <w:r>
        <w:rPr>
          <w:b/>
          <w:bCs/>
          <w:color w:val="1F2937"/>
          <w:sz w:val="30"/>
          <w:szCs w:val="30"/>
        </w:rPr>
        <w:t xml:space="preserve">1. Contexte et objectifs</w:t>
      </w:r>
    </w:p>
    <w:p>
      <w:pPr>
        <w:spacing w:after="160" w:line="300"/>
      </w:pPr>
      <w:r>
        <w:rPr>
          <w:b w:val="false"/>
          <w:bCs w:val="false"/>
          <w:color w:val="222222"/>
          <w:sz w:val="21"/>
          <w:szCs w:val="21"/>
        </w:rPr>
        <w:t xml:space="preserve">L'objectif est de mettre en place un outil unique, simple et professionnel pour piloter l'activité commerciale et marketing : suivi des actions marketing sur LinkedIn et Instagram, détection et qualification de leads issus de LinkedIn, suivi du pipeline leads → opportunités, et un tableau de bord de pilotage.</w:t>
      </w:r>
    </w:p>
    <w:p>
      <w:pPr>
        <w:spacing w:after="160" w:line="300"/>
      </w:pPr>
      <w:r>
        <w:rPr>
          <w:b w:val="false"/>
          <w:bCs w:val="false"/>
          <w:color w:val="222222"/>
          <w:sz w:val="21"/>
          <w:szCs w:val="21"/>
        </w:rPr>
        <w:t xml:space="preserve">Ce document compare les solutions existantes du marché, résume les bonnes pratiques métier (pipeline, lead scoring, dashboard) et propose une architecture cible adaptée à une petite structure (indépendant / petite équipe), avec un principe directeur : simplicité, efficacité, image professionnelle.</w:t>
      </w:r>
    </w:p>
    <w:p>
      <w:pPr>
        <w:pStyle w:val="Heading1"/>
        <w:pBdr>
          <w:bottom w:val="single" w:color="2563EB" w:sz="8" w:space="4"/>
        </w:pBdr>
        <w:spacing w:after="200" w:before="400"/>
      </w:pPr>
      <w:r>
        <w:rPr>
          <w:b/>
          <w:bCs/>
          <w:color w:val="1F2937"/>
          <w:sz w:val="30"/>
          <w:szCs w:val="30"/>
        </w:rPr>
        <w:t xml:space="preserve">2. Panorama des CRM légers pour petites structures</w:t>
      </w:r>
    </w:p>
    <w:p>
      <w:pPr>
        <w:spacing w:after="160" w:line="300"/>
      </w:pPr>
      <w:r>
        <w:rPr>
          <w:b w:val="false"/>
          <w:bCs w:val="false"/>
          <w:color w:val="222222"/>
          <w:sz w:val="21"/>
          <w:szCs w:val="21"/>
        </w:rPr>
        <w:t xml:space="preserve">Quatre familles de solutions dominent le marché pour les petites équipes en 2026 : Folk (CRM relationnel), Attio (CRM modulable « data-first »), Pipedrive (CRM pipeline commercial pur) et HubSpot (suite complète marketing + vente).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900"/>
        <w:gridCol w:w="1726"/>
      </w:tblGrid>
      <w:tr>
        <w:trPr>
          <w:tblHeader/>
        </w:trPr>
        <w:tc>
          <w:tcPr>
            <w:tcW w:type="dxa" w:w="1400"/>
            <w:shd w:fill="1F2937" w:val="clear"/>
            <w:tcMar>
              <w:top w:type="dxa" w:w="100"/>
              <w:left w:type="dxa" w:w="120"/>
              <w:bottom w:type="dxa" w:w="100"/>
              <w:right w:type="dxa" w:w="120"/>
            </w:tcMar>
            <w:vAlign w:val="center"/>
          </w:tcPr>
          <w:p>
            <w:pPr>
              <w:jc w:val="left"/>
            </w:pPr>
            <w:r>
              <w:rPr>
                <w:b/>
                <w:bCs/>
                <w:color w:val="FFFFFF"/>
                <w:sz w:val="20"/>
                <w:szCs w:val="20"/>
              </w:rPr>
              <w:t xml:space="preserve">Solution</w:t>
            </w:r>
          </w:p>
        </w:tc>
        <w:tc>
          <w:tcPr>
            <w:tcW w:type="dxa" w:w="3000"/>
            <w:shd w:fill="1F2937" w:val="clear"/>
            <w:tcMar>
              <w:top w:type="dxa" w:w="100"/>
              <w:left w:type="dxa" w:w="120"/>
              <w:bottom w:type="dxa" w:w="100"/>
              <w:right w:type="dxa" w:w="120"/>
            </w:tcMar>
            <w:vAlign w:val="center"/>
          </w:tcPr>
          <w:p>
            <w:pPr>
              <w:jc w:val="left"/>
            </w:pPr>
            <w:r>
              <w:rPr>
                <w:b/>
                <w:bCs/>
                <w:color w:val="FFFFFF"/>
                <w:sz w:val="20"/>
                <w:szCs w:val="20"/>
              </w:rPr>
              <w:t xml:space="preserve">Points forts</w:t>
            </w:r>
          </w:p>
        </w:tc>
        <w:tc>
          <w:tcPr>
            <w:tcW w:type="dxa" w:w="2900"/>
            <w:shd w:fill="1F2937" w:val="clear"/>
            <w:tcMar>
              <w:top w:type="dxa" w:w="100"/>
              <w:left w:type="dxa" w:w="120"/>
              <w:bottom w:type="dxa" w:w="100"/>
              <w:right w:type="dxa" w:w="120"/>
            </w:tcMar>
            <w:vAlign w:val="center"/>
          </w:tcPr>
          <w:p>
            <w:pPr>
              <w:jc w:val="left"/>
            </w:pPr>
            <w:r>
              <w:rPr>
                <w:b/>
                <w:bCs/>
                <w:color w:val="FFFFFF"/>
                <w:sz w:val="20"/>
                <w:szCs w:val="20"/>
              </w:rPr>
              <w:t xml:space="preserve">Limites</w:t>
            </w:r>
          </w:p>
        </w:tc>
        <w:tc>
          <w:tcPr>
            <w:tcW w:type="dxa" w:w="1726"/>
            <w:shd w:fill="1F2937" w:val="clear"/>
            <w:tcMar>
              <w:top w:type="dxa" w:w="100"/>
              <w:left w:type="dxa" w:w="120"/>
              <w:bottom w:type="dxa" w:w="100"/>
              <w:right w:type="dxa" w:w="120"/>
            </w:tcMar>
            <w:vAlign w:val="center"/>
          </w:tcPr>
          <w:p>
            <w:pPr>
              <w:jc w:val="left"/>
            </w:pPr>
            <w:r>
              <w:rPr>
                <w:b/>
                <w:bCs/>
                <w:color w:val="FFFFFF"/>
                <w:sz w:val="20"/>
                <w:szCs w:val="20"/>
              </w:rPr>
              <w:t xml:space="preserve">Idéal pour</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Folk</w:t>
            </w:r>
          </w:p>
        </w:tc>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Très simple, pipelines personnalisés, vues partagées, excellent pour la gestion de relations (clients, partenaires)</w:t>
            </w:r>
          </w:p>
        </w:tc>
        <w:tc>
          <w:tcPr>
            <w:tcW w:type="dxa" w:w="2900"/>
            <w:tcMar>
              <w:top w:type="dxa" w:w="100"/>
              <w:left w:type="dxa" w:w="120"/>
              <w:bottom w:type="dxa" w:w="100"/>
              <w:right w:type="dxa" w:w="120"/>
            </w:tcMar>
            <w:vAlign w:val="center"/>
          </w:tcPr>
          <w:p>
            <w:pPr>
              <w:jc w:val="left"/>
            </w:pPr>
            <w:r>
              <w:rPr>
                <w:b w:val="false"/>
                <w:bCs w:val="false"/>
                <w:color w:val="111111"/>
                <w:sz w:val="20"/>
                <w:szCs w:val="20"/>
              </w:rPr>
              <w:t xml:space="preserve">Reporting limité, plafond de valeur au-delà de 10-15 utilisateurs</w:t>
            </w:r>
          </w:p>
        </w:tc>
        <w:tc>
          <w:tcPr>
            <w:tcW w:type="dxa" w:w="1726"/>
            <w:tcMar>
              <w:top w:type="dxa" w:w="100"/>
              <w:left w:type="dxa" w:w="120"/>
              <w:bottom w:type="dxa" w:w="100"/>
              <w:right w:type="dxa" w:w="120"/>
            </w:tcMar>
            <w:vAlign w:val="center"/>
          </w:tcPr>
          <w:p>
            <w:pPr>
              <w:jc w:val="left"/>
            </w:pPr>
            <w:r>
              <w:rPr>
                <w:b w:val="false"/>
                <w:bCs w:val="false"/>
                <w:color w:val="111111"/>
                <w:sz w:val="20"/>
                <w:szCs w:val="20"/>
              </w:rPr>
              <w:t xml:space="preserve">Indépendant / petite équipe orientée relationnel</w:t>
            </w:r>
          </w:p>
        </w:tc>
      </w:tr>
      <w:tr>
        <w:tc>
          <w:tcPr>
            <w:tcW w:type="dxa" w:w="14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Pipedrive</w:t>
            </w:r>
          </w:p>
        </w:tc>
        <w:tc>
          <w:tcPr>
            <w:tcW w:type="dxa" w:w="30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Pipeline visuel type kanban, pris en main immédiat, pensé pour les commerciaux</w:t>
            </w:r>
          </w:p>
        </w:tc>
        <w:tc>
          <w:tcPr>
            <w:tcW w:type="dxa" w:w="29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Marketing multicanal limité, nécessite des modules additionnels</w:t>
            </w:r>
          </w:p>
        </w:tc>
        <w:tc>
          <w:tcPr>
            <w:tcW w:type="dxa" w:w="17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Suivi de deals pur, équipe commerciale</w:t>
            </w:r>
          </w:p>
        </w:tc>
      </w:tr>
      <w:tr>
        <w:tc>
          <w:tcPr>
            <w:tcW w:type="dxa" w:w="1400"/>
            <w:tcMar>
              <w:top w:type="dxa" w:w="100"/>
              <w:left w:type="dxa" w:w="120"/>
              <w:bottom w:type="dxa" w:w="100"/>
              <w:right w:type="dxa" w:w="120"/>
            </w:tcMar>
            <w:vAlign w:val="center"/>
          </w:tcPr>
          <w:p>
            <w:pPr>
              <w:jc w:val="left"/>
            </w:pPr>
            <w:r>
              <w:rPr>
                <w:b w:val="false"/>
                <w:bCs w:val="false"/>
                <w:color w:val="111111"/>
                <w:sz w:val="20"/>
                <w:szCs w:val="20"/>
              </w:rPr>
              <w:t xml:space="preserve">Attio</w:t>
            </w:r>
          </w:p>
        </w:tc>
        <w:tc>
          <w:tcPr>
            <w:tcW w:type="dxa" w:w="3000"/>
            <w:tcMar>
              <w:top w:type="dxa" w:w="100"/>
              <w:left w:type="dxa" w:w="120"/>
              <w:bottom w:type="dxa" w:w="100"/>
              <w:right w:type="dxa" w:w="120"/>
            </w:tcMar>
            <w:vAlign w:val="center"/>
          </w:tcPr>
          <w:p>
            <w:pPr>
              <w:jc w:val="left"/>
            </w:pPr>
            <w:r>
              <w:rPr>
                <w:b w:val="false"/>
                <w:bCs w:val="false"/>
                <w:color w:val="111111"/>
                <w:sz w:val="20"/>
                <w:szCs w:val="20"/>
              </w:rPr>
              <w:t xml:space="preserve">Très flexible, modèle de données personnalisable, moderne</w:t>
            </w:r>
          </w:p>
        </w:tc>
        <w:tc>
          <w:tcPr>
            <w:tcW w:type="dxa" w:w="2900"/>
            <w:tcMar>
              <w:top w:type="dxa" w:w="100"/>
              <w:left w:type="dxa" w:w="120"/>
              <w:bottom w:type="dxa" w:w="100"/>
              <w:right w:type="dxa" w:w="120"/>
            </w:tcMar>
            <w:vAlign w:val="center"/>
          </w:tcPr>
          <w:p>
            <w:pPr>
              <w:jc w:val="left"/>
            </w:pPr>
            <w:r>
              <w:rPr>
                <w:b w:val="false"/>
                <w:bCs w:val="false"/>
                <w:color w:val="111111"/>
                <w:sz w:val="20"/>
                <w:szCs w:val="20"/>
              </w:rPr>
              <w:t xml:space="preserve">Intégrations plus limitées, complexité de configuration</w:t>
            </w:r>
          </w:p>
        </w:tc>
        <w:tc>
          <w:tcPr>
            <w:tcW w:type="dxa" w:w="1726"/>
            <w:tcMar>
              <w:top w:type="dxa" w:w="100"/>
              <w:left w:type="dxa" w:w="120"/>
              <w:bottom w:type="dxa" w:w="100"/>
              <w:right w:type="dxa" w:w="120"/>
            </w:tcMar>
            <w:vAlign w:val="center"/>
          </w:tcPr>
          <w:p>
            <w:pPr>
              <w:jc w:val="left"/>
            </w:pPr>
            <w:r>
              <w:rPr>
                <w:b w:val="false"/>
                <w:bCs w:val="false"/>
                <w:color w:val="111111"/>
                <w:sz w:val="20"/>
                <w:szCs w:val="20"/>
              </w:rPr>
              <w:t xml:space="preserve">Équipe qui veut construire son propre modèle CRM</w:t>
            </w:r>
          </w:p>
        </w:tc>
      </w:tr>
      <w:tr>
        <w:tc>
          <w:tcPr>
            <w:tcW w:type="dxa" w:w="14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HubSpot</w:t>
            </w:r>
          </w:p>
        </w:tc>
        <w:tc>
          <w:tcPr>
            <w:tcW w:type="dxa" w:w="30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Suite tout-en-un marketing + vente + support, très complet</w:t>
            </w:r>
          </w:p>
        </w:tc>
        <w:tc>
          <w:tcPr>
            <w:tcW w:type="dxa" w:w="29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Coût élevé rapidement, complexité pour un usage simple</w:t>
            </w:r>
          </w:p>
        </w:tc>
        <w:tc>
          <w:tcPr>
            <w:tcW w:type="dxa" w:w="17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Structure qui scale vite et veut tout centraliser</w:t>
            </w:r>
          </w:p>
        </w:tc>
      </w:tr>
    </w:tbl>
    <w:p>
      <w:pPr>
        <w:spacing w:after="200" w:line="300"/>
      </w:pPr>
      <w:r>
        <w:rPr>
          <w:b w:val="false"/>
          <w:bCs w:val="false"/>
          <w:color w:val="6B7280"/>
          <w:sz w:val="20"/>
          <w:szCs w:val="20"/>
        </w:rPr>
        <w:t xml:space="preserve">Recommandation : pour une activité individuelle ou une petite équipe, Folk ou Pipedrive couvrent l'essentiel sans surcharge. HubSpot n'est justifié que si le volume de leads et l'équipe grossissent significativement.</w:t>
      </w:r>
    </w:p>
    <w:p>
      <w:pPr>
        <w:pStyle w:val="Heading1"/>
        <w:pBdr>
          <w:bottom w:val="single" w:color="2563EB" w:sz="8" w:space="4"/>
        </w:pBdr>
        <w:spacing w:after="200" w:before="400"/>
      </w:pPr>
      <w:r>
        <w:rPr>
          <w:b/>
          <w:bCs/>
          <w:color w:val="1F2937"/>
          <w:sz w:val="30"/>
          <w:szCs w:val="30"/>
        </w:rPr>
        <w:t xml:space="preserve">3. Gestion multicanal du marketing (LinkedIn, Instagram, ...)</w:t>
      </w:r>
    </w:p>
    <w:p>
      <w:pPr>
        <w:spacing w:after="160" w:line="300"/>
      </w:pPr>
      <w:r>
        <w:rPr>
          <w:b w:val="false"/>
          <w:bCs w:val="false"/>
          <w:color w:val="222222"/>
          <w:sz w:val="21"/>
          <w:szCs w:val="21"/>
        </w:rPr>
        <w:t xml:space="preserve">Pour centraliser la planification et le suivi des publications sur plusieurs canaux, trois outils reviennent systématiquement en tête des comparatifs 2026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2400"/>
        <w:gridCol w:w="1326"/>
      </w:tblGrid>
      <w:tr>
        <w:trPr>
          <w:tblHeader/>
        </w:trPr>
        <w:tc>
          <w:tcPr>
            <w:tcW w:type="dxa" w:w="2000"/>
            <w:shd w:fill="1F2937" w:val="clear"/>
            <w:tcMar>
              <w:top w:type="dxa" w:w="100"/>
              <w:left w:type="dxa" w:w="120"/>
              <w:bottom w:type="dxa" w:w="100"/>
              <w:right w:type="dxa" w:w="120"/>
            </w:tcMar>
            <w:vAlign w:val="center"/>
          </w:tcPr>
          <w:p>
            <w:pPr>
              <w:jc w:val="left"/>
            </w:pPr>
            <w:r>
              <w:rPr>
                <w:b/>
                <w:bCs/>
                <w:color w:val="FFFFFF"/>
                <w:sz w:val="20"/>
                <w:szCs w:val="20"/>
              </w:rPr>
              <w:t xml:space="preserve">Outil</w:t>
            </w:r>
          </w:p>
        </w:tc>
        <w:tc>
          <w:tcPr>
            <w:tcW w:type="dxa" w:w="3300"/>
            <w:shd w:fill="1F2937" w:val="clear"/>
            <w:tcMar>
              <w:top w:type="dxa" w:w="100"/>
              <w:left w:type="dxa" w:w="120"/>
              <w:bottom w:type="dxa" w:w="100"/>
              <w:right w:type="dxa" w:w="120"/>
            </w:tcMar>
            <w:vAlign w:val="center"/>
          </w:tcPr>
          <w:p>
            <w:pPr>
              <w:jc w:val="left"/>
            </w:pPr>
            <w:r>
              <w:rPr>
                <w:b/>
                <w:bCs/>
                <w:color w:val="FFFFFF"/>
                <w:sz w:val="20"/>
                <w:szCs w:val="20"/>
              </w:rPr>
              <w:t xml:space="preserve">Points forts</w:t>
            </w:r>
          </w:p>
        </w:tc>
        <w:tc>
          <w:tcPr>
            <w:tcW w:type="dxa" w:w="2400"/>
            <w:shd w:fill="1F2937" w:val="clear"/>
            <w:tcMar>
              <w:top w:type="dxa" w:w="100"/>
              <w:left w:type="dxa" w:w="120"/>
              <w:bottom w:type="dxa" w:w="100"/>
              <w:right w:type="dxa" w:w="120"/>
            </w:tcMar>
            <w:vAlign w:val="center"/>
          </w:tcPr>
          <w:p>
            <w:pPr>
              <w:jc w:val="left"/>
            </w:pPr>
            <w:r>
              <w:rPr>
                <w:b/>
                <w:bCs/>
                <w:color w:val="FFFFFF"/>
                <w:sz w:val="20"/>
                <w:szCs w:val="20"/>
              </w:rPr>
              <w:t xml:space="preserve">Limites</w:t>
            </w:r>
          </w:p>
        </w:tc>
        <w:tc>
          <w:tcPr>
            <w:tcW w:type="dxa" w:w="1326"/>
            <w:shd w:fill="1F2937" w:val="clear"/>
            <w:tcMar>
              <w:top w:type="dxa" w:w="100"/>
              <w:left w:type="dxa" w:w="120"/>
              <w:bottom w:type="dxa" w:w="100"/>
              <w:right w:type="dxa" w:w="120"/>
            </w:tcMar>
            <w:vAlign w:val="center"/>
          </w:tcPr>
          <w:p>
            <w:pPr>
              <w:jc w:val="left"/>
            </w:pPr>
            <w:r>
              <w:rPr>
                <w:b/>
                <w:bCs/>
                <w:color w:val="FFFFFF"/>
                <w:sz w:val="20"/>
                <w:szCs w:val="20"/>
              </w:rPr>
              <w:t xml:space="preserve">Prix indicatif</w:t>
            </w:r>
          </w:p>
        </w:tc>
      </w:tr>
      <w:tr>
        <w:tc>
          <w:tcPr>
            <w:tcW w:type="dxa" w:w="2000"/>
            <w:tcMar>
              <w:top w:type="dxa" w:w="100"/>
              <w:left w:type="dxa" w:w="120"/>
              <w:bottom w:type="dxa" w:w="100"/>
              <w:right w:type="dxa" w:w="120"/>
            </w:tcMar>
            <w:vAlign w:val="center"/>
          </w:tcPr>
          <w:p>
            <w:pPr>
              <w:jc w:val="left"/>
            </w:pPr>
            <w:r>
              <w:rPr>
                <w:b w:val="false"/>
                <w:bCs w:val="false"/>
                <w:color w:val="111111"/>
                <w:sz w:val="20"/>
                <w:szCs w:val="20"/>
              </w:rPr>
              <w:t xml:space="preserve">Buffer</w:t>
            </w:r>
          </w:p>
        </w:tc>
        <w:tc>
          <w:tcPr>
            <w:tcW w:type="dxa" w:w="3300"/>
            <w:tcMar>
              <w:top w:type="dxa" w:w="100"/>
              <w:left w:type="dxa" w:w="120"/>
              <w:bottom w:type="dxa" w:w="100"/>
              <w:right w:type="dxa" w:w="120"/>
            </w:tcMar>
            <w:vAlign w:val="center"/>
          </w:tcPr>
          <w:p>
            <w:pPr>
              <w:jc w:val="left"/>
            </w:pPr>
            <w:r>
              <w:rPr>
                <w:b w:val="false"/>
                <w:bCs w:val="false"/>
                <w:color w:val="111111"/>
                <w:sz w:val="20"/>
                <w:szCs w:val="20"/>
              </w:rPr>
              <w:t xml:space="preserve">Simplicité, bon rapport qualité/prix, planification + analytics de base, plan gratuit disponible</w:t>
            </w:r>
          </w:p>
        </w:tc>
        <w:tc>
          <w:tcPr>
            <w:tcW w:type="dxa" w:w="2400"/>
            <w:tcMar>
              <w:top w:type="dxa" w:w="100"/>
              <w:left w:type="dxa" w:w="120"/>
              <w:bottom w:type="dxa" w:w="100"/>
              <w:right w:type="dxa" w:w="120"/>
            </w:tcMar>
            <w:vAlign w:val="center"/>
          </w:tcPr>
          <w:p>
            <w:pPr>
              <w:jc w:val="left"/>
            </w:pPr>
            <w:r>
              <w:rPr>
                <w:b w:val="false"/>
                <w:bCs w:val="false"/>
                <w:color w:val="111111"/>
                <w:sz w:val="20"/>
                <w:szCs w:val="20"/>
              </w:rPr>
              <w:t xml:space="preserve">Analytics avancés limités</w:t>
            </w:r>
          </w:p>
        </w:tc>
        <w:tc>
          <w:tcPr>
            <w:tcW w:type="dxa" w:w="1326"/>
            <w:tcMar>
              <w:top w:type="dxa" w:w="100"/>
              <w:left w:type="dxa" w:w="120"/>
              <w:bottom w:type="dxa" w:w="100"/>
              <w:right w:type="dxa" w:w="120"/>
            </w:tcMar>
            <w:vAlign w:val="center"/>
          </w:tcPr>
          <w:p>
            <w:pPr>
              <w:jc w:val="left"/>
            </w:pPr>
            <w:r>
              <w:rPr>
                <w:b w:val="false"/>
                <w:bCs w:val="false"/>
                <w:color w:val="111111"/>
                <w:sz w:val="20"/>
                <w:szCs w:val="20"/>
              </w:rPr>
              <w:t xml:space="preserve">À partir de 6 $/mois</w:t>
            </w:r>
          </w:p>
        </w:tc>
      </w:tr>
      <w:tr>
        <w:tc>
          <w:tcPr>
            <w:tcW w:type="dxa" w:w="20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Later</w:t>
            </w:r>
          </w:p>
        </w:tc>
        <w:tc>
          <w:tcPr>
            <w:tcW w:type="dxa" w:w="33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Approche visuelle (grille Instagram), calendrier éditorial clair</w:t>
            </w:r>
          </w:p>
        </w:tc>
        <w:tc>
          <w:tcPr>
            <w:tcW w:type="dxa" w:w="24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Moins adapté au reporting commercial</w:t>
            </w:r>
          </w:p>
        </w:tc>
        <w:tc>
          <w:tcPr>
            <w:tcW w:type="dxa" w:w="13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À partir de ~19 $/mois</w:t>
            </w:r>
          </w:p>
        </w:tc>
      </w:tr>
      <w:tr>
        <w:tc>
          <w:tcPr>
            <w:tcW w:type="dxa" w:w="2000"/>
            <w:tcMar>
              <w:top w:type="dxa" w:w="100"/>
              <w:left w:type="dxa" w:w="120"/>
              <w:bottom w:type="dxa" w:w="100"/>
              <w:right w:type="dxa" w:w="120"/>
            </w:tcMar>
            <w:vAlign w:val="center"/>
          </w:tcPr>
          <w:p>
            <w:pPr>
              <w:jc w:val="left"/>
            </w:pPr>
            <w:r>
              <w:rPr>
                <w:b w:val="false"/>
                <w:bCs w:val="false"/>
                <w:color w:val="111111"/>
                <w:sz w:val="20"/>
                <w:szCs w:val="20"/>
              </w:rPr>
              <w:t xml:space="preserve">Hootsuite / Metricool</w:t>
            </w:r>
          </w:p>
        </w:tc>
        <w:tc>
          <w:tcPr>
            <w:tcW w:type="dxa" w:w="3300"/>
            <w:tcMar>
              <w:top w:type="dxa" w:w="100"/>
              <w:left w:type="dxa" w:w="120"/>
              <w:bottom w:type="dxa" w:w="100"/>
              <w:right w:type="dxa" w:w="120"/>
            </w:tcMar>
            <w:vAlign w:val="center"/>
          </w:tcPr>
          <w:p>
            <w:pPr>
              <w:jc w:val="left"/>
            </w:pPr>
            <w:r>
              <w:rPr>
                <w:b w:val="false"/>
                <w:bCs w:val="false"/>
                <w:color w:val="111111"/>
                <w:sz w:val="20"/>
                <w:szCs w:val="20"/>
              </w:rPr>
              <w:t xml:space="preserve">Tableau de bord complet, gestion de nombreuses plateformes, analytics avancés</w:t>
            </w:r>
          </w:p>
        </w:tc>
        <w:tc>
          <w:tcPr>
            <w:tcW w:type="dxa" w:w="2400"/>
            <w:tcMar>
              <w:top w:type="dxa" w:w="100"/>
              <w:left w:type="dxa" w:w="120"/>
              <w:bottom w:type="dxa" w:w="100"/>
              <w:right w:type="dxa" w:w="120"/>
            </w:tcMar>
            <w:vAlign w:val="center"/>
          </w:tcPr>
          <w:p>
            <w:pPr>
              <w:jc w:val="left"/>
            </w:pPr>
            <w:r>
              <w:rPr>
                <w:b w:val="false"/>
                <w:bCs w:val="false"/>
                <w:color w:val="111111"/>
                <w:sz w:val="20"/>
                <w:szCs w:val="20"/>
              </w:rPr>
              <w:t xml:space="preserve">Prix plus élevé, interface plus lourde</w:t>
            </w:r>
          </w:p>
        </w:tc>
        <w:tc>
          <w:tcPr>
            <w:tcW w:type="dxa" w:w="1326"/>
            <w:tcMar>
              <w:top w:type="dxa" w:w="100"/>
              <w:left w:type="dxa" w:w="120"/>
              <w:bottom w:type="dxa" w:w="100"/>
              <w:right w:type="dxa" w:w="120"/>
            </w:tcMar>
            <w:vAlign w:val="center"/>
          </w:tcPr>
          <w:p>
            <w:pPr>
              <w:jc w:val="left"/>
            </w:pPr>
            <w:r>
              <w:rPr>
                <w:b w:val="false"/>
                <w:bCs w:val="false"/>
                <w:color w:val="111111"/>
                <w:sz w:val="20"/>
                <w:szCs w:val="20"/>
              </w:rPr>
              <w:t xml:space="preserve">Hootsuite dès 99 €/mois</w:t>
            </w:r>
          </w:p>
        </w:tc>
      </w:tr>
    </w:tbl>
    <w:p>
      <w:pPr>
        <w:spacing w:after="200" w:line="300"/>
      </w:pPr>
      <w:r>
        <w:rPr>
          <w:b w:val="false"/>
          <w:bCs w:val="false"/>
          <w:color w:val="6B7280"/>
          <w:sz w:val="20"/>
          <w:szCs w:val="20"/>
        </w:rPr>
        <w:t xml:space="preserve">Recommandation : Buffer (ou Metricool) suffit largement pour un usage LinkedIn + Instagram avec un volume de publication modéré, et laisse le budget pour la partie CRM/leads.</w:t>
      </w:r>
    </w:p>
    <w:p>
      <w:pPr>
        <w:pStyle w:val="Heading1"/>
        <w:pBdr>
          <w:bottom w:val="single" w:color="2563EB" w:sz="8" w:space="4"/>
        </w:pBdr>
        <w:spacing w:after="200" w:before="400"/>
      </w:pPr>
      <w:r>
        <w:rPr>
          <w:b/>
          <w:bCs/>
          <w:color w:val="1F2937"/>
          <w:sz w:val="30"/>
          <w:szCs w:val="30"/>
        </w:rPr>
        <w:t xml:space="preserve">4. Détection de leads via LinkedIn : ce qu'il faut savoir avant de choisir</w:t>
      </w:r>
    </w:p>
    <w:p>
      <w:pPr>
        <w:spacing w:after="160" w:line="300"/>
      </w:pPr>
      <w:r>
        <w:rPr>
          <w:b w:val="false"/>
          <w:bCs w:val="false"/>
          <w:color w:val="222222"/>
          <w:sz w:val="21"/>
          <w:szCs w:val="21"/>
        </w:rPr>
        <w:t xml:space="preserve">C'est le point le plus sensible du projet : LinkedIn interdit explicitement dans ses conditions d'utilisation le scraping, les extensions d'automatisation et les bots pour extraire des profils ou envoyer des messages automatisés. Le réseau a bloqué 78,2 millions de faux comptes et détecté 23,5 millions de sessions automatisées sur un seul trimestre en 2026, avec un taux de détection annoncé à 97 % pour les outils non conformes.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EF3C7" w:val="clear"/>
            <w:tcMar>
              <w:top w:type="dxa" w:w="150"/>
              <w:left w:type="dxa" w:w="200"/>
              <w:bottom w:type="dxa" w:w="150"/>
              <w:right w:type="dxa" w:w="200"/>
            </w:tcMar>
          </w:tcPr>
          <w:p>
            <w:pPr>
              <w:spacing w:after="60"/>
            </w:pPr>
            <w:r>
              <w:rPr>
                <w:b/>
                <w:bCs/>
                <w:color w:val="92400E"/>
                <w:sz w:val="21"/>
                <w:szCs w:val="21"/>
              </w:rPr>
              <w:t xml:space="preserve">À retenir</w:t>
            </w:r>
          </w:p>
          <w:p>
            <w:r>
              <w:rPr>
                <w:color w:val="78350F"/>
                <w:sz w:val="20"/>
                <w:szCs w:val="20"/>
              </w:rPr>
              <w:t xml:space="preserve">Toute connexion « officielle » avec LinkedIn pour analyser des leads doit passer soit par les API officielles LinkedIn (accès partenaire, validation d'entreprise requise), soit s'appuyer sur l'export manuel de Sales Navigator, et non sur un outil de scraping non autorisé qui expose le compte à un bannissement.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1500"/>
        <w:gridCol w:w="2026"/>
      </w:tblGrid>
      <w:tr>
        <w:trPr>
          <w:tblHeader/>
        </w:trPr>
        <w:tc>
          <w:tcPr>
            <w:tcW w:type="dxa" w:w="2400"/>
            <w:shd w:fill="1F2937" w:val="clear"/>
            <w:tcMar>
              <w:top w:type="dxa" w:w="100"/>
              <w:left w:type="dxa" w:w="120"/>
              <w:bottom w:type="dxa" w:w="100"/>
              <w:right w:type="dxa" w:w="120"/>
            </w:tcMar>
            <w:vAlign w:val="center"/>
          </w:tcPr>
          <w:p>
            <w:pPr>
              <w:jc w:val="left"/>
            </w:pPr>
            <w:r>
              <w:rPr>
                <w:b/>
                <w:bCs/>
                <w:color w:val="FFFFFF"/>
                <w:sz w:val="20"/>
                <w:szCs w:val="20"/>
              </w:rPr>
              <w:t xml:space="preserve">Approche</w:t>
            </w:r>
          </w:p>
        </w:tc>
        <w:tc>
          <w:tcPr>
            <w:tcW w:type="dxa" w:w="3100"/>
            <w:shd w:fill="1F2937"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500"/>
            <w:shd w:fill="1F2937" w:val="clear"/>
            <w:tcMar>
              <w:top w:type="dxa" w:w="100"/>
              <w:left w:type="dxa" w:w="120"/>
              <w:bottom w:type="dxa" w:w="100"/>
              <w:right w:type="dxa" w:w="120"/>
            </w:tcMar>
            <w:vAlign w:val="center"/>
          </w:tcPr>
          <w:p>
            <w:pPr>
              <w:jc w:val="left"/>
            </w:pPr>
            <w:r>
              <w:rPr>
                <w:b/>
                <w:bCs/>
                <w:color w:val="FFFFFF"/>
                <w:sz w:val="20"/>
                <w:szCs w:val="20"/>
              </w:rPr>
              <w:t xml:space="preserve">Risque</w:t>
            </w:r>
          </w:p>
        </w:tc>
        <w:tc>
          <w:tcPr>
            <w:tcW w:type="dxa" w:w="2026"/>
            <w:shd w:fill="1F2937" w:val="clear"/>
            <w:tcMar>
              <w:top w:type="dxa" w:w="100"/>
              <w:left w:type="dxa" w:w="120"/>
              <w:bottom w:type="dxa" w:w="100"/>
              <w:right w:type="dxa" w:w="120"/>
            </w:tcMar>
            <w:vAlign w:val="center"/>
          </w:tcPr>
          <w:p>
            <w:pPr>
              <w:jc w:val="left"/>
            </w:pPr>
            <w:r>
              <w:rPr>
                <w:b/>
                <w:bCs/>
                <w:color w:val="FFFFFF"/>
                <w:sz w:val="20"/>
                <w:szCs w:val="20"/>
              </w:rPr>
              <w:t xml:space="preserve">Recommandation</w:t>
            </w:r>
          </w:p>
        </w:tc>
      </w:tr>
      <w:tr>
        <w:tc>
          <w:tcPr>
            <w:tcW w:type="dxa" w:w="2400"/>
            <w:tcMar>
              <w:top w:type="dxa" w:w="100"/>
              <w:left w:type="dxa" w:w="120"/>
              <w:bottom w:type="dxa" w:w="100"/>
              <w:right w:type="dxa" w:w="120"/>
            </w:tcMar>
            <w:vAlign w:val="center"/>
          </w:tcPr>
          <w:p>
            <w:pPr>
              <w:jc w:val="left"/>
            </w:pPr>
            <w:r>
              <w:rPr>
                <w:b w:val="false"/>
                <w:bCs w:val="false"/>
                <w:color w:val="111111"/>
                <w:sz w:val="20"/>
                <w:szCs w:val="20"/>
              </w:rPr>
              <w:t xml:space="preserve">API officielle LinkedIn (Lead Gen Forms / Marketing API)</w:t>
            </w:r>
          </w:p>
        </w:tc>
        <w:tc>
          <w:tcPr>
            <w:tcW w:type="dxa" w:w="3100"/>
            <w:tcMar>
              <w:top w:type="dxa" w:w="100"/>
              <w:left w:type="dxa" w:w="120"/>
              <w:bottom w:type="dxa" w:w="100"/>
              <w:right w:type="dxa" w:w="120"/>
            </w:tcMar>
            <w:vAlign w:val="center"/>
          </w:tcPr>
          <w:p>
            <w:pPr>
              <w:jc w:val="left"/>
            </w:pPr>
            <w:r>
              <w:rPr>
                <w:b w:val="false"/>
                <w:bCs w:val="false"/>
                <w:color w:val="111111"/>
                <w:sz w:val="20"/>
                <w:szCs w:val="20"/>
              </w:rPr>
              <w:t xml:space="preserve">Accès via compte LinkedIn Ads + validation d'entreprise, récupère les leads issus de formulaires publicitaires LinkedIn</w:t>
            </w:r>
          </w:p>
        </w:tc>
        <w:tc>
          <w:tcPr>
            <w:tcW w:type="dxa" w:w="1500"/>
            <w:tcMar>
              <w:top w:type="dxa" w:w="100"/>
              <w:left w:type="dxa" w:w="120"/>
              <w:bottom w:type="dxa" w:w="100"/>
              <w:right w:type="dxa" w:w="120"/>
            </w:tcMar>
            <w:vAlign w:val="center"/>
          </w:tcPr>
          <w:p>
            <w:pPr>
              <w:jc w:val="left"/>
            </w:pPr>
            <w:r>
              <w:rPr>
                <w:b w:val="false"/>
                <w:bCs w:val="false"/>
                <w:color w:val="111111"/>
                <w:sz w:val="20"/>
                <w:szCs w:val="20"/>
              </w:rPr>
              <w:t xml:space="preserve">Faible (autorisé)</w:t>
            </w:r>
          </w:p>
        </w:tc>
        <w:tc>
          <w:tcPr>
            <w:tcW w:type="dxa" w:w="2026"/>
            <w:tcMar>
              <w:top w:type="dxa" w:w="100"/>
              <w:left w:type="dxa" w:w="120"/>
              <w:bottom w:type="dxa" w:w="100"/>
              <w:right w:type="dxa" w:w="120"/>
            </w:tcMar>
            <w:vAlign w:val="center"/>
          </w:tcPr>
          <w:p>
            <w:pPr>
              <w:jc w:val="left"/>
            </w:pPr>
            <w:r>
              <w:rPr>
                <w:b w:val="false"/>
                <w:bCs w:val="false"/>
                <w:color w:val="111111"/>
                <w:sz w:val="20"/>
                <w:szCs w:val="20"/>
              </w:rPr>
              <w:t xml:space="preserve">Solution à privilégier si budget pub LinkedIn</w:t>
            </w:r>
          </w:p>
        </w:tc>
      </w:tr>
      <w:tr>
        <w:tc>
          <w:tcPr>
            <w:tcW w:type="dxa" w:w="24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LinkedIn Sales Navigator (usage manuel + export)</w:t>
            </w:r>
          </w:p>
        </w:tc>
        <w:tc>
          <w:tcPr>
            <w:tcW w:type="dxa" w:w="31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Recherche avancée de prospects, export manuel des listes vers le CRM</w:t>
            </w:r>
          </w:p>
        </w:tc>
        <w:tc>
          <w:tcPr>
            <w:tcW w:type="dxa" w:w="15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Faible</w:t>
            </w:r>
          </w:p>
        </w:tc>
        <w:tc>
          <w:tcPr>
            <w:tcW w:type="dxa" w:w="20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Bonne base pour la prospection ciblée</w:t>
            </w:r>
          </w:p>
        </w:tc>
      </w:tr>
      <w:tr>
        <w:tc>
          <w:tcPr>
            <w:tcW w:type="dxa" w:w="2400"/>
            <w:tcMar>
              <w:top w:type="dxa" w:w="100"/>
              <w:left w:type="dxa" w:w="120"/>
              <w:bottom w:type="dxa" w:w="100"/>
              <w:right w:type="dxa" w:w="120"/>
            </w:tcMar>
            <w:vAlign w:val="center"/>
          </w:tcPr>
          <w:p>
            <w:pPr>
              <w:jc w:val="left"/>
            </w:pPr>
            <w:r>
              <w:rPr>
                <w:b w:val="false"/>
                <w:bCs w:val="false"/>
                <w:color w:val="111111"/>
                <w:sz w:val="20"/>
                <w:szCs w:val="20"/>
              </w:rPr>
              <w:t xml:space="preserve">Outils d'automatisation (Waalaxy, Expandi, PhantomBuster)</w:t>
            </w:r>
          </w:p>
        </w:tc>
        <w:tc>
          <w:tcPr>
            <w:tcW w:type="dxa" w:w="3100"/>
            <w:tcMar>
              <w:top w:type="dxa" w:w="100"/>
              <w:left w:type="dxa" w:w="120"/>
              <w:bottom w:type="dxa" w:w="100"/>
              <w:right w:type="dxa" w:w="120"/>
            </w:tcMar>
            <w:vAlign w:val="center"/>
          </w:tcPr>
          <w:p>
            <w:pPr>
              <w:jc w:val="left"/>
            </w:pPr>
            <w:r>
              <w:rPr>
                <w:b w:val="false"/>
                <w:bCs w:val="false"/>
                <w:color w:val="111111"/>
                <w:sz w:val="20"/>
                <w:szCs w:val="20"/>
              </w:rPr>
              <w:t xml:space="preserve">Extraction et prise de contact automatisées via extension ou cloud</w:t>
            </w:r>
          </w:p>
        </w:tc>
        <w:tc>
          <w:tcPr>
            <w:tcW w:type="dxa" w:w="1500"/>
            <w:tcMar>
              <w:top w:type="dxa" w:w="100"/>
              <w:left w:type="dxa" w:w="120"/>
              <w:bottom w:type="dxa" w:w="100"/>
              <w:right w:type="dxa" w:w="120"/>
            </w:tcMar>
            <w:vAlign w:val="center"/>
          </w:tcPr>
          <w:p>
            <w:pPr>
              <w:jc w:val="left"/>
            </w:pPr>
            <w:r>
              <w:rPr>
                <w:b w:val="false"/>
                <w:bCs w:val="false"/>
                <w:color w:val="111111"/>
                <w:sz w:val="20"/>
                <w:szCs w:val="20"/>
              </w:rPr>
              <w:t xml:space="preserve">Élevé : détection algorithmique, risque de restriction/bannissement du compte</w:t>
            </w:r>
          </w:p>
        </w:tc>
        <w:tc>
          <w:tcPr>
            <w:tcW w:type="dxa" w:w="2026"/>
            <w:tcMar>
              <w:top w:type="dxa" w:w="100"/>
              <w:left w:type="dxa" w:w="120"/>
              <w:bottom w:type="dxa" w:w="100"/>
              <w:right w:type="dxa" w:w="120"/>
            </w:tcMar>
            <w:vAlign w:val="center"/>
          </w:tcPr>
          <w:p>
            <w:pPr>
              <w:jc w:val="left"/>
            </w:pPr>
            <w:r>
              <w:rPr>
                <w:b w:val="false"/>
                <w:bCs w:val="false"/>
                <w:color w:val="111111"/>
                <w:sz w:val="20"/>
                <w:szCs w:val="20"/>
              </w:rPr>
              <w:t xml:space="preserve">À éviter ou usage très prudent (volumes faibles, rythme humain)</w:t>
            </w:r>
          </w:p>
        </w:tc>
      </w:tr>
    </w:tbl>
    <w:p>
      <w:pPr>
        <w:spacing w:after="200" w:line="300"/>
      </w:pPr>
      <w:r>
        <w:rPr>
          <w:b w:val="false"/>
          <w:bCs w:val="false"/>
          <w:color w:val="6B7280"/>
          <w:sz w:val="20"/>
          <w:szCs w:val="20"/>
        </w:rPr>
        <w:t xml:space="preserve">Recommandation pour l'outil : prévoir une connexion basée sur les API officielles (formulaires LinkedIn Ads si vous faites de la pub) et/ou un import manuel structuré (CSV depuis Sales Navigator), plutôt qu'un scraping automatisé qui met le compte LinkedIn professionnel en danger.</w:t>
      </w:r>
    </w:p>
    <w:p>
      <w:pPr>
        <w:pStyle w:val="Heading1"/>
        <w:pBdr>
          <w:bottom w:val="single" w:color="2563EB" w:sz="8" w:space="4"/>
        </w:pBdr>
        <w:spacing w:after="200" w:before="400"/>
      </w:pPr>
      <w:r>
        <w:rPr>
          <w:b/>
          <w:bCs/>
          <w:color w:val="1F2937"/>
          <w:sz w:val="30"/>
          <w:szCs w:val="30"/>
        </w:rPr>
        <w:t xml:space="preserve">5. Bonnes pratiques : suivi des leads et des opportunités</w:t>
      </w:r>
    </w:p>
    <w:p>
      <w:pPr>
        <w:spacing w:after="160" w:line="300"/>
      </w:pPr>
      <w:r>
        <w:rPr>
          <w:b w:val="false"/>
          <w:bCs w:val="false"/>
          <w:color w:val="222222"/>
          <w:sz w:val="21"/>
          <w:szCs w:val="21"/>
        </w:rPr>
        <w:t xml:space="preserve">Un lead est un contact qui a manifesté un intérêt initial (like, message, formulaire) ; une opportunité est un lead qualifié avec un besoin confirmé et un potentiel d'achat réel. Distinguer clairement les deux évite de polluer le pipeline commercial.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2926"/>
      </w:tblGrid>
      <w:tr>
        <w:trPr>
          <w:tblHeader/>
        </w:trPr>
        <w:tc>
          <w:tcPr>
            <w:tcW w:type="dxa" w:w="1800"/>
            <w:shd w:fill="1F2937" w:val="clear"/>
            <w:tcMar>
              <w:top w:type="dxa" w:w="100"/>
              <w:left w:type="dxa" w:w="120"/>
              <w:bottom w:type="dxa" w:w="100"/>
              <w:right w:type="dxa" w:w="120"/>
            </w:tcMar>
            <w:vAlign w:val="center"/>
          </w:tcPr>
          <w:p>
            <w:pPr>
              <w:jc w:val="left"/>
            </w:pPr>
            <w:r>
              <w:rPr>
                <w:b/>
                <w:bCs/>
                <w:color w:val="FFFFFF"/>
                <w:sz w:val="20"/>
                <w:szCs w:val="20"/>
              </w:rPr>
              <w:t xml:space="preserve">Étape</w:t>
            </w:r>
          </w:p>
        </w:tc>
        <w:tc>
          <w:tcPr>
            <w:tcW w:type="dxa" w:w="4300"/>
            <w:shd w:fill="1F2937" w:val="clear"/>
            <w:tcMar>
              <w:top w:type="dxa" w:w="100"/>
              <w:left w:type="dxa" w:w="120"/>
              <w:bottom w:type="dxa" w:w="100"/>
              <w:right w:type="dxa" w:w="120"/>
            </w:tcMar>
            <w:vAlign w:val="center"/>
          </w:tcPr>
          <w:p>
            <w:pPr>
              <w:jc w:val="left"/>
            </w:pPr>
            <w:r>
              <w:rPr>
                <w:b/>
                <w:bCs/>
                <w:color w:val="FFFFFF"/>
                <w:sz w:val="20"/>
                <w:szCs w:val="20"/>
              </w:rPr>
              <w:t xml:space="preserve">Définition</w:t>
            </w:r>
          </w:p>
        </w:tc>
        <w:tc>
          <w:tcPr>
            <w:tcW w:type="dxa" w:w="2926"/>
            <w:shd w:fill="1F2937" w:val="clear"/>
            <w:tcMar>
              <w:top w:type="dxa" w:w="100"/>
              <w:left w:type="dxa" w:w="120"/>
              <w:bottom w:type="dxa" w:w="100"/>
              <w:right w:type="dxa" w:w="120"/>
            </w:tcMar>
            <w:vAlign w:val="center"/>
          </w:tcPr>
          <w:p>
            <w:pPr>
              <w:jc w:val="left"/>
            </w:pPr>
            <w:r>
              <w:rPr>
                <w:b/>
                <w:bCs/>
                <w:color w:val="FFFFFF"/>
                <w:sz w:val="20"/>
                <w:szCs w:val="20"/>
              </w:rPr>
              <w:t xml:space="preserve">Action clé</w:t>
            </w:r>
          </w:p>
        </w:tc>
      </w:tr>
      <w:tr>
        <w:tc>
          <w:tcPr>
            <w:tcW w:type="dxa" w:w="1800"/>
            <w:tcMar>
              <w:top w:type="dxa" w:w="100"/>
              <w:left w:type="dxa" w:w="120"/>
              <w:bottom w:type="dxa" w:w="100"/>
              <w:right w:type="dxa" w:w="120"/>
            </w:tcMar>
            <w:vAlign w:val="center"/>
          </w:tcPr>
          <w:p>
            <w:pPr>
              <w:jc w:val="left"/>
            </w:pPr>
            <w:r>
              <w:rPr>
                <w:b w:val="false"/>
                <w:bCs w:val="false"/>
                <w:color w:val="111111"/>
                <w:sz w:val="20"/>
                <w:szCs w:val="20"/>
              </w:rPr>
              <w:t xml:space="preserve">Nouveau lead</w:t>
            </w:r>
          </w:p>
        </w:tc>
        <w:tc>
          <w:tcPr>
            <w:tcW w:type="dxa" w:w="4300"/>
            <w:tcMar>
              <w:top w:type="dxa" w:w="100"/>
              <w:left w:type="dxa" w:w="120"/>
              <w:bottom w:type="dxa" w:w="100"/>
              <w:right w:type="dxa" w:w="120"/>
            </w:tcMar>
            <w:vAlign w:val="center"/>
          </w:tcPr>
          <w:p>
            <w:pPr>
              <w:jc w:val="left"/>
            </w:pPr>
            <w:r>
              <w:rPr>
                <w:b w:val="false"/>
                <w:bCs w:val="false"/>
                <w:color w:val="111111"/>
                <w:sz w:val="20"/>
                <w:szCs w:val="20"/>
              </w:rPr>
              <w:t xml:space="preserve">Contact identifié sur un canal (LinkedIn, Instagram, formulaire site)</w:t>
            </w:r>
          </w:p>
        </w:tc>
        <w:tc>
          <w:tcPr>
            <w:tcW w:type="dxa" w:w="2926"/>
            <w:tcMar>
              <w:top w:type="dxa" w:w="100"/>
              <w:left w:type="dxa" w:w="120"/>
              <w:bottom w:type="dxa" w:w="100"/>
              <w:right w:type="dxa" w:w="120"/>
            </w:tcMar>
            <w:vAlign w:val="center"/>
          </w:tcPr>
          <w:p>
            <w:pPr>
              <w:jc w:val="left"/>
            </w:pPr>
            <w:r>
              <w:rPr>
                <w:b w:val="false"/>
                <w:bCs w:val="false"/>
                <w:color w:val="111111"/>
                <w:sz w:val="20"/>
                <w:szCs w:val="20"/>
              </w:rPr>
              <w:t xml:space="preserve">Qualifier sous 48h</w:t>
            </w:r>
          </w:p>
        </w:tc>
      </w:tr>
      <w:tr>
        <w:tc>
          <w:tcPr>
            <w:tcW w:type="dxa" w:w="18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Contacté</w:t>
            </w:r>
          </w:p>
        </w:tc>
        <w:tc>
          <w:tcPr>
            <w:tcW w:type="dxa" w:w="43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Premier message ou appel engagé</w:t>
            </w:r>
          </w:p>
        </w:tc>
        <w:tc>
          <w:tcPr>
            <w:tcW w:type="dxa" w:w="29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Suivre la réponse</w:t>
            </w:r>
          </w:p>
        </w:tc>
      </w:tr>
      <w:tr>
        <w:tc>
          <w:tcPr>
            <w:tcW w:type="dxa" w:w="1800"/>
            <w:tcMar>
              <w:top w:type="dxa" w:w="100"/>
              <w:left w:type="dxa" w:w="120"/>
              <w:bottom w:type="dxa" w:w="100"/>
              <w:right w:type="dxa" w:w="120"/>
            </w:tcMar>
            <w:vAlign w:val="center"/>
          </w:tcPr>
          <w:p>
            <w:pPr>
              <w:jc w:val="left"/>
            </w:pPr>
            <w:r>
              <w:rPr>
                <w:b w:val="false"/>
                <w:bCs w:val="false"/>
                <w:color w:val="111111"/>
                <w:sz w:val="20"/>
                <w:szCs w:val="20"/>
              </w:rPr>
              <w:t xml:space="preserve">Qualifié (MQL)</w:t>
            </w:r>
          </w:p>
        </w:tc>
        <w:tc>
          <w:tcPr>
            <w:tcW w:type="dxa" w:w="4300"/>
            <w:tcMar>
              <w:top w:type="dxa" w:w="100"/>
              <w:left w:type="dxa" w:w="120"/>
              <w:bottom w:type="dxa" w:w="100"/>
              <w:right w:type="dxa" w:w="120"/>
            </w:tcMar>
            <w:vAlign w:val="center"/>
          </w:tcPr>
          <w:p>
            <w:pPr>
              <w:jc w:val="left"/>
            </w:pPr>
            <w:r>
              <w:rPr>
                <w:b w:val="false"/>
                <w:bCs w:val="false"/>
                <w:color w:val="111111"/>
                <w:sz w:val="20"/>
                <w:szCs w:val="20"/>
              </w:rPr>
              <w:t xml:space="preserve">Besoin exprimé, budget/rôle vérifiés</w:t>
            </w:r>
          </w:p>
        </w:tc>
        <w:tc>
          <w:tcPr>
            <w:tcW w:type="dxa" w:w="2926"/>
            <w:tcMar>
              <w:top w:type="dxa" w:w="100"/>
              <w:left w:type="dxa" w:w="120"/>
              <w:bottom w:type="dxa" w:w="100"/>
              <w:right w:type="dxa" w:w="120"/>
            </w:tcMar>
            <w:vAlign w:val="center"/>
          </w:tcPr>
          <w:p>
            <w:pPr>
              <w:jc w:val="left"/>
            </w:pPr>
            <w:r>
              <w:rPr>
                <w:b w:val="false"/>
                <w:bCs w:val="false"/>
                <w:color w:val="111111"/>
                <w:sz w:val="20"/>
                <w:szCs w:val="20"/>
              </w:rPr>
              <w:t xml:space="preserve">Passer en opportunité</w:t>
            </w:r>
          </w:p>
        </w:tc>
      </w:tr>
      <w:tr>
        <w:tc>
          <w:tcPr>
            <w:tcW w:type="dxa" w:w="18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Opportunité</w:t>
            </w:r>
          </w:p>
        </w:tc>
        <w:tc>
          <w:tcPr>
            <w:tcW w:type="dxa" w:w="43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Rendez-vous / démo planifié, devis en cours</w:t>
            </w:r>
          </w:p>
        </w:tc>
        <w:tc>
          <w:tcPr>
            <w:tcW w:type="dxa" w:w="29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Chiffrer et proposer</w:t>
            </w:r>
          </w:p>
        </w:tc>
      </w:tr>
      <w:tr>
        <w:tc>
          <w:tcPr>
            <w:tcW w:type="dxa" w:w="1800"/>
            <w:tcMar>
              <w:top w:type="dxa" w:w="100"/>
              <w:left w:type="dxa" w:w="120"/>
              <w:bottom w:type="dxa" w:w="100"/>
              <w:right w:type="dxa" w:w="120"/>
            </w:tcMar>
            <w:vAlign w:val="center"/>
          </w:tcPr>
          <w:p>
            <w:pPr>
              <w:jc w:val="left"/>
            </w:pPr>
            <w:r>
              <w:rPr>
                <w:b w:val="false"/>
                <w:bCs w:val="false"/>
                <w:color w:val="111111"/>
                <w:sz w:val="20"/>
                <w:szCs w:val="20"/>
              </w:rPr>
              <w:t xml:space="preserve">Négociation</w:t>
            </w:r>
          </w:p>
        </w:tc>
        <w:tc>
          <w:tcPr>
            <w:tcW w:type="dxa" w:w="4300"/>
            <w:tcMar>
              <w:top w:type="dxa" w:w="100"/>
              <w:left w:type="dxa" w:w="120"/>
              <w:bottom w:type="dxa" w:w="100"/>
              <w:right w:type="dxa" w:w="120"/>
            </w:tcMar>
            <w:vAlign w:val="center"/>
          </w:tcPr>
          <w:p>
            <w:pPr>
              <w:jc w:val="left"/>
            </w:pPr>
            <w:r>
              <w:rPr>
                <w:b w:val="false"/>
                <w:bCs w:val="false"/>
                <w:color w:val="111111"/>
                <w:sz w:val="20"/>
                <w:szCs w:val="20"/>
              </w:rPr>
              <w:t xml:space="preserve">Proposition envoyée, discussion conditions</w:t>
            </w:r>
          </w:p>
        </w:tc>
        <w:tc>
          <w:tcPr>
            <w:tcW w:type="dxa" w:w="2926"/>
            <w:tcMar>
              <w:top w:type="dxa" w:w="100"/>
              <w:left w:type="dxa" w:w="120"/>
              <w:bottom w:type="dxa" w:w="100"/>
              <w:right w:type="dxa" w:w="120"/>
            </w:tcMar>
            <w:vAlign w:val="center"/>
          </w:tcPr>
          <w:p>
            <w:pPr>
              <w:jc w:val="left"/>
            </w:pPr>
            <w:r>
              <w:rPr>
                <w:b w:val="false"/>
                <w:bCs w:val="false"/>
                <w:color w:val="111111"/>
                <w:sz w:val="20"/>
                <w:szCs w:val="20"/>
              </w:rPr>
              <w:t xml:space="preserve">Relancer activement</w:t>
            </w:r>
          </w:p>
        </w:tc>
      </w:tr>
      <w:tr>
        <w:tc>
          <w:tcPr>
            <w:tcW w:type="dxa" w:w="18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Gagné / Perdu</w:t>
            </w:r>
          </w:p>
        </w:tc>
        <w:tc>
          <w:tcPr>
            <w:tcW w:type="dxa" w:w="4300"/>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Décision finale du client</w:t>
            </w:r>
          </w:p>
        </w:tc>
        <w:tc>
          <w:tcPr>
            <w:tcW w:type="dxa" w:w="2926"/>
            <w:shd w:fill="EFF6FF" w:val="clear"/>
            <w:tcMar>
              <w:top w:type="dxa" w:w="100"/>
              <w:left w:type="dxa" w:w="120"/>
              <w:bottom w:type="dxa" w:w="100"/>
              <w:right w:type="dxa" w:w="120"/>
            </w:tcMar>
            <w:vAlign w:val="center"/>
          </w:tcPr>
          <w:p>
            <w:pPr>
              <w:jc w:val="left"/>
            </w:pPr>
            <w:r>
              <w:rPr>
                <w:b w:val="false"/>
                <w:bCs w:val="false"/>
                <w:color w:val="111111"/>
                <w:sz w:val="20"/>
                <w:szCs w:val="20"/>
              </w:rPr>
              <w:t xml:space="preserve">Archiver et analyser le motif</w:t>
            </w:r>
          </w:p>
        </w:tc>
      </w:tr>
    </w:tbl>
    <w:p>
      <w:pPr>
        <w:spacing w:after="200" w:line="300"/>
      </w:pPr>
      <w:r>
        <w:rPr>
          <w:b w:val="false"/>
          <w:bCs w:val="false"/>
          <w:color w:val="222222"/>
          <w:sz w:val="21"/>
          <w:szCs w:val="21"/>
        </w:rPr>
        <w:t xml:space="preserve">Bonnes pratiques complémentaires : scoring simple à deux axes (adéquation du profil / entreprise + intensité d'intérêt observée), pondération plus forte des réponses actives (réponse à un message, RDV pris) que des simples vues de profil, et mise à jour du pipeline en continu plutôt qu'en fin de mois.</w:t>
      </w:r>
    </w:p>
    <w:p>
      <w:pPr>
        <w:pStyle w:val="Heading1"/>
        <w:pBdr>
          <w:bottom w:val="single" w:color="2563EB" w:sz="8" w:space="4"/>
        </w:pBdr>
        <w:spacing w:after="200" w:before="400"/>
      </w:pPr>
      <w:r>
        <w:rPr>
          <w:b/>
          <w:bCs/>
          <w:color w:val="1F2937"/>
          <w:sz w:val="30"/>
          <w:szCs w:val="30"/>
        </w:rPr>
        <w:t xml:space="preserve">6. Bonnes pratiques : conception du tableau de bord</w:t>
      </w:r>
    </w:p>
    <w:p>
      <w:pPr>
        <w:pStyle w:val="ListParagraph"/>
        <w:numPr>
          <w:ilvl w:val="0"/>
          <w:numId w:val="2"/>
        </w:numPr>
        <w:spacing w:after="100" w:line="290"/>
      </w:pPr>
      <w:r>
        <w:rPr>
          <w:b w:val="false"/>
          <w:bCs w:val="false"/>
          <w:color w:val="222222"/>
          <w:sz w:val="21"/>
          <w:szCs w:val="21"/>
        </w:rPr>
        <w:t xml:space="preserve">Limiter chaque écran à 5-9 indicateurs clés maximum (au-delà de 12, l'engagement chute de 40 %).</w:t>
      </w:r>
    </w:p>
    <w:p>
      <w:pPr>
        <w:pStyle w:val="ListParagraph"/>
        <w:numPr>
          <w:ilvl w:val="0"/>
          <w:numId w:val="2"/>
        </w:numPr>
        <w:spacing w:after="100" w:line="290"/>
      </w:pPr>
      <w:r>
        <w:rPr>
          <w:b w:val="false"/>
          <w:bCs w:val="false"/>
          <w:color w:val="222222"/>
          <w:sz w:val="21"/>
          <w:szCs w:val="21"/>
        </w:rPr>
        <w:t xml:space="preserve">Mettre en avant en haut à gauche l'indicateur le plus important (ex : pipeline généré, valeur des opportunités en cours).</w:t>
      </w:r>
    </w:p>
    <w:p>
      <w:pPr>
        <w:pStyle w:val="ListParagraph"/>
        <w:numPr>
          <w:ilvl w:val="0"/>
          <w:numId w:val="2"/>
        </w:numPr>
        <w:spacing w:after="100" w:line="290"/>
      </w:pPr>
      <w:r>
        <w:rPr>
          <w:b w:val="false"/>
          <w:bCs w:val="false"/>
          <w:color w:val="222222"/>
          <w:sz w:val="21"/>
          <w:szCs w:val="21"/>
        </w:rPr>
        <w:t xml:space="preserve">Prioriser les métriques de résultat (pipeline généré, taux de conversion lead→opportunité, coût par lead) plutôt que les métriques de vanité (impressions, followers).</w:t>
      </w:r>
    </w:p>
    <w:p>
      <w:pPr>
        <w:pStyle w:val="ListParagraph"/>
        <w:numPr>
          <w:ilvl w:val="0"/>
          <w:numId w:val="2"/>
        </w:numPr>
        <w:spacing w:after="100" w:line="290"/>
      </w:pPr>
      <w:r>
        <w:rPr>
          <w:b w:val="false"/>
          <w:bCs w:val="false"/>
          <w:color w:val="222222"/>
          <w:sz w:val="21"/>
          <w:szCs w:val="21"/>
        </w:rPr>
        <w:t xml:space="preserve">Regrouper : indicateur principal en haut, tendances dans le temps à gauche, répartitions par canal à droite, détail des leads en bas.</w:t>
      </w:r>
    </w:p>
    <w:p>
      <w:pPr>
        <w:spacing w:after="60" w:line="300"/>
      </w:pPr>
      <w:r>
        <w:rPr>
          <w:b w:val="false"/>
          <w:bCs w:val="false"/>
          <w:color w:val="222222"/>
          <w:sz w:val="21"/>
          <w:szCs w:val="21"/>
        </w:rPr>
        <w:t xml:space="preserve"/>
      </w:r>
    </w:p>
    <w:p>
      <w:pPr>
        <w:pStyle w:val="Heading1"/>
        <w:pBdr>
          <w:bottom w:val="single" w:color="2563EB" w:sz="8" w:space="4"/>
        </w:pBdr>
        <w:spacing w:after="200" w:before="400"/>
      </w:pPr>
      <w:r>
        <w:rPr>
          <w:b/>
          <w:bCs/>
          <w:color w:val="1F2937"/>
          <w:sz w:val="30"/>
          <w:szCs w:val="30"/>
        </w:rPr>
        <w:t xml:space="preserve">7. No-code vs développement sur-mesure</w:t>
      </w:r>
    </w:p>
    <w:p>
      <w:pPr>
        <w:spacing w:after="160" w:line="300"/>
      </w:pPr>
      <w:r>
        <w:rPr>
          <w:b w:val="false"/>
          <w:bCs w:val="false"/>
          <w:color w:val="222222"/>
          <w:sz w:val="21"/>
          <w:szCs w:val="21"/>
        </w:rPr>
        <w:t xml:space="preserve">Deux approches sont possibles pour construire l'outil :</w:t>
      </w:r>
    </w:p>
    <w:p>
      <w:pPr>
        <w:pStyle w:val="ListParagraph"/>
        <w:numPr>
          <w:ilvl w:val="0"/>
          <w:numId w:val="2"/>
        </w:numPr>
        <w:spacing w:after="100" w:line="290"/>
      </w:pPr>
      <w:r>
        <w:rPr>
          <w:b w:val="false"/>
          <w:bCs w:val="false"/>
          <w:color w:val="222222"/>
          <w:sz w:val="21"/>
          <w:szCs w:val="21"/>
        </w:rPr>
        <w:t xml:space="preserve">Stack no-code (Airtable/Notion + automatisations type Zapier/Make, ou un CRM comme Folk) : mise en place rapide, coût initial faible, idéal pour démarrer et valider les besoins réels.</w:t>
      </w:r>
    </w:p>
    <w:p>
      <w:pPr>
        <w:pStyle w:val="ListParagraph"/>
        <w:numPr>
          <w:ilvl w:val="0"/>
          <w:numId w:val="2"/>
        </w:numPr>
        <w:spacing w:after="100" w:line="290"/>
      </w:pPr>
      <w:r>
        <w:rPr>
          <w:b w:val="false"/>
          <w:bCs w:val="false"/>
          <w:color w:val="222222"/>
          <w:sz w:val="21"/>
          <w:szCs w:val="21"/>
        </w:rPr>
        <w:t xml:space="preserve">Développement sur-mesure : justifié seulement si les automatisations nécessaires dépassent ce que le no-code peut faire proprement, ou si le coût par utilisateur du no-code dépasse à terme celui d'un outil dédié.</w:t>
      </w:r>
    </w:p>
    <w:p>
      <w:pPr>
        <w:spacing w:after="200" w:line="300"/>
      </w:pPr>
      <w:r>
        <w:rPr>
          <w:b w:val="false"/>
          <w:bCs w:val="false"/>
          <w:color w:val="6B7280"/>
          <w:sz w:val="20"/>
          <w:szCs w:val="20"/>
        </w:rPr>
        <w:t xml:space="preserve">Pour ce projet, la recommandation est de démarrer avec une base no-code (Airtable pour la structure de données leads/opportunités + Buffer pour le multicanal), le temps de valider les process, avant d'investir dans un développement spécifique si le volume le justifie.</w:t>
      </w:r>
    </w:p>
    <w:p>
      <w:pPr>
        <w:pStyle w:val="Heading1"/>
        <w:pBdr>
          <w:bottom w:val="single" w:color="2563EB" w:sz="8" w:space="4"/>
        </w:pBdr>
        <w:spacing w:after="200" w:before="400"/>
      </w:pPr>
      <w:r>
        <w:rPr>
          <w:b/>
          <w:bCs/>
          <w:color w:val="1F2937"/>
          <w:sz w:val="30"/>
          <w:szCs w:val="30"/>
        </w:rPr>
        <w:t xml:space="preserve">8. Architecture cible proposée</w:t>
      </w:r>
    </w:p>
    <w:p>
      <w:pPr>
        <w:spacing w:after="160" w:line="300"/>
      </w:pPr>
      <w:r>
        <w:rPr>
          <w:b w:val="false"/>
          <w:bCs w:val="false"/>
          <w:color w:val="222222"/>
          <w:sz w:val="21"/>
          <w:szCs w:val="21"/>
        </w:rPr>
        <w:t xml:space="preserve">En cohérence avec le principe « simplicité, efficacité, design professionnel », l'outil pourrait s'articuler autour de 4 modules :</w:t>
      </w:r>
    </w:p>
    <w:p>
      <w:pPr>
        <w:pStyle w:val="ListParagraph"/>
        <w:numPr>
          <w:ilvl w:val="0"/>
          <w:numId w:val="2"/>
        </w:numPr>
        <w:spacing w:after="100" w:line="290"/>
      </w:pPr>
      <w:r>
        <w:rPr>
          <w:b w:val="false"/>
          <w:bCs w:val="false"/>
          <w:color w:val="222222"/>
          <w:sz w:val="21"/>
          <w:szCs w:val="21"/>
        </w:rPr>
        <w:t xml:space="preserve">Module Marketing multicanal : calendrier + suivi des publications LinkedIn/Instagram, indicateurs par canal (portée, engagement, clics).</w:t>
      </w:r>
    </w:p>
    <w:p>
      <w:pPr>
        <w:pStyle w:val="ListParagraph"/>
        <w:numPr>
          <w:ilvl w:val="0"/>
          <w:numId w:val="2"/>
        </w:numPr>
        <w:spacing w:after="100" w:line="290"/>
      </w:pPr>
      <w:r>
        <w:rPr>
          <w:b w:val="false"/>
          <w:bCs w:val="false"/>
          <w:color w:val="222222"/>
          <w:sz w:val="21"/>
          <w:szCs w:val="21"/>
        </w:rPr>
        <w:t xml:space="preserve">Module Leads : capture centralisée (import manuel Sales Navigator, formulaires site, API Lead Gen LinkedIn si pub payante), scoring simple fit + intérêt.</w:t>
      </w:r>
    </w:p>
    <w:p>
      <w:pPr>
        <w:pStyle w:val="ListParagraph"/>
        <w:numPr>
          <w:ilvl w:val="0"/>
          <w:numId w:val="2"/>
        </w:numPr>
        <w:spacing w:after="100" w:line="290"/>
      </w:pPr>
      <w:r>
        <w:rPr>
          <w:b w:val="false"/>
          <w:bCs w:val="false"/>
          <w:color w:val="222222"/>
          <w:sz w:val="21"/>
          <w:szCs w:val="21"/>
        </w:rPr>
        <w:t xml:space="preserve">Module Pipeline / Opportunités : les 6 étapes définies en section 5, avec valeur estimée et probabilité de conversion par étape.</w:t>
      </w:r>
    </w:p>
    <w:p>
      <w:pPr>
        <w:pStyle w:val="ListParagraph"/>
        <w:numPr>
          <w:ilvl w:val="0"/>
          <w:numId w:val="2"/>
        </w:numPr>
        <w:spacing w:after="100" w:line="290"/>
      </w:pPr>
      <w:r>
        <w:rPr>
          <w:b w:val="false"/>
          <w:bCs w:val="false"/>
          <w:color w:val="222222"/>
          <w:sz w:val="21"/>
          <w:szCs w:val="21"/>
        </w:rPr>
        <w:t xml:space="preserve">Module Dashboard : vue unique avec pipeline généré, taux de conversion, opportunités en cours, activité marketing par canal — selon les règles de la section 6.</w:t>
      </w:r>
    </w:p>
    <w:p>
      <w:pPr>
        <w:spacing w:after="60" w:line="300"/>
      </w:pPr>
      <w:r>
        <w:rPr>
          <w:b w:val="false"/>
          <w:bCs w:val="false"/>
          <w:color w:val="222222"/>
          <w:sz w:val="21"/>
          <w:szCs w:val="21"/>
        </w:rPr>
        <w:t xml:space="preserve"/>
      </w:r>
    </w:p>
    <w:p>
      <w:pPr>
        <w:pStyle w:val="Heading1"/>
        <w:pBdr>
          <w:bottom w:val="single" w:color="2563EB" w:sz="8" w:space="4"/>
        </w:pBdr>
        <w:spacing w:after="200" w:before="400"/>
      </w:pPr>
      <w:r>
        <w:rPr>
          <w:b/>
          <w:bCs/>
          <w:color w:val="1F2937"/>
          <w:sz w:val="30"/>
          <w:szCs w:val="30"/>
        </w:rPr>
        <w:t xml:space="preserve">9. Prochaines étapes suggérées</w:t>
      </w:r>
    </w:p>
    <w:p>
      <w:pPr>
        <w:pStyle w:val="ListParagraph"/>
        <w:numPr>
          <w:ilvl w:val="0"/>
          <w:numId w:val="2"/>
        </w:numPr>
        <w:spacing w:after="100" w:line="290"/>
      </w:pPr>
      <w:r>
        <w:rPr>
          <w:b w:val="false"/>
          <w:bCs w:val="false"/>
          <w:color w:val="222222"/>
          <w:sz w:val="21"/>
          <w:szCs w:val="21"/>
        </w:rPr>
        <w:t xml:space="preserve">Valider le périmètre exact souhaité (quels canaux, quel volume de leads attendu, solo ou équipe).</w:t>
      </w:r>
    </w:p>
    <w:p>
      <w:pPr>
        <w:pStyle w:val="ListParagraph"/>
        <w:numPr>
          <w:ilvl w:val="0"/>
          <w:numId w:val="2"/>
        </w:numPr>
        <w:spacing w:after="100" w:line="290"/>
      </w:pPr>
      <w:r>
        <w:rPr>
          <w:b w:val="false"/>
          <w:bCs w:val="false"/>
          <w:color w:val="222222"/>
          <w:sz w:val="21"/>
          <w:szCs w:val="21"/>
        </w:rPr>
        <w:t xml:space="preserve">Choisir entre stack no-code rapide ou développement sur-mesure selon le budget et le temps disponible.</w:t>
      </w:r>
    </w:p>
    <w:p>
      <w:pPr>
        <w:pStyle w:val="ListParagraph"/>
        <w:numPr>
          <w:ilvl w:val="0"/>
          <w:numId w:val="2"/>
        </w:numPr>
        <w:spacing w:after="100" w:line="290"/>
      </w:pPr>
      <w:r>
        <w:rPr>
          <w:b w:val="false"/>
          <w:bCs w:val="false"/>
          <w:color w:val="222222"/>
          <w:sz w:val="21"/>
          <w:szCs w:val="21"/>
        </w:rPr>
        <w:t xml:space="preserve">Définir précisément les étapes du pipeline et les règles de scoring adaptées à votre activité d'applications industrielles.</w:t>
      </w:r>
    </w:p>
    <w:p>
      <w:pPr>
        <w:pStyle w:val="ListParagraph"/>
        <w:numPr>
          <w:ilvl w:val="0"/>
          <w:numId w:val="2"/>
        </w:numPr>
        <w:spacing w:after="100" w:line="290"/>
      </w:pPr>
      <w:r>
        <w:rPr>
          <w:b w:val="false"/>
          <w:bCs w:val="false"/>
          <w:color w:val="222222"/>
          <w:sz w:val="21"/>
          <w:szCs w:val="21"/>
        </w:rPr>
        <w:t xml:space="preserve">Concevoir la maquette du tableau de bord (KPIs prioritaires) avant toute construction technique.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2026-07-18T22:49:09.984Z</dcterms:created>
  <dcterms:modified xsi:type="dcterms:W3CDTF">2026-07-18T22:49:09.985Z</dcterms:modified>
</cp:coreProperties>
</file>

<file path=docProps/custom.xml><?xml version="1.0" encoding="utf-8"?>
<Properties xmlns="http://schemas.openxmlformats.org/officeDocument/2006/custom-properties" xmlns:vt="http://schemas.openxmlformats.org/officeDocument/2006/docPropsVTypes"/>
</file>