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[Author name TBD]</w:t>
      </w:r>
      <w:r>
        <w:rPr>
          <w:vertAlign w:val="superscript"/>
        </w:rPr>
        <w:t xml:space="preserve">1</w:t>
      </w:r>
    </w:p>
    <w:p>
      <w:pPr>
        <w:pStyle w:val="Date"/>
      </w:pPr>
      <w:r>
        <w:t xml:space="preserve">First draft v0.1 — 2026-05-21 · Target journal:</w:t>
      </w:r>
      <w:r>
        <w:t xml:space="preserve"> </w:t>
      </w:r>
      <w:r>
        <w:rPr>
          <w:i/>
          <w:iCs/>
        </w:rPr>
        <w:t xml:space="preserve">Remote Sensing of Environment</w:t>
      </w:r>
      <w:r>
        <w:t xml:space="preserve"> </w:t>
      </w:r>
      <w:r>
        <w:t xml:space="preserve">· ~6,900 words (incl. References)</w:t>
      </w:r>
    </w:p>
    <w:p>
      <w:pPr>
        <w:pStyle w:val="AbstractTitle"/>
      </w:pPr>
      <w:r>
        <w:t xml:space="preserve">Abstract</w:t>
      </w:r>
    </w:p>
    <w:p>
      <w:pPr>
        <w:pStyle w:val="Abstract"/>
      </w:pPr>
      <w:r>
        <w:t xml:space="preserve">The waterline method for mapping intertidal Digital Elevation Models (DEMs) from optical satellite imagery assumes that satellite scenes sample the local tidal cycle without systematic bias. We derive a closed-form, first-order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w:t>
      </w:r>
      <w:r>
        <w:t xml:space="preserve"> </w:t>
      </w:r>
      <w:r>
        <w:rPr>
          <w:i/>
          <w:iCs/>
        </w:rPr>
        <w:t xml:space="preserve">opposite signs</w:t>
      </w:r>
      <w:r>
        <w:t xml:space="preserve"> </w:t>
      </w:r>
      <w:r>
        <w:t xml:space="preserve">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w:t>
      </w:r>
    </w:p>
    <w:p>
      <w:pPr>
        <w:pStyle w:val="Abstract"/>
      </w:pPr>
      <w:r>
        <w:t xml:space="preserve">A bootstrap slope</w:t>
      </w:r>
      <w:r>
        <w:t xml:space="preserve"> </w:t>
      </w:r>
      <m:oMath>
        <m:r>
          <m:t>β</m:t>
        </m:r>
        <m:r>
          <m:rPr>
            <m:sty m:val="p"/>
          </m:rPr>
          <m:t>=</m:t>
        </m:r>
        <m:r>
          <m:t>1.78</m:t>
        </m:r>
      </m:oMath>
      <w:r>
        <w:t xml:space="preserve"> </w:t>
      </w:r>
      <w:r>
        <w:t xml:space="preserve">(95 % CI 1.44–1.91) reproduces the bias across 5 sites and 3 sensors with</w:t>
      </w:r>
      <w:r>
        <w:t xml:space="preserve"> </w:t>
      </w:r>
      <m:oMath>
        <m:sSup>
          <m:e>
            <m:r>
              <m:t>R</m:t>
            </m:r>
          </m:e>
          <m:sup>
            <m:r>
              <m:t>2</m:t>
            </m:r>
          </m:sup>
        </m:sSup>
        <m:r>
          <m:rPr>
            <m:sty m:val="p"/>
          </m:rPr>
          <m:t>=</m:t>
        </m:r>
        <m:r>
          <m:t>0.98</m:t>
        </m:r>
      </m:oMath>
      <w:r>
        <w:t xml:space="preserve"> </w:t>
      </w:r>
      <w:r>
        <w:t xml:space="preserve">and is stable across years, seasons, and sensors (leave-one-site-out Pearson</w:t>
      </w:r>
      <w:r>
        <w:t xml:space="preserve"> </w:t>
      </w:r>
      <m:oMath>
        <m:r>
          <m:t>r</m:t>
        </m:r>
        <m:r>
          <m:rPr>
            <m:sty m:val="p"/>
          </m:rPr>
          <m:t>=</m:t>
        </m:r>
        <m:r>
          <m:t>0.97</m:t>
        </m:r>
      </m:oMath>
      <w:r>
        <w:t xml:space="preserve">, RMSE = 0.16 m, correct sign at 15/15 held-out points), the departure</w:t>
      </w:r>
      <w:r>
        <w:t xml:space="preserve"> </w:t>
      </w:r>
      <m:oMath>
        <m:r>
          <m:t>β</m:t>
        </m:r>
        <m:r>
          <m:rPr>
            <m:sty m:val="p"/>
          </m:rPr>
          <m:t>&gt;</m:t>
        </m:r>
        <m:r>
          <m:t>1</m:t>
        </m:r>
      </m:oMath>
      <w:r>
        <w:t xml:space="preserve"> </w:t>
      </w:r>
      <w:r>
        <w:t xml:space="preserve">itself decomposing analytically into a spring–neap × overpass-phase covariance term that is a physical diagnostic rather than a model deficiency. Replacing the local tide-gauge reference with the global FES2022b astronomical-tide model reproduces the fit (</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w:t>
      </w:r>
      <w:r>
        <w:t xml:space="preserve"> </w:t>
      </w:r>
      <w:r>
        <w:rPr>
          <w:i/>
          <w:iCs/>
        </w:rPr>
        <w:t xml:space="preserve">phase-orthogonal</w:t>
      </w:r>
      <w:r>
        <w:t xml:space="preserve">) can close the gap. The closed-form model provides an</w:t>
      </w:r>
      <w:r>
        <w:t xml:space="preserve"> </w:t>
      </w:r>
      <w:r>
        <w:rPr>
          <w:i/>
          <w:iCs/>
        </w:rPr>
        <w:t xml:space="preserve">a priori</w:t>
      </w:r>
      <w:r>
        <w:t xml:space="preserve"> </w:t>
      </w:r>
      <w:r>
        <w:t xml:space="preserve">bias-correction tool requiring only satellite ephemeris and a global tide model, and predicts that the optimal multi-sensor data-collection window is regime-dependent — longer on the macrotidal west coast than in the southern amphidromic regime.</w:t>
      </w:r>
    </w:p>
    <w:p>
      <w:pPr>
        <w:pStyle w:val="Abstract"/>
      </w:pPr>
      <w:r>
        <w:rPr>
          <w:i/>
          <w:iCs/>
        </w:rPr>
        <w:t xml:space="preserve">Keywords</w:t>
      </w:r>
      <w:r>
        <w:t xml:space="preserve">: tidal flat; intertidal DEM; waterline method; tidal aliasing; sun-synchronous orbit; amphidromic system</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r>
        <w:pict>
          <v:rect style="width:0;height:1.5pt" o:hralign="center" o:hrstd="t" o:hr="t"/>
        </w:pic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 (Murray et al., 2019; Worm et al., 2006).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(Wang et al., 2020).</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(Mason et al., 1995; Heygster et al., 2010; Murray et al., 2012).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 (Sagar et al., 2017; Bishop-Taylor et al., 2019a) and a growing global literature (Liu et al., 2015; Tseng et al., 2017; Khan et al., 2019; Salameh et al., 2019).</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 (2019b) documented the resulting</w:t>
      </w:r>
      <w:r>
        <w:t xml:space="preserve"> </w:t>
      </w:r>
      <w:r>
        <w:rPr>
          <w:i/>
          <w:iCs/>
        </w:rPr>
        <w:t xml:space="preserve">tidal aliasing</w:t>
      </w:r>
      <w:r>
        <w:t xml:space="preserve"> </w:t>
      </w:r>
      <w:r>
        <w:t xml:space="preserve">for the Digital Earth Australia Intertidal product, showing that satellite-sampled tide-height distributions exhibit a non-zero mean bias and a truncated range relative to the underlying tidal cycle; the open-source eo-tides package (Bishop-Taylor et al., 2025) has since made the diagnostic accessible at global scale. Sent et al. (2025) 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 (2022),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 (Lee, J. et al., 2025).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 (Koh and Khim, 2014; Murray et al., 2014) —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 (Choi et al., 2014).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 (Bishop-Taylor et al., 2019a, b; Sagar et al., 2017; Murray et al., 2019; Salameh et al., 2019; Ryu et al., 2002, 2008; Lee and Ryu, 2017; Yun et al., 2022; Lee, J. et al., 2025).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 (2022) (Conclusion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 (Lee, J. et al., 2025) 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7613"/>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 (Gorelick et al., 2017) 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 Drusch et al., 2012).</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and-methods"/>
    <w:p>
      <w:pPr>
        <w:pStyle w:val="Heading2"/>
      </w:pPr>
      <w:r>
        <w:t xml:space="preserve">3. Material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 (Bishop-Taylor et al., 2019b; Bishop-Taylor et al., 2025):</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 (Lee and Ryu, 2017; Yun et al., 2022), Garorim Bay = 1.5 m/km (Lee, J. et al., 2025), Gomso Bay = 1.2 m/km (Ryu et al., 2002, 2008), Hampyeong Bay = 1.5 m/km (assumed comparable to Gomso based on Koh and Khim, 2014),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 Codiga, 2011),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(Lyard et al., 2021;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8"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 Lee, J. et al., 2025),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 (Codiga, 2011),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 (Choi et al., 2014).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p>
      <w:r>
        <w:pict>
          <v:rect style="width:0;height:1.5pt" o:hralign="center" o:hrstd="t" o:hr="t"/>
        </w:pict>
      </w:r>
    </w:p>
    <w:bookmarkEnd w:id="57"/>
    <w:bookmarkEnd w:id="58"/>
    <w:bookmarkStart w:id="64" w:name="discussion"/>
    <w:p>
      <w:pPr>
        <w:pStyle w:val="Heading2"/>
      </w:pPr>
      <w:r>
        <w:t xml:space="preserve">5. Discussion</w:t>
      </w:r>
    </w:p>
    <w:bookmarkStart w:id="59"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 Codiga, 2011)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59"/>
    <w:bookmarkStart w:id="60"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 Choi et al., 2014).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 (2022) 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0"/>
    <w:bookmarkStart w:id="61"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 (Carrère et al., 2022; Lyard et al., 2021), as validated in Section 4.7(d), or TPXO (Egbert and Erofeeva, 2002).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 (2025) 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 (2025);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1"/>
    <w:bookmarkStart w:id="62"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2"/>
    <w:bookmarkStart w:id="63"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3"/>
    <w:bookmarkEnd w:id="64"/>
    <w:bookmarkStart w:id="65"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 (Lee, J. et al., 2025).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5"/>
    <w:bookmarkStart w:id="66" w:name="data-and-code-availability"/>
    <w:p>
      <w:pPr>
        <w:pStyle w:val="Heading2"/>
      </w:pPr>
      <w:r>
        <w:t xml:space="preserve">Data and code availability</w:t>
      </w:r>
    </w:p>
    <w:p>
      <w:pPr>
        <w:pStyle w:val="FirstParagraph"/>
      </w:pPr>
      <w:r>
        <w:t xml:space="preserve">All raw KHOA tide-gauge data are publicly available through the Korea Open Data Portal (</w:t>
      </w:r>
      <w:r>
        <w:rPr>
          <w:rStyle w:val="VerbatimChar"/>
        </w:rPr>
        <w:t xml:space="preserve">apis.data.go.kr/1192136</w:t>
      </w:r>
      <w:r>
        <w:t xml:space="preserve">). Google Earth Engine scene metadata is reproducible from public collections (LANDSAT/LC08/C02/T1_L2, LANDSAT/LC09/C02/T1_L2, COPERNICUS/S2_HARMONIZED). The full analytical pipeline, derived parquet/CSV tables, and figure-generation scripts will be released on a Zenodo-archived GitHub repository upon acceptance (DOI to be 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66"/>
    <w:bookmarkStart w:id="67" w:name="acknowledgements"/>
    <w:p>
      <w:pPr>
        <w:pStyle w:val="Heading2"/>
      </w:pPr>
      <w:r>
        <w:t xml:space="preserve">Acknowledgements</w:t>
      </w:r>
    </w:p>
    <w:p>
      <w:pPr>
        <w:pStyle w:val="FirstParagraph"/>
      </w:pPr>
      <w:r>
        <w:t xml:space="preserve">The KHOA tide-gauge data are provided under the Korean Open Government License. Earth Engine access was provided by Google for academic use. We thank the developers of pyTMD, Cartopy, UTide, and eo-tides for open-source tooling.</w:t>
      </w:r>
    </w:p>
    <w:bookmarkEnd w:id="67"/>
    <w:bookmarkStart w:id="6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8"/>
    <w:bookmarkStart w:id="69" w:name="credit-authorship-contribution-statement"/>
    <w:p>
      <w:pPr>
        <w:pStyle w:val="Heading2"/>
      </w:pPr>
      <w:r>
        <w:t xml:space="preserve">CRediT authorship contribution statement</w:t>
      </w:r>
    </w:p>
    <w:p>
      <w:pPr>
        <w:pStyle w:val="FirstParagraph"/>
      </w:pPr>
      <w:r>
        <w:rPr>
          <w:b/>
          <w:bCs/>
        </w:rPr>
        <w:t xml:space="preserve">[Author 1 — full name]</w:t>
      </w:r>
      <w:r>
        <w:t xml:space="preserve">: Conceptualization, Methodology, Software, Formal analysis, Investigation, Data curation, Visualization, Writing – original draft, Writing – review &amp; editing, Project administration.</w:t>
      </w:r>
    </w:p>
    <w:bookmarkEnd w:id="69"/>
    <w:bookmarkStart w:id="70"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manuscript/references.bib</w:t>
      </w:r>
      <w:r>
        <w:t xml:space="preserve"> </w:t>
      </w:r>
      <w:r>
        <w:t xml:space="preserve">for BibTeX entries.)</w:t>
      </w:r>
    </w:p>
    <w:p>
      <w:pPr>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numPr>
          <w:ilvl w:val="0"/>
          <w:numId w:val="1016"/>
        </w:numPr>
      </w:pPr>
      <w:r>
        <w:t xml:space="preserve">Liu, Y., Zhou, M., Zhao, S., Zhan, W., Yang, K., Li, M., 2015.</w:t>
      </w:r>
      <w:r>
        <w:t xml:space="preserve"> </w:t>
      </w:r>
      <w:r>
        <w:rPr>
          <w:i/>
          <w:iCs/>
        </w:rPr>
        <w:t xml:space="preserve">Automated extraction of tidal creeks from airborne laser altimetry data.</w:t>
      </w:r>
      <w:r>
        <w:t xml:space="preserve"> </w:t>
      </w:r>
      <w:r>
        <w:t xml:space="preserve">Journal of Hydrology 527, 1006–1020. doi:10.1016/j.jhydrol.2015.05.058.</w:t>
      </w:r>
    </w:p>
    <w:p>
      <w:pPr>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numPr>
          <w:ilvl w:val="0"/>
          <w:numId w:val="1016"/>
        </w:numPr>
      </w:pPr>
      <w:r>
        <w:t xml:space="preserve">Wang, X., Liu, Y., Ling, F., Liu, Y., Fang, F., 2020.</w:t>
      </w:r>
      <w:r>
        <w:t xml:space="preserve"> </w:t>
      </w:r>
      <w:r>
        <w:rPr>
          <w:i/>
          <w:iCs/>
        </w:rPr>
        <w:t xml:space="preserve">Spatio-temporal change detection of Ningbo coastline using Landsat time-series images during 1976–2015.</w:t>
      </w:r>
      <w:r>
        <w:t xml:space="preserve"> </w:t>
      </w:r>
      <w:r>
        <w:t xml:space="preserve">ISPRS International Journal of Geo-Information 9, 68. doi:10.3390/ijgi9020068.</w:t>
      </w:r>
    </w:p>
    <w:p>
      <w:pPr>
        <w:numPr>
          <w:ilvl w:val="0"/>
          <w:numId w:val="1016"/>
        </w:numPr>
      </w:pPr>
      <w:r>
        <w:t xml:space="preserve">Worm, B., Barbier, E. B., Beaumont, N., Duffy, J. E., Folke, C., Halpern, B. S., Jackson, J. B. C., Lotze, H. K., Micheli, F., Palumbi, S. R., Sala, E., Selkoe, K. A., Stachowicz, J. J., Watson, R., 2006.</w:t>
      </w:r>
      <w:r>
        <w:t xml:space="preserve"> </w:t>
      </w:r>
      <w:r>
        <w:rPr>
          <w:i/>
          <w:iCs/>
        </w:rPr>
        <w:t xml:space="preserve">Impacts of biodiversity loss on ocean ecosystem services.</w:t>
      </w:r>
      <w:r>
        <w:t xml:space="preserve"> </w:t>
      </w:r>
      <w:r>
        <w:t xml:space="preserve">Science 314, 787–790. doi:10.1126/science.1132294.</w:t>
      </w:r>
    </w:p>
    <w:p>
      <w:pPr>
        <w:numPr>
          <w:ilvl w:val="0"/>
          <w:numId w:val="1016"/>
        </w:numPr>
      </w:pPr>
      <w:r>
        <w:t xml:space="preserve">Yun, G. R., Ryu, J.-H., Kim, K. L., Lee, J. H., Lee, S.-K., 2022.</w:t>
      </w:r>
      <w:r>
        <w:t xml:space="preserve"> </w:t>
      </w:r>
      <w:r>
        <w:rPr>
          <w:i/>
          <w:iCs/>
        </w:rPr>
        <w:t xml:space="preserve">TanDEM-X-based Ganghwa tidal flat high-resolution topographic map construction and service.</w:t>
      </w:r>
      <w:r>
        <w:t xml:space="preserve"> </w:t>
      </w:r>
      <w:r>
        <w:t xml:space="preserve">GEO DATA 4 (1), 37–42. doi:10.22761/DJ2022.4.1.004.</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[Author name TBD]1</dc:creator>
  <cp:keywords/>
  <dcterms:created xsi:type="dcterms:W3CDTF">2026-06-11T09:59:08Z</dcterms:created>
  <dcterms:modified xsi:type="dcterms:W3CDTF">2026-06-11T09:59:08Z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satellite scenes sample the local tidal cycle without systematic bias. We derive a closed-form, first-order model in which the satellite-sampled tide bias equals \beta \cdot A \cdot \langle \cos\theta\rangle, where A is the local tidal amplitude and \langle \cos\theta\rangle 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 opposite signs 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literature.A bootstrap slope \beta = 1.78 (95 % CI 1.44–1.91) reproduces the bias across 5 sites and 3 sensors with R^{2} = 0.98 and is stable across years, seasons, and sensors (leave-one-site-out Pearson r = 0.97, RMSE = 0.16 m, correct sign at 15/15 held-out points), the departure \beta &gt; 1 itself decomposing analytically into a spring–neap × overpass-phase covariance term that is a physical diagnostic rather than a model deficiency. Replacing the local tide-gauge reference with the global FES2022b astronomical-tide model reproduces the fit (\beta = 1.70, R^{2} = 0.983,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 phase-orthogonal) can close the gap. The closed-form model provides an a priori bias-correction tool requiring only satellite ephemeris and a global tide model, and predicts that the optimal multi-sensor data-collection window is regime-dependent — longer on the macrotidal west coast than in the southern amphidromic regime.Keywords: tidal flat; intertidal DEM; waterline method; tidal aliasing; sun-synchronous orbit; amphidromic system</vt:lpwstr>
  </property>
  <property fmtid="{D5CDD505-2E9C-101B-9397-08002B2CF9AE}" pid="3" name="classoption">
    <vt:lpwstr/>
  </property>
  <property fmtid="{D5CDD505-2E9C-101B-9397-08002B2CF9AE}" pid="4" name="colorlinks">
    <vt:lpwstr>True</vt:lpwstr>
  </property>
  <property fmtid="{D5CDD505-2E9C-101B-9397-08002B2CF9AE}" pid="5" name="date">
    <vt:lpwstr>First draft v0.1 — 2026-05-21 · Target journal: Remote Sensing of Environment · ~6,900 words (incl. References)</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2</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