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16.png" ContentType="image/png"/>
  <Override PartName="/word/media/rId30.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Predicting Tidal-Sampling Bias of Sun-Synchronous Satellites from Overpass Phase: Theory and Validation on Macrotidal Coasts</w:t>
      </w:r>
    </w:p>
    <w:p>
      <w:pPr>
        <w:pStyle w:val="Author"/>
      </w:pPr>
      <w:r>
        <w:t xml:space="preserve">Taeyoon Song</w:t>
      </w:r>
      <w:r>
        <w:rPr>
          <w:vertAlign w:val="superscript"/>
        </w:rPr>
        <w:t xml:space="preserve">1</w:t>
      </w:r>
      <w:r>
        <w:t xml:space="preserve">, Mirinae Kim</w:t>
      </w:r>
      <w:r>
        <w:rPr>
          <w:vertAlign w:val="superscript"/>
        </w:rPr>
        <w:t xml:space="preserve">1</w:t>
      </w:r>
    </w:p>
    <w:p>
      <w:pPr>
        <w:pStyle w:val="Date"/>
      </w:pPr>
      <w:r>
        <w:t xml:space="preserve">Manuscript for</w:t>
      </w:r>
      <w:r>
        <w:t xml:space="preserve"> </w:t>
      </w:r>
      <w:r>
        <w:rPr>
          <w:i/>
          <w:iCs/>
        </w:rPr>
        <w:t xml:space="preserve">Remote Sensing</w:t>
      </w:r>
      <w:r>
        <w:t xml:space="preserve"> </w:t>
      </w:r>
      <w:r>
        <w:t xml:space="preserve">(MDPI)</w:t>
      </w:r>
    </w:p>
    <w:p>
      <w:pPr>
        <w:pStyle w:val="AbstractTitle"/>
      </w:pPr>
      <w:r>
        <w:t xml:space="preserve">Abstract</w:t>
      </w:r>
    </w:p>
    <w:p>
      <w:pPr>
        <w:pStyle w:val="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recovered from the global FES2022b tide model alone (</w:t>
      </w:r>
      <m:oMath>
        <m:sSup>
          <m:e>
            <m:r>
              <m:t>R</m:t>
            </m:r>
          </m:e>
          <m:sup>
            <m:r>
              <m:t>2</m:t>
            </m:r>
          </m:sup>
        </m:sSup>
        <m:r>
          <m:rPr>
            <m:sty m:val="p"/>
          </m:rPr>
          <m:t>=</m:t>
        </m:r>
        <m:r>
          <m:t>0.983</m:t>
        </m:r>
      </m:oMath>
      <w:r>
        <w:t xml:space="preserve">),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w:t>
      </w:r>
    </w:p>
    <w:p>
      <w:pPr>
        <w:pStyle w:val="FirstParagraph"/>
      </w:pPr>
      <w:r>
        <w:rPr>
          <w:vertAlign w:val="superscript"/>
        </w:rPr>
        <w:t xml:space="preserve">1</w:t>
      </w:r>
      <w:r>
        <w:t xml:space="preserve"> </w:t>
      </w:r>
      <w:r>
        <w:t xml:space="preserve">Haebomdata Inc., #904, Gasan A1 Tower, 205-27 Gasan 1-ro, Geumcheon-gu, Seoul 08503, Republic of Korea; tysong@haebomdata.com (T.S.); mirinae@haebomdata.com (M.K.)</w:t>
      </w:r>
      <w:r>
        <w:br/>
      </w:r>
      <w:r>
        <w:t xml:space="preserve">ORCID: T.S. 0000-0002-4111-8959; M.K. 0000-0002-2534-3777</w:t>
      </w:r>
      <w:r>
        <w:br/>
      </w:r>
      <w:r>
        <w:t xml:space="preserve">* Correspondence: tysong@haebomdata.com (T.S.)</w:t>
      </w:r>
    </w:p>
    <w:bookmarkStart w:id="9" w:name="highlights"/>
    <w:p>
      <w:pPr>
        <w:pStyle w:val="Heading2"/>
      </w:pPr>
      <w:r>
        <w:t xml:space="preserve">Highlights</w:t>
      </w:r>
    </w:p>
    <w:p>
      <w:pPr>
        <w:pStyle w:val="Compac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Compact"/>
        <w:numPr>
          <w:ilvl w:val="0"/>
          <w:numId w:val="1001"/>
        </w:numPr>
      </w:pPr>
      <w:r>
        <w:t xml:space="preserve">Bipolar tide-bias sign reverses across the Korean amphidromic phase gradient</w:t>
      </w:r>
    </w:p>
    <w:p>
      <w:pPr>
        <w:pStyle w:val="Compact"/>
        <w:numPr>
          <w:ilvl w:val="0"/>
          <w:numId w:val="1001"/>
        </w:numPr>
      </w:pPr>
      <m:oMath>
        <m:r>
          <m:t>β</m:t>
        </m:r>
        <m:r>
          <m:rPr>
            <m:sty m:val="p"/>
          </m:rPr>
          <m:t>&gt;</m:t>
        </m:r>
        <m:r>
          <m:t>1</m:t>
        </m:r>
      </m:oMath>
      <w:r>
        <w:t xml:space="preserve"> </w:t>
      </w:r>
      <w:r>
        <w:t xml:space="preserve">decomposes into a spring–neap × overpass-phase covariance diagnostic</w:t>
      </w:r>
    </w:p>
    <w:p>
      <w:pPr>
        <w:pStyle w:val="Compact"/>
        <w:numPr>
          <w:ilvl w:val="0"/>
          <w:numId w:val="1001"/>
        </w:numPr>
      </w:pPr>
      <w:r>
        <w:t xml:space="preserve">FES2022b global model reproduces the fit; no local tide-gauge data required</w:t>
      </w:r>
    </w:p>
    <w:p>
      <w:pPr>
        <w:pStyle w:val="Compact"/>
        <w:numPr>
          <w:ilvl w:val="0"/>
          <w:numId w:val="1001"/>
        </w:numPr>
      </w:pPr>
      <w:r>
        <w:t xml:space="preserve">Yields 0.4–1.1 m DEM error and up to 2.5 km of permanently unsampled flats</w:t>
      </w:r>
    </w:p>
    <w:p>
      <w:pPr>
        <w:pStyle w:val="FirstParagraph"/>
      </w:pPr>
      <w:r>
        <w:rPr>
          <w:b/>
          <w:bCs/>
        </w:rPr>
        <w:t xml:space="preserve">Keywords:</w:t>
      </w:r>
      <w:r>
        <w:t xml:space="preserve"> </w:t>
      </w:r>
      <w:r>
        <w:t xml:space="preserve">tidal flat; intertidal DEM; waterline method; tidal aliasing; sun-synchronous orbit; amphidromic system</w:t>
      </w:r>
    </w:p>
    <w:bookmarkEnd w:id="9"/>
    <w:bookmarkStart w:id="15" w:name="introduction"/>
    <w:p>
      <w:pPr>
        <w:pStyle w:val="Heading2"/>
      </w:pPr>
      <w:r>
        <w:t xml:space="preserve">1. Introduction</w:t>
      </w:r>
    </w:p>
    <w:bookmarkStart w:id="10" w:name="Xd1a01b4ce11f7729bcfcb51ec49e659ad6c316f"/>
    <w:p>
      <w:pPr>
        <w:pStyle w:val="Heading3"/>
      </w:pPr>
      <w:r>
        <w:t xml:space="preserve">1.1 Tidal flats and the need for vertical reference</w:t>
      </w:r>
    </w:p>
    <w:p>
      <w:pPr>
        <w:pStyle w:val="FirstParagraph"/>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Body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10"/>
    <w:bookmarkStart w:id="11" w:name="the-waterline-method"/>
    <w:p>
      <w:pPr>
        <w:pStyle w:val="Heading3"/>
      </w:pPr>
      <w:r>
        <w:t xml:space="preserve">1.2 The waterline method</w:t>
      </w:r>
    </w:p>
    <w:p>
      <w:pPr>
        <w:pStyle w:val="FirstParagraph"/>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Body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11"/>
    <w:bookmarkStart w:id="12" w:name="Xccf7598b0bf19529ddaa3cdc4203c6150a8dcfb"/>
    <w:p>
      <w:pPr>
        <w:pStyle w:val="Heading3"/>
      </w:pPr>
      <w:r>
        <w:t xml:space="preserve">1.3 Tidal aliasing: a recognised problem, incompletely quantified</w:t>
      </w:r>
    </w:p>
    <w:p>
      <w:pPr>
        <w:pStyle w:val="FirstParagraph"/>
      </w:pPr>
      <w:r>
        <w:t xml:space="preserve">Sun-synchronous orbits place all major Earth-observing optical satellites at near-fixed</w:t>
      </w:r>
      <w:r>
        <w:t xml:space="preserve"> </w:t>
      </w:r>
      <w:r>
        <w:rPr>
          <w:i/>
          <w:iCs/>
        </w:rPr>
        <w:t xml:space="preserve">local solar times</w:t>
      </w:r>
      <w:r>
        <w:t xml:space="preserve"> </w:t>
      </w:r>
      <w:r>
        <w:t xml:space="preserve">(LST). The Landsat-8/9 and Sentinel-2 missions all descend across the equator at LST</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Body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Body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BodyText"/>
      </w:pPr>
      <w:r>
        <w:t xml:space="preserve">Three open questions remain:</w:t>
      </w:r>
    </w:p>
    <w:p>
      <w:pPr>
        <w:pStyle w:val="Compact"/>
        <w:numPr>
          <w:ilvl w:val="0"/>
          <w:numId w:val="1002"/>
        </w:numPr>
      </w:pPr>
      <w:r>
        <w:rPr>
          <w:b/>
          <w:bCs/>
        </w:rPr>
        <w:t xml:space="preserve">Is the bias systematic and predictable, or noisy and idiosyncratic?</w:t>
      </w:r>
    </w:p>
    <w:p>
      <w:pPr>
        <w:pStyle w:val="Compact"/>
        <w:numPr>
          <w:ilvl w:val="0"/>
          <w:numId w:val="1002"/>
        </w:numPr>
      </w:pPr>
      <w:r>
        <w:rPr>
          <w:b/>
          <w:bCs/>
        </w:rPr>
        <w:t xml:space="preserve">How does the bias vary across regional amphidromic phase gradients?</w:t>
      </w:r>
    </w:p>
    <w:p>
      <w:pPr>
        <w:pStyle w:val="Compact"/>
        <w:numPr>
          <w:ilvl w:val="0"/>
          <w:numId w:val="1002"/>
        </w:numPr>
      </w:pPr>
      <w:r>
        <w:rPr>
          <w:b/>
          <w:bCs/>
        </w:rPr>
        <w:t xml:space="preserve">What is the practical translation of the tide-height bias into the DEM elevation domain, and at what scale does it matter?</w:t>
      </w:r>
    </w:p>
    <w:p>
      <w:pPr>
        <w:pStyle w:val="FirstParagraph"/>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Study</w:t>
            </w:r>
          </w:p>
        </w:tc>
        <w:tc>
          <w:tcPr/>
          <w:p>
            <w:pPr>
              <w:pStyle w:val="Compact"/>
            </w:pPr>
            <w:r>
              <w:rPr>
                <w:b/>
                <w:bCs/>
              </w:rPr>
              <w:t xml:space="preserve">Region</w:t>
            </w:r>
          </w:p>
        </w:tc>
        <w:tc>
          <w:tcPr/>
          <w:p>
            <w:pPr>
              <w:pStyle w:val="Compact"/>
            </w:pPr>
            <w:r>
              <w:rPr>
                <w:b/>
                <w:bCs/>
              </w:rPr>
              <w:t xml:space="preserve">Sensors</w:t>
            </w:r>
          </w:p>
        </w:tc>
        <w:tc>
          <w:tcPr/>
          <w:p>
            <w:pPr>
              <w:pStyle w:val="Compact"/>
            </w:pPr>
            <w:r>
              <w:rPr>
                <w:b/>
                <w:bCs/>
              </w:rPr>
              <w:t xml:space="preserve">Method</w:t>
            </w:r>
          </w:p>
        </w:tc>
        <w:tc>
          <w:tcPr/>
          <w:p>
            <w:pPr>
              <w:pStyle w:val="Compact"/>
            </w:pPr>
            <w:r>
              <w:rPr>
                <w:b/>
                <w:bCs/>
              </w:rPr>
              <w:t xml:space="preserve">Output</w:t>
            </w:r>
          </w:p>
        </w:tc>
        <w:tc>
          <w:tcPr/>
          <w:p>
            <w:pPr>
              <w:pStyle w:val="Compact"/>
            </w:pPr>
            <w:r>
              <w:rPr>
                <w:b/>
                <w:bCs/>
              </w:rPr>
              <w:t xml:space="preserve">Treatment of sampling bias</w:t>
            </w:r>
          </w:p>
        </w:tc>
      </w:tr>
      <w:tr>
        <w:tc>
          <w:tcPr/>
          <w:p>
            <w:pPr>
              <w:pStyle w:val="Compact"/>
            </w:pPr>
            <w:r>
              <w:t xml:space="preserve">Ryu et al. (2002)</w:t>
            </w:r>
          </w:p>
        </w:tc>
        <w:tc>
          <w:tcPr/>
          <w:p>
            <w:pPr>
              <w:pStyle w:val="Compact"/>
            </w:pPr>
            <w:r>
              <w:t xml:space="preserve">Gomso Bay (W)</w:t>
            </w:r>
          </w:p>
        </w:tc>
        <w:tc>
          <w:tcPr/>
          <w:p>
            <w:pPr>
              <w:pStyle w:val="Compact"/>
            </w:pPr>
            <w:r>
              <w:t xml:space="preserve">Landsat-TM</w:t>
            </w:r>
          </w:p>
        </w:tc>
        <w:tc>
          <w:tcPr/>
          <w:p>
            <w:pPr>
              <w:pStyle w:val="Compact"/>
            </w:pPr>
            <w:r>
              <w:t xml:space="preserve">Single-scene waterline</w:t>
            </w:r>
          </w:p>
        </w:tc>
        <w:tc>
          <w:tcPr/>
          <w:p>
            <w:pPr>
              <w:pStyle w:val="Compact"/>
            </w:pPr>
            <w:r>
              <w:t xml:space="preserve">Tidal-flat contour, one epoch</w:t>
            </w:r>
          </w:p>
        </w:tc>
        <w:tc>
          <w:tcPr/>
          <w:p>
            <w:pPr>
              <w:pStyle w:val="Compact"/>
            </w:pPr>
            <w:r>
              <w:t xml:space="preserve">Not addressed</w:t>
            </w:r>
          </w:p>
        </w:tc>
      </w:tr>
      <w:tr>
        <w:tc>
          <w:tcPr/>
          <w:p>
            <w:pPr>
              <w:pStyle w:val="Compact"/>
            </w:pPr>
            <w:r>
              <w:t xml:space="preserve">Lee &amp; Ryu (2017)</w:t>
            </w:r>
          </w:p>
        </w:tc>
        <w:tc>
          <w:tcPr/>
          <w:p>
            <w:pPr>
              <w:pStyle w:val="Compact"/>
            </w:pPr>
            <w:r>
              <w:t xml:space="preserve">Ganghwa-do (NW)</w:t>
            </w:r>
          </w:p>
        </w:tc>
        <w:tc>
          <w:tcPr/>
          <w:p>
            <w:pPr>
              <w:pStyle w:val="Compact"/>
            </w:pPr>
            <w:r>
              <w:t xml:space="preserve">TanDEM-X (SAR InSAR)</w:t>
            </w:r>
          </w:p>
        </w:tc>
        <w:tc>
          <w:tcPr/>
          <w:p>
            <w:pPr>
              <w:pStyle w:val="Compact"/>
            </w:pPr>
            <w:r>
              <w:t xml:space="preserve">Phase-based DEM</w:t>
            </w:r>
          </w:p>
        </w:tc>
        <w:tc>
          <w:tcPr/>
          <w:p>
            <w:pPr>
              <w:pStyle w:val="Compact"/>
            </w:pPr>
            <w:r>
              <w:t xml:space="preserve">DEM, single mission</w:t>
            </w:r>
          </w:p>
        </w:tc>
        <w:tc>
          <w:tcPr/>
          <w:p>
            <w:pPr>
              <w:pStyle w:val="Compact"/>
            </w:pPr>
            <w:r>
              <w:t xml:space="preserve">Sensor-specific only</w:t>
            </w:r>
          </w:p>
        </w:tc>
      </w:tr>
      <w:tr>
        <w:tc>
          <w:tcPr/>
          <w:p>
            <w:pPr>
              <w:pStyle w:val="Compact"/>
            </w:pPr>
            <w:r>
              <w:t xml:space="preserve">Yun et al. (2022)</w:t>
            </w:r>
          </w:p>
        </w:tc>
        <w:tc>
          <w:tcPr/>
          <w:p>
            <w:pPr>
              <w:pStyle w:val="Compact"/>
            </w:pPr>
            <w:r>
              <w:t xml:space="preserve">Ganghwa-do (NW)</w:t>
            </w:r>
          </w:p>
        </w:tc>
        <w:tc>
          <w:tcPr/>
          <w:p>
            <w:pPr>
              <w:pStyle w:val="Compact"/>
            </w:pPr>
            <w:r>
              <w:t xml:space="preserve">TanDEM-X</w:t>
            </w:r>
          </w:p>
        </w:tc>
        <w:tc>
          <w:tcPr/>
          <w:p>
            <w:pPr>
              <w:pStyle w:val="Compact"/>
            </w:pPr>
            <w:r>
              <w:t xml:space="preserve">InSAR phase, public service</w:t>
            </w:r>
          </w:p>
        </w:tc>
        <w:tc>
          <w:tcPr/>
          <w:p>
            <w:pPr>
              <w:pStyle w:val="Compact"/>
            </w:pPr>
            <w:r>
              <w:t xml:space="preserve">High-resolution DEM product</w:t>
            </w:r>
          </w:p>
        </w:tc>
        <w:tc>
          <w:tcPr/>
          <w:p>
            <w:pPr>
              <w:pStyle w:val="Compact"/>
            </w:pPr>
            <w:r>
              <w:t xml:space="preserve">Not addressed</w:t>
            </w:r>
          </w:p>
        </w:tc>
      </w:tr>
      <w:tr>
        <w:tc>
          <w:tcPr/>
          <w:p>
            <w:pPr>
              <w:pStyle w:val="Compact"/>
            </w:pPr>
            <w:r>
              <w:t xml:space="preserve">Lee, K. et al. (2022)</w:t>
            </w:r>
          </w:p>
        </w:tc>
        <w:tc>
          <w:tcPr/>
          <w:p>
            <w:pPr>
              <w:pStyle w:val="Compact"/>
            </w:pPr>
            <w:r>
              <w:t xml:space="preserve">Incheon, regional</w:t>
            </w:r>
          </w:p>
        </w:tc>
        <w:tc>
          <w:tcPr/>
          <w:p>
            <w:pPr>
              <w:pStyle w:val="Compact"/>
            </w:pPr>
            <w:r>
              <w:t xml:space="preserve">Multi-mission altimetry (T/P–Jason, Cryosat)</w:t>
            </w:r>
          </w:p>
        </w:tc>
        <w:tc>
          <w:tcPr/>
          <w:p>
            <w:pPr>
              <w:pStyle w:val="Compact"/>
            </w:pPr>
            <w:r>
              <w:t xml:space="preserve">Multi-mission tide-corrected trend</w:t>
            </w:r>
          </w:p>
        </w:tc>
        <w:tc>
          <w:tcPr/>
          <w:p>
            <w:pPr>
              <w:pStyle w:val="Compact"/>
            </w:pPr>
            <w:r>
              <w:t xml:space="preserve">Sea-level-rise rate</w:t>
            </w:r>
          </w:p>
        </w:tc>
        <w:tc>
          <w:tcPr/>
          <w:p>
            <w:pPr>
              <w:pStyle w:val="Compact"/>
            </w:pPr>
            <w:r>
              <w:rPr>
                <w:i/>
                <w:iCs/>
              </w:rPr>
              <w:t xml:space="preserve">Temporal</w:t>
            </w:r>
            <w:r>
              <w:t xml:space="preserve"> </w:t>
            </w:r>
            <w:r>
              <w:t xml:space="preserve">sampling-phase bias (altimetry domain)</w:t>
            </w:r>
          </w:p>
        </w:tc>
      </w:tr>
      <w:tr>
        <w:tc>
          <w:tcPr/>
          <w:p>
            <w:pPr>
              <w:pStyle w:val="Compact"/>
            </w:pPr>
            <w:r>
              <w:t xml:space="preserve">Lee, J. et al. (2025, ECSS)</w:t>
            </w:r>
          </w:p>
        </w:tc>
        <w:tc>
          <w:tcPr/>
          <w:p>
            <w:pPr>
              <w:pStyle w:val="Compact"/>
            </w:pPr>
            <w:r>
              <w:t xml:space="preserve">Taean Peninsula (W)</w:t>
            </w:r>
          </w:p>
        </w:tc>
        <w:tc>
          <w:tcPr/>
          <w:p>
            <w:pPr>
              <w:pStyle w:val="Compact"/>
            </w:pPr>
            <w:r>
              <w:t xml:space="preserve">L8/9 + S2A/B + S1A</w:t>
            </w:r>
          </w:p>
        </w:tc>
        <w:tc>
          <w:tcPr/>
          <w:p>
            <w:pPr>
              <w:pStyle w:val="Compact"/>
            </w:pPr>
            <w:r>
              <w:t xml:space="preserve">Multi-sensor waterline fusion</w:t>
            </w:r>
          </w:p>
        </w:tc>
        <w:tc>
          <w:tcPr/>
          <w:p>
            <w:pPr>
              <w:pStyle w:val="Compact"/>
            </w:pPr>
            <w:r>
              <w:t xml:space="preserve">DEM, 5-month window optimum vs UAV-LiDAR (MAE 25.6 cm)</w:t>
            </w:r>
          </w:p>
        </w:tc>
        <w:tc>
          <w:tcPr/>
          <w:p>
            <w:pPr>
              <w:pStyle w:val="Compact"/>
            </w:pPr>
            <w:r>
              <w:rPr>
                <w:i/>
                <w:iCs/>
              </w:rPr>
              <w:t xml:space="preserve">Empirically</w:t>
            </w:r>
            <w:r>
              <w:t xml:space="preserve"> </w:t>
            </w:r>
            <w:r>
              <w:t xml:space="preserve">optimised (fuse optical + SAR)</w:t>
            </w:r>
          </w:p>
        </w:tc>
      </w:tr>
      <w:tr>
        <w:tc>
          <w:tcPr/>
          <w:p>
            <w:pPr>
              <w:pStyle w:val="Compact"/>
            </w:pPr>
            <w:r>
              <w:rPr>
                <w:b/>
                <w:bCs/>
              </w:rPr>
              <w:t xml:space="preserve">This study</w:t>
            </w:r>
          </w:p>
        </w:tc>
        <w:tc>
          <w:tcPr/>
          <w:p>
            <w:pPr>
              <w:pStyle w:val="Compact"/>
            </w:pPr>
            <w:r>
              <w:rPr>
                <w:b/>
                <w:bCs/>
              </w:rPr>
              <w:t xml:space="preserve">W + S coasts, 5 sites (2020–2024)</w:t>
            </w:r>
          </w:p>
        </w:tc>
        <w:tc>
          <w:tcPr/>
          <w:p>
            <w:pPr>
              <w:pStyle w:val="Compact"/>
            </w:pPr>
            <w:r>
              <w:rPr>
                <w:b/>
                <w:bCs/>
              </w:rPr>
              <w:t xml:space="preserve">L8/9 + S2 (metadata; 5,082 scenes)</w:t>
            </w:r>
          </w:p>
        </w:tc>
        <w:tc>
          <w:tcPr/>
          <w:p>
            <w:pPr>
              <w:pStyle w:val="Compac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Compact"/>
            </w:pPr>
            <w:r>
              <w:rPr>
                <w:b/>
                <w:bCs/>
                <w:i/>
                <w:iCs/>
              </w:rPr>
              <w:t xml:space="preserve">A priori</w:t>
            </w:r>
            <w:r>
              <w:rPr>
                <w:b/>
                <w:bCs/>
              </w:rPr>
              <w:t xml:space="preserve"> </w:t>
            </w:r>
            <w:r>
              <w:rPr>
                <w:b/>
                <w:bCs/>
              </w:rPr>
              <w:t xml:space="preserve">bias-correction model + DEM error budget</w:t>
            </w:r>
          </w:p>
        </w:tc>
        <w:tc>
          <w:tcPr/>
          <w:p>
            <w:pPr>
              <w:pStyle w:val="Compac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Body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12"/>
    <w:bookmarkStart w:id="13" w:name="the-korean-macrotidal-context"/>
    <w:p>
      <w:pPr>
        <w:pStyle w:val="Heading3"/>
      </w:pPr>
      <w:r>
        <w:t xml:space="preserve">1.4 The Korean macrotidal context</w:t>
      </w:r>
    </w:p>
    <w:p>
      <w:pPr>
        <w:pStyle w:val="FirstParagraph"/>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13"/>
    <w:bookmarkStart w:id="14" w:name="contribution"/>
    <w:p>
      <w:pPr>
        <w:pStyle w:val="Heading3"/>
      </w:pPr>
      <w:r>
        <w:t xml:space="preserve">1.5 Contribution</w:t>
      </w:r>
    </w:p>
    <w:p>
      <w:pPr>
        <w:pStyle w:val="FirstParagraph"/>
      </w:pPr>
      <w:r>
        <w:t xml:space="preserve">This paper is positioned as a</w:t>
      </w:r>
      <w:r>
        <w:t xml:space="preserve"> </w:t>
      </w:r>
      <w:r>
        <w:rPr>
          <w:i/>
          <w:iCs/>
        </w:rPr>
        <w:t xml:space="preserve">theoretical companion</w:t>
      </w:r>
      <w:r>
        <w:t xml:space="preserve"> </w:t>
      </w:r>
      <w:r>
        <w:t xml:space="preserve">to the empirical waterline-optimisation literature</w:t>
      </w:r>
      <w:r>
        <w:t xml:space="preserve"> </w:t>
      </w:r>
      <w:r>
        <w:t xml:space="preserve">[1,7–9,12,19,23–26]</w:t>
      </w:r>
      <w:r>
        <w:t xml:space="preserve">.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FirstParagraph"/>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14"/>
    <w:bookmarkEnd w:id="15"/>
    <w:bookmarkStart w:id="22" w:name="study-area-and-data"/>
    <w:p>
      <w:pPr>
        <w:pStyle w:val="Heading2"/>
      </w:pPr>
      <w:r>
        <w:t xml:space="preserve">2. Study area and data</w:t>
      </w:r>
    </w:p>
    <w:bookmarkStart w:id="19" w:name="sites"/>
    <w:p>
      <w:pPr>
        <w:pStyle w:val="Heading3"/>
      </w:pPr>
      <w:r>
        <w:t xml:space="preserve">2.1 Sites</w:t>
      </w:r>
    </w:p>
    <w:p>
      <w:pPr>
        <w:pStyle w:val="FirstParagraph"/>
      </w:pPr>
      <w:r>
        <w:t xml:space="preserve">Five tidal flats spanning the entire western and southern Korean coast were chosen to span the full range of local tidal amplitudes and regional phase offsets (Figure 1; Table 2):</w:t>
      </w:r>
    </w:p>
    <w:p>
      <w:pPr>
        <w:pStyle w:val="Compac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Compac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Compac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Compac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Compac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FirstParagraph"/>
      </w:pPr>
      <w:r>
        <w:t xml:space="preserve">Each site is matched with the nearest principal tide-gauge of the Korea Hydrographic and Oceanographic Agency (KHOA; Figure 1, triangles).</w:t>
      </w:r>
    </w:p>
    <w:p>
      <w:pPr>
        <w:pStyle w:val="Body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BodyText"/>
      </w:pPr>
      <w:r>
        <w:drawing>
          <wp:inline>
            <wp:extent cx="4800600" cy="4232377"/>
            <wp:effectExtent b="0" l="0" r="0" t="0"/>
            <wp:docPr descr="" title="" id="17" name="Picture"/>
            <a:graphic>
              <a:graphicData uri="http://schemas.openxmlformats.org/drawingml/2006/picture">
                <pic:pic>
                  <pic:nvPicPr>
                    <pic:cNvPr descr="figures/fig1_study_area.png" id="18" name="Picture"/>
                    <pic:cNvPicPr>
                      <a:picLocks noChangeArrowheads="1" noChangeAspect="1"/>
                    </pic:cNvPicPr>
                  </pic:nvPicPr>
                  <pic:blipFill>
                    <a:blip r:embed="rId16"/>
                    <a:stretch>
                      <a:fillRect/>
                    </a:stretch>
                  </pic:blipFill>
                  <pic:spPr bwMode="auto">
                    <a:xfrm>
                      <a:off x="0" y="0"/>
                      <a:ext cx="4800600" cy="4232377"/>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19"/>
    <w:bookmarkStart w:id="20" w:name="tide-gauge-reference-khoa-open-api"/>
    <w:p>
      <w:pPr>
        <w:pStyle w:val="Heading3"/>
      </w:pPr>
      <w:r>
        <w:t xml:space="preserve">2.2 Tide-gauge reference: KHOA Open API</w:t>
      </w:r>
    </w:p>
    <w:p>
      <w:pPr>
        <w:pStyle w:val="FirstParagraph"/>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20"/>
    <w:bookmarkStart w:id="21" w:name="satellite-metadata-google-earth-engine"/>
    <w:p>
      <w:pPr>
        <w:pStyle w:val="Heading3"/>
      </w:pPr>
      <w:r>
        <w:t xml:space="preserve">2.3 Satellite metadata: Google Earth Engine</w:t>
      </w:r>
    </w:p>
    <w:p>
      <w:pPr>
        <w:pStyle w:val="FirstParagraph"/>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Body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Site</w:t>
            </w:r>
          </w:p>
        </w:tc>
        <w:tc>
          <w:tcPr/>
          <w:p>
            <w:pPr>
              <w:pStyle w:val="Compact"/>
            </w:pPr>
            <w:r>
              <w:rPr>
                <w:b/>
                <w:bCs/>
              </w:rPr>
              <w:t xml:space="preserve">KHOA gauge</w:t>
            </w:r>
          </w:p>
        </w:tc>
        <w:tc>
          <w:tcPr/>
          <w:p>
            <w:pPr>
              <w:pStyle w:val="Compact"/>
            </w:pPr>
            <w:r>
              <w:rPr>
                <w:b/>
                <w:bCs/>
              </w:rPr>
              <w:t xml:space="preserve">KHOA rows</w:t>
            </w:r>
          </w:p>
        </w:tc>
        <w:tc>
          <w:tcPr/>
          <w:p>
            <w:pPr>
              <w:pStyle w:val="Compact"/>
            </w:pPr>
            <w:r>
              <w:rPr>
                <w:b/>
                <w:bCs/>
              </w:rPr>
              <w:t xml:space="preserve">Sat. scenes (L8 / L9 / S2)</w:t>
            </w:r>
          </w:p>
        </w:tc>
        <w:tc>
          <w:tcPr/>
          <w:p>
            <w:pPr>
              <w:pStyle w:val="Compact"/>
            </w:pPr>
            <w:r>
              <w:rPr>
                <w:b/>
                <w:bCs/>
              </w:rPr>
              <w:t xml:space="preserve">Planar slope (m/km)</w:t>
            </w:r>
          </w:p>
        </w:tc>
      </w:tr>
      <w:tr>
        <w:tc>
          <w:tcPr/>
          <w:p>
            <w:pPr>
              <w:pStyle w:val="Compact"/>
            </w:pPr>
            <w:r>
              <w:t xml:space="preserve">Ganghwa-do</w:t>
            </w:r>
          </w:p>
        </w:tc>
        <w:tc>
          <w:tcPr/>
          <w:p>
            <w:pPr>
              <w:pStyle w:val="Compact"/>
            </w:pPr>
            <w:r>
              <w:t xml:space="preserve">Incheon (DT_0001)</w:t>
            </w:r>
          </w:p>
        </w:tc>
        <w:tc>
          <w:tcPr/>
          <w:p>
            <w:pPr>
              <w:pStyle w:val="Compact"/>
            </w:pPr>
            <w:r>
              <w:t xml:space="preserve">43,689</w:t>
            </w:r>
          </w:p>
        </w:tc>
        <w:tc>
          <w:tcPr/>
          <w:p>
            <w:pPr>
              <w:pStyle w:val="Compact"/>
            </w:pPr>
            <w:r>
              <w:t xml:space="preserve">137 / 90 / 826</w:t>
            </w:r>
          </w:p>
        </w:tc>
        <w:tc>
          <w:tcPr/>
          <w:p>
            <w:pPr>
              <w:pStyle w:val="Compact"/>
            </w:pPr>
            <w:r>
              <w:t xml:space="preserve">0.8</w:t>
            </w:r>
          </w:p>
        </w:tc>
      </w:tr>
      <w:tr>
        <w:tc>
          <w:tcPr/>
          <w:p>
            <w:pPr>
              <w:pStyle w:val="Compact"/>
            </w:pPr>
            <w:r>
              <w:t xml:space="preserve">Garorim Bay</w:t>
            </w:r>
          </w:p>
        </w:tc>
        <w:tc>
          <w:tcPr/>
          <w:p>
            <w:pPr>
              <w:pStyle w:val="Compact"/>
            </w:pPr>
            <w:r>
              <w:t xml:space="preserve">Anheung (DT_0067)</w:t>
            </w:r>
          </w:p>
        </w:tc>
        <w:tc>
          <w:tcPr/>
          <w:p>
            <w:pPr>
              <w:pStyle w:val="Compact"/>
            </w:pPr>
            <w:r>
              <w:t xml:space="preserve">43,720</w:t>
            </w:r>
          </w:p>
        </w:tc>
        <w:tc>
          <w:tcPr/>
          <w:p>
            <w:pPr>
              <w:pStyle w:val="Compact"/>
            </w:pPr>
            <w:r>
              <w:t xml:space="preserve">129 / 91 / 1,656</w:t>
            </w:r>
          </w:p>
        </w:tc>
        <w:tc>
          <w:tcPr/>
          <w:p>
            <w:pPr>
              <w:pStyle w:val="Compact"/>
            </w:pPr>
            <w:r>
              <w:t xml:space="preserve">1.5</w:t>
            </w:r>
          </w:p>
        </w:tc>
      </w:tr>
      <w:tr>
        <w:tc>
          <w:tcPr/>
          <w:p>
            <w:pPr>
              <w:pStyle w:val="Compact"/>
            </w:pPr>
            <w:r>
              <w:t xml:space="preserve">Gomso Bay</w:t>
            </w:r>
          </w:p>
        </w:tc>
        <w:tc>
          <w:tcPr/>
          <w:p>
            <w:pPr>
              <w:pStyle w:val="Compact"/>
            </w:pPr>
            <w:r>
              <w:t xml:space="preserve">Gunsan (DT_0018)</w:t>
            </w:r>
          </w:p>
        </w:tc>
        <w:tc>
          <w:tcPr/>
          <w:p>
            <w:pPr>
              <w:pStyle w:val="Compact"/>
            </w:pPr>
            <w:r>
              <w:t xml:space="preserve">42,674</w:t>
            </w:r>
          </w:p>
        </w:tc>
        <w:tc>
          <w:tcPr/>
          <w:p>
            <w:pPr>
              <w:pStyle w:val="Compact"/>
            </w:pPr>
            <w:r>
              <w:t xml:space="preserve">203 / 110 / 187</w:t>
            </w:r>
          </w:p>
        </w:tc>
        <w:tc>
          <w:tcPr/>
          <w:p>
            <w:pPr>
              <w:pStyle w:val="Compact"/>
            </w:pPr>
            <w:r>
              <w:t xml:space="preserve">1.2</w:t>
            </w:r>
          </w:p>
        </w:tc>
      </w:tr>
      <w:tr>
        <w:tc>
          <w:tcPr/>
          <w:p>
            <w:pPr>
              <w:pStyle w:val="Compact"/>
            </w:pPr>
            <w:r>
              <w:t xml:space="preserve">Hampyeong Bay</w:t>
            </w:r>
          </w:p>
        </w:tc>
        <w:tc>
          <w:tcPr/>
          <w:p>
            <w:pPr>
              <w:pStyle w:val="Compact"/>
            </w:pPr>
            <w:r>
              <w:t xml:space="preserve">Yeonggwang (DT_0003)</w:t>
            </w:r>
          </w:p>
        </w:tc>
        <w:tc>
          <w:tcPr/>
          <w:p>
            <w:pPr>
              <w:pStyle w:val="Compact"/>
            </w:pPr>
            <w:r>
              <w:t xml:space="preserve">43,839</w:t>
            </w:r>
          </w:p>
        </w:tc>
        <w:tc>
          <w:tcPr/>
          <w:p>
            <w:pPr>
              <w:pStyle w:val="Compact"/>
            </w:pPr>
            <w:r>
              <w:t xml:space="preserve">195 / 119 / 796</w:t>
            </w:r>
          </w:p>
        </w:tc>
        <w:tc>
          <w:tcPr/>
          <w:p>
            <w:pPr>
              <w:pStyle w:val="Compact"/>
            </w:pPr>
            <w:r>
              <w:t xml:space="preserve">1.5</w:t>
            </w:r>
          </w:p>
        </w:tc>
      </w:tr>
      <w:tr>
        <w:tc>
          <w:tcPr/>
          <w:p>
            <w:pPr>
              <w:pStyle w:val="Compact"/>
            </w:pPr>
            <w:r>
              <w:t xml:space="preserve">Suncheon Bay</w:t>
            </w:r>
          </w:p>
        </w:tc>
        <w:tc>
          <w:tcPr/>
          <w:p>
            <w:pPr>
              <w:pStyle w:val="Compact"/>
            </w:pPr>
            <w:r>
              <w:t xml:space="preserve">Yeosu (DT_0016)</w:t>
            </w:r>
          </w:p>
        </w:tc>
        <w:tc>
          <w:tcPr/>
          <w:p>
            <w:pPr>
              <w:pStyle w:val="Compact"/>
            </w:pPr>
            <w:r>
              <w:t xml:space="preserve">43,688</w:t>
            </w:r>
          </w:p>
        </w:tc>
        <w:tc>
          <w:tcPr/>
          <w:p>
            <w:pPr>
              <w:pStyle w:val="Compact"/>
            </w:pPr>
            <w:r>
              <w:t xml:space="preserve">70 / 38 / 435</w:t>
            </w:r>
          </w:p>
        </w:tc>
        <w:tc>
          <w:tcPr/>
          <w:p>
            <w:pPr>
              <w:pStyle w:val="Compact"/>
            </w:pPr>
            <w:r>
              <w:t xml:space="preserve">2.0</w:t>
            </w:r>
          </w:p>
        </w:tc>
      </w:tr>
    </w:tbl>
    <w:p>
      <w:pPr>
        <w:pStyle w:val="Body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BodyText"/>
      </w:pPr>
      <w:r>
        <w:t xml:space="preserve">Tide heights at each satellite acquisition time were obtained by linear interpolation of the hourly KHOA series between bracketing hours.</w:t>
      </w:r>
    </w:p>
    <w:p>
      <w:r>
        <w:pict>
          <v:rect style="width:0;height:1.5pt" o:hralign="center" o:hrstd="t" o:hr="t"/>
        </w:pict>
      </w:r>
    </w:p>
    <w:bookmarkEnd w:id="21"/>
    <w:bookmarkEnd w:id="22"/>
    <w:bookmarkStart w:id="29" w:name="materials-and-methods"/>
    <w:p>
      <w:pPr>
        <w:pStyle w:val="Heading2"/>
      </w:pPr>
      <w:r>
        <w:t xml:space="preserve">3. Materials and Methods</w:t>
      </w:r>
    </w:p>
    <w:bookmarkStart w:id="23" w:name="aliasing-metrics"/>
    <w:p>
      <w:pPr>
        <w:pStyle w:val="Heading3"/>
      </w:pPr>
      <w:r>
        <w:t xml:space="preserve">3.1 Aliasing metrics</w:t>
      </w:r>
    </w:p>
    <w:p>
      <w:pPr>
        <w:pStyle w:val="FirstParagraph"/>
      </w:pPr>
      <w:r>
        <w:t xml:space="preserve">For each (site, sensor) combination, we use the standard set of aliasing metrics introduced for sun-synchronous waterline analysis</w:t>
      </w:r>
      <w:r>
        <w:t xml:space="preserve"> </w:t>
      </w:r>
      <w:r>
        <w:t xml:space="preserve">[8,16]</w:t>
      </w:r>
      <w:r>
        <w:t xml:space="preserve">:</w:t>
      </w:r>
    </w:p>
    <w:p>
      <w:pPr>
        <w:pStyle w:val="Compac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Compac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Compac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Compac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Compac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23"/>
    <w:bookmarkStart w:id="24" w:name="tidal-phase"/>
    <w:p>
      <w:pPr>
        <w:pStyle w:val="Heading3"/>
      </w:pPr>
      <w:r>
        <w:t xml:space="preserve">3.2 Tidal phase</w:t>
      </w:r>
    </w:p>
    <w:p>
      <w:pPr>
        <w:pStyle w:val="FirstParagraph"/>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Body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FirstParagraph"/>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Compact"/>
        <w:numPr>
          <w:ilvl w:val="0"/>
          <w:numId w:val="1006"/>
        </w:numPr>
      </w:pPr>
      <w:r>
        <w:t xml:space="preserve">Concentration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Compact"/>
        <w:numPr>
          <w:ilvl w:val="0"/>
          <w:numId w:val="1006"/>
        </w:numPr>
      </w:pPr>
      <w:r>
        <w:t xml:space="preserve">Concentration magnitude</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Compac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24"/>
    <w:bookmarkStart w:id="25" w:name="analytical-bias-model"/>
    <w:p>
      <w:pPr>
        <w:pStyle w:val="Heading3"/>
      </w:pPr>
      <w:r>
        <w:t xml:space="preserve">3.3 Analytical bias model</w:t>
      </w:r>
    </w:p>
    <w:p>
      <w:pPr>
        <w:pStyle w:val="FirstParagraph"/>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Body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FirstParagraph"/>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sea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FirstParagraph"/>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Body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FirstParagraph"/>
      </w:pPr>
      <w:r>
        <w:t xml:space="preserve">so that the bias can be written</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FirstParagraph"/>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Body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FirstParagraph"/>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25"/>
    <w:bookmarkStart w:id="26" w:name="stability-tests"/>
    <w:p>
      <w:pPr>
        <w:pStyle w:val="Heading3"/>
      </w:pPr>
      <w:r>
        <w:t xml:space="preserve">3.4 Stability tests</w:t>
      </w:r>
    </w:p>
    <w:p>
      <w:pPr>
        <w:pStyle w:val="FirstParagraph"/>
      </w:pPr>
      <w:r>
        <w:t xml:space="preserve">We test the temporal/sensor robustness of Eq. (1) by partitioning the data along four axes and re-fitting:</w:t>
      </w:r>
    </w:p>
    <w:p>
      <w:pPr>
        <w:pStyle w:val="Compact"/>
        <w:numPr>
          <w:ilvl w:val="0"/>
          <w:numId w:val="1007"/>
        </w:numPr>
      </w:pPr>
      <w:r>
        <w:rPr>
          <w:b/>
          <w:bCs/>
        </w:rPr>
        <w:t xml:space="preserve">Annual</w:t>
      </w:r>
      <w:r>
        <w:t xml:space="preserve">: 5 fits, one per calendar year 2020–2024.</w:t>
      </w:r>
    </w:p>
    <w:p>
      <w:pPr>
        <w:pStyle w:val="Compact"/>
        <w:numPr>
          <w:ilvl w:val="0"/>
          <w:numId w:val="1007"/>
        </w:numPr>
      </w:pPr>
      <w:r>
        <w:rPr>
          <w:b/>
          <w:bCs/>
        </w:rPr>
        <w:t xml:space="preserve">Seasonal</w:t>
      </w:r>
      <w:r>
        <w:t xml:space="preserve">: 4 fits, one per DJF / MAM / JJA / SON.</w:t>
      </w:r>
    </w:p>
    <w:p>
      <w:pPr>
        <w:pStyle w:val="Compact"/>
        <w:numPr>
          <w:ilvl w:val="0"/>
          <w:numId w:val="1007"/>
        </w:numPr>
      </w:pPr>
      <w:r>
        <w:rPr>
          <w:b/>
          <w:bCs/>
        </w:rPr>
        <w:t xml:space="preserve">Sensor</w:t>
      </w:r>
      <w:r>
        <w:t xml:space="preserve">: 3 fits, one per L8 / L9 / S2.</w:t>
      </w:r>
    </w:p>
    <w:p>
      <w:pPr>
        <w:pStyle w:val="Compact"/>
        <w:numPr>
          <w:ilvl w:val="0"/>
          <w:numId w:val="1007"/>
        </w:numPr>
      </w:pPr>
      <w:r>
        <w:rPr>
          <w:b/>
          <w:bCs/>
        </w:rPr>
        <w:t xml:space="preserve">Leave-one-site-out</w:t>
      </w:r>
      <w:r>
        <w:t xml:space="preserve">: 5 fits, each training on 4 sites (12 points) and predicting the 5th site’s 3 sensors.</w:t>
      </w:r>
    </w:p>
    <w:p>
      <w:pPr>
        <w:pStyle w:val="FirstParagraph"/>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26"/>
    <w:bookmarkStart w:id="27" w:name="conversion-to-elevation-domain-dem-error"/>
    <w:p>
      <w:pPr>
        <w:pStyle w:val="Heading3"/>
      </w:pPr>
      <w:r>
        <w:t xml:space="preserve">3.5 Conversion to elevation-domain DEM error</w:t>
      </w:r>
    </w:p>
    <w:p>
      <w:pPr>
        <w:pStyle w:val="FirstParagraph"/>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Body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FirstParagraph"/>
      </w:pPr>
      <w:r>
        <w:t xml:space="preserve">Aggregate elevation-domain metrics:</w:t>
      </w:r>
    </w:p>
    <w:p>
      <w:pPr>
        <w:pStyle w:val="Compac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Compac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Compac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FirstParagraph"/>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27"/>
    <w:bookmarkStart w:id="28" w:name="implementation"/>
    <w:p>
      <w:pPr>
        <w:pStyle w:val="Heading3"/>
      </w:pPr>
      <w:r>
        <w:t xml:space="preserve">3.6 Implementation</w:t>
      </w:r>
    </w:p>
    <w:p>
      <w:pPr>
        <w:pStyle w:val="FirstParagraph"/>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28"/>
    <w:bookmarkEnd w:id="29"/>
    <w:bookmarkStart w:id="59" w:name="results"/>
    <w:p>
      <w:pPr>
        <w:pStyle w:val="Heading2"/>
      </w:pPr>
      <w:r>
        <w:t xml:space="preserve">4. Results</w:t>
      </w:r>
    </w:p>
    <w:bookmarkStart w:id="36" w:name="Xd8b9a8778374a11dda8b58c10124160665a15be"/>
    <w:p>
      <w:pPr>
        <w:pStyle w:val="Heading3"/>
      </w:pPr>
      <w:r>
        <w:t xml:space="preserve">4.1 Cross-site tidal sampling distributions reveal a bipolar bias</w:t>
      </w:r>
    </w:p>
    <w:p>
      <w:pPr>
        <w:pStyle w:val="FirstParagraph"/>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BodyText"/>
      </w:pPr>
      <w:r>
        <w:drawing>
          <wp:inline>
            <wp:extent cx="4907280" cy="2295340"/>
            <wp:effectExtent b="0" l="0" r="0" t="0"/>
            <wp:docPr descr="" title="" id="31" name="Picture"/>
            <a:graphic>
              <a:graphicData uri="http://schemas.openxmlformats.org/drawingml/2006/picture">
                <pic:pic>
                  <pic:nvPicPr>
                    <pic:cNvPr descr="figures/fig2_distribution_grid.png" id="32" name="Picture"/>
                    <pic:cNvPicPr>
                      <a:picLocks noChangeArrowheads="1" noChangeAspect="1"/>
                    </pic:cNvPicPr>
                  </pic:nvPicPr>
                  <pic:blipFill>
                    <a:blip r:embed="rId30"/>
                    <a:stretch>
                      <a:fillRect/>
                    </a:stretch>
                  </pic:blipFill>
                  <pic:spPr bwMode="auto">
                    <a:xfrm>
                      <a:off x="0" y="0"/>
                      <a:ext cx="4907280" cy="229534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Body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BodyText"/>
      </w:pPr>
      <w:r>
        <w:drawing>
          <wp:inline>
            <wp:extent cx="5067300" cy="1379962"/>
            <wp:effectExtent b="0" l="0" r="0" t="0"/>
            <wp:docPr descr="" title="" id="34" name="Picture"/>
            <a:graphic>
              <a:graphicData uri="http://schemas.openxmlformats.org/drawingml/2006/picture">
                <pic:pic>
                  <pic:nvPicPr>
                    <pic:cNvPr descr="figures/fig3_bipolar_bias.png" id="35" name="Picture"/>
                    <pic:cNvPicPr>
                      <a:picLocks noChangeArrowheads="1" noChangeAspect="1"/>
                    </pic:cNvPicPr>
                  </pic:nvPicPr>
                  <pic:blipFill>
                    <a:blip r:embed="rId33"/>
                    <a:stretch>
                      <a:fillRect/>
                    </a:stretch>
                  </pic:blipFill>
                  <pic:spPr bwMode="auto">
                    <a:xfrm>
                      <a:off x="0" y="0"/>
                      <a:ext cx="5067300" cy="137996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Site</w:t>
            </w:r>
          </w:p>
        </w:tc>
        <w:tc>
          <w:tcPr/>
          <w:p>
            <w:pPr>
              <w:pStyle w:val="Compact"/>
            </w:pPr>
            <w:r>
              <w:rPr>
                <w:b/>
                <w:bCs/>
              </w:rPr>
              <w:t xml:space="preserve">Sensor</w:t>
            </w:r>
          </w:p>
        </w:tc>
        <w:tc>
          <w:tcPr/>
          <w:p>
            <w:pPr>
              <w:pStyle w:val="Compact"/>
            </w:pPr>
            <w:r>
              <w:rPr>
                <w:b/>
                <w:bCs/>
              </w:rPr>
              <w:t xml:space="preserve">n</w:t>
            </w:r>
          </w:p>
        </w:tc>
        <w:tc>
          <w:tcPr/>
          <w:p>
            <w:pPr>
              <w:pStyle w:val="Compact"/>
            </w:pPr>
            <w:r>
              <w:rPr>
                <w:b/>
                <w:bCs/>
              </w:rPr>
              <w:t xml:space="preserve">Spread</w:t>
            </w:r>
          </w:p>
        </w:tc>
        <w:tc>
          <w:tcPr/>
          <w:p>
            <w:pPr>
              <w:pStyle w:val="Compact"/>
            </w:pPr>
            <w:r>
              <w:rPr>
                <w:b/>
                <w:bCs/>
              </w:rPr>
              <w:t xml:space="preserve">High off.</w:t>
            </w:r>
          </w:p>
        </w:tc>
        <w:tc>
          <w:tcPr/>
          <w:p>
            <w:pPr>
              <w:pStyle w:val="Compact"/>
            </w:pPr>
            <w:r>
              <w:rPr>
                <w:b/>
                <w:bCs/>
              </w:rPr>
              <w:t xml:space="preserve">Low off.</w:t>
            </w:r>
          </w:p>
        </w:tc>
        <w:tc>
          <w:tcPr/>
          <w:p>
            <w:pPr>
              <w:pStyle w:val="Compact"/>
            </w:pPr>
            <w:r>
              <w:rPr>
                <w:b/>
                <w:bCs/>
              </w:rPr>
              <w:t xml:space="preserve">Mean bias (m)</w:t>
            </w:r>
          </w:p>
        </w:tc>
      </w:tr>
      <w:tr>
        <w:tc>
          <w:tcPr/>
          <w:p>
            <w:pPr>
              <w:pStyle w:val="Compact"/>
            </w:pPr>
            <w:r>
              <w:t xml:space="preserve">Ganghwa</w:t>
            </w:r>
          </w:p>
        </w:tc>
        <w:tc>
          <w:tcPr/>
          <w:p>
            <w:pPr>
              <w:pStyle w:val="Compact"/>
            </w:pPr>
            <w:r>
              <w:t xml:space="preserve">L8</w:t>
            </w:r>
          </w:p>
        </w:tc>
        <w:tc>
          <w:tcPr/>
          <w:p>
            <w:pPr>
              <w:pStyle w:val="Compact"/>
            </w:pPr>
            <w:r>
              <w:t xml:space="preserve">137</w:t>
            </w:r>
          </w:p>
        </w:tc>
        <w:tc>
          <w:tcPr/>
          <w:p>
            <w:pPr>
              <w:pStyle w:val="Compact"/>
            </w:pPr>
            <w:r>
              <w:t xml:space="preserve">0.77</w:t>
            </w:r>
          </w:p>
        </w:tc>
        <w:tc>
          <w:tcPr/>
          <w:p>
            <w:pPr>
              <w:pStyle w:val="Compact"/>
            </w:pPr>
            <w:r>
              <w:t xml:space="preserve">0.22</w:t>
            </w:r>
          </w:p>
        </w:tc>
        <w:tc>
          <w:tcPr/>
          <w:p>
            <w:pPr>
              <w:pStyle w:val="Compact"/>
            </w:pPr>
            <w:r>
              <w:t xml:space="preserve">0.01</w:t>
            </w:r>
          </w:p>
        </w:tc>
        <w:tc>
          <w:tcPr/>
          <w:p>
            <w:pPr>
              <w:pStyle w:val="Compact"/>
            </w:pPr>
            <w:r>
              <w:t xml:space="preserve">−1.13</w:t>
            </w:r>
          </w:p>
        </w:tc>
      </w:tr>
      <w:tr>
        <w:tc>
          <w:tcPr/>
          <w:p>
            <w:pPr>
              <w:pStyle w:val="Compact"/>
            </w:pPr>
            <w:r>
              <w:t xml:space="preserve">Ganghwa</w:t>
            </w:r>
          </w:p>
        </w:tc>
        <w:tc>
          <w:tcPr/>
          <w:p>
            <w:pPr>
              <w:pStyle w:val="Compact"/>
            </w:pPr>
            <w:r>
              <w:t xml:space="preserve">L9</w:t>
            </w:r>
          </w:p>
        </w:tc>
        <w:tc>
          <w:tcPr/>
          <w:p>
            <w:pPr>
              <w:pStyle w:val="Compact"/>
            </w:pPr>
            <w:r>
              <w:t xml:space="preserve">90</w:t>
            </w:r>
          </w:p>
        </w:tc>
        <w:tc>
          <w:tcPr/>
          <w:p>
            <w:pPr>
              <w:pStyle w:val="Compact"/>
            </w:pPr>
            <w:r>
              <w:t xml:space="preserve">0.69</w:t>
            </w:r>
          </w:p>
        </w:tc>
        <w:tc>
          <w:tcPr/>
          <w:p>
            <w:pPr>
              <w:pStyle w:val="Compact"/>
            </w:pPr>
            <w:r>
              <w:t xml:space="preserve">0.28</w:t>
            </w:r>
          </w:p>
        </w:tc>
        <w:tc>
          <w:tcPr/>
          <w:p>
            <w:pPr>
              <w:pStyle w:val="Compact"/>
            </w:pPr>
            <w:r>
              <w:t xml:space="preserve">0.03</w:t>
            </w:r>
          </w:p>
        </w:tc>
        <w:tc>
          <w:tcPr/>
          <w:p>
            <w:pPr>
              <w:pStyle w:val="Compact"/>
            </w:pPr>
            <w:r>
              <w:t xml:space="preserve">−0.94</w:t>
            </w:r>
          </w:p>
        </w:tc>
      </w:tr>
      <w:tr>
        <w:tc>
          <w:tcPr/>
          <w:p>
            <w:pPr>
              <w:pStyle w:val="Compact"/>
            </w:pPr>
            <w:r>
              <w:t xml:space="preserve">Ganghwa</w:t>
            </w:r>
          </w:p>
        </w:tc>
        <w:tc>
          <w:tcPr/>
          <w:p>
            <w:pPr>
              <w:pStyle w:val="Compact"/>
            </w:pPr>
            <w:r>
              <w:t xml:space="preserve">S2</w:t>
            </w:r>
          </w:p>
        </w:tc>
        <w:tc>
          <w:tcPr/>
          <w:p>
            <w:pPr>
              <w:pStyle w:val="Compact"/>
            </w:pPr>
            <w:r>
              <w:t xml:space="preserve">826</w:t>
            </w:r>
          </w:p>
        </w:tc>
        <w:tc>
          <w:tcPr/>
          <w:p>
            <w:pPr>
              <w:pStyle w:val="Compact"/>
            </w:pPr>
            <w:r>
              <w:t xml:space="preserve">0.80</w:t>
            </w:r>
          </w:p>
        </w:tc>
        <w:tc>
          <w:tcPr/>
          <w:p>
            <w:pPr>
              <w:pStyle w:val="Compact"/>
            </w:pPr>
            <w:r>
              <w:t xml:space="preserve">0.21</w:t>
            </w:r>
          </w:p>
        </w:tc>
        <w:tc>
          <w:tcPr/>
          <w:p>
            <w:pPr>
              <w:pStyle w:val="Compact"/>
            </w:pPr>
            <w:r>
              <w:t xml:space="preserve">0.00</w:t>
            </w:r>
          </w:p>
        </w:tc>
        <w:tc>
          <w:tcPr/>
          <w:p>
            <w:pPr>
              <w:pStyle w:val="Compact"/>
            </w:pPr>
            <w:r>
              <w:t xml:space="preserve">−1.05</w:t>
            </w:r>
          </w:p>
        </w:tc>
      </w:tr>
      <w:tr>
        <w:tc>
          <w:tcPr/>
          <w:p>
            <w:pPr>
              <w:pStyle w:val="Compact"/>
            </w:pPr>
            <w:r>
              <w:t xml:space="preserve">Garorim</w:t>
            </w:r>
          </w:p>
        </w:tc>
        <w:tc>
          <w:tcPr/>
          <w:p>
            <w:pPr>
              <w:pStyle w:val="Compact"/>
            </w:pPr>
            <w:r>
              <w:t xml:space="preserve">L8</w:t>
            </w:r>
          </w:p>
        </w:tc>
        <w:tc>
          <w:tcPr/>
          <w:p>
            <w:pPr>
              <w:pStyle w:val="Compact"/>
            </w:pPr>
            <w:r>
              <w:t xml:space="preserve">129</w:t>
            </w:r>
          </w:p>
        </w:tc>
        <w:tc>
          <w:tcPr/>
          <w:p>
            <w:pPr>
              <w:pStyle w:val="Compact"/>
            </w:pPr>
            <w:r>
              <w:t xml:space="preserve">0.76</w:t>
            </w:r>
          </w:p>
        </w:tc>
        <w:tc>
          <w:tcPr/>
          <w:p>
            <w:pPr>
              <w:pStyle w:val="Compact"/>
            </w:pPr>
            <w:r>
              <w:t xml:space="preserve">0.27</w:t>
            </w:r>
          </w:p>
        </w:tc>
        <w:tc>
          <w:tcPr/>
          <w:p>
            <w:pPr>
              <w:pStyle w:val="Compact"/>
            </w:pPr>
            <w:r>
              <w:t xml:space="preserve">0.00</w:t>
            </w:r>
          </w:p>
        </w:tc>
        <w:tc>
          <w:tcPr/>
          <w:p>
            <w:pPr>
              <w:pStyle w:val="Compact"/>
            </w:pPr>
            <w:r>
              <w:t xml:space="preserve">−1.20</w:t>
            </w:r>
          </w:p>
        </w:tc>
      </w:tr>
      <w:tr>
        <w:tc>
          <w:tcPr/>
          <w:p>
            <w:pPr>
              <w:pStyle w:val="Compact"/>
            </w:pPr>
            <w:r>
              <w:t xml:space="preserve">Garorim</w:t>
            </w:r>
          </w:p>
        </w:tc>
        <w:tc>
          <w:tcPr/>
          <w:p>
            <w:pPr>
              <w:pStyle w:val="Compact"/>
            </w:pPr>
            <w:r>
              <w:t xml:space="preserve">L9</w:t>
            </w:r>
          </w:p>
        </w:tc>
        <w:tc>
          <w:tcPr/>
          <w:p>
            <w:pPr>
              <w:pStyle w:val="Compact"/>
            </w:pPr>
            <w:r>
              <w:t xml:space="preserve">91</w:t>
            </w:r>
          </w:p>
        </w:tc>
        <w:tc>
          <w:tcPr/>
          <w:p>
            <w:pPr>
              <w:pStyle w:val="Compact"/>
            </w:pPr>
            <w:r>
              <w:t xml:space="preserve">0.76</w:t>
            </w:r>
          </w:p>
        </w:tc>
        <w:tc>
          <w:tcPr/>
          <w:p>
            <w:pPr>
              <w:pStyle w:val="Compact"/>
            </w:pPr>
            <w:r>
              <w:t xml:space="preserve">0.25</w:t>
            </w:r>
          </w:p>
        </w:tc>
        <w:tc>
          <w:tcPr/>
          <w:p>
            <w:pPr>
              <w:pStyle w:val="Compact"/>
            </w:pPr>
            <w:r>
              <w:t xml:space="preserve">0.00</w:t>
            </w:r>
          </w:p>
        </w:tc>
        <w:tc>
          <w:tcPr/>
          <w:p>
            <w:pPr>
              <w:pStyle w:val="Compact"/>
            </w:pPr>
            <w:r>
              <w:t xml:space="preserve">−0.82</w:t>
            </w:r>
          </w:p>
        </w:tc>
      </w:tr>
      <w:tr>
        <w:tc>
          <w:tcPr/>
          <w:p>
            <w:pPr>
              <w:pStyle w:val="Compact"/>
            </w:pPr>
            <w:r>
              <w:t xml:space="preserve">Garorim</w:t>
            </w:r>
          </w:p>
        </w:tc>
        <w:tc>
          <w:tcPr/>
          <w:p>
            <w:pPr>
              <w:pStyle w:val="Compact"/>
            </w:pPr>
            <w:r>
              <w:t xml:space="preserve">S2</w:t>
            </w:r>
          </w:p>
        </w:tc>
        <w:tc>
          <w:tcPr/>
          <w:p>
            <w:pPr>
              <w:pStyle w:val="Compact"/>
            </w:pPr>
            <w:r>
              <w:t xml:space="preserve">1,656</w:t>
            </w:r>
          </w:p>
        </w:tc>
        <w:tc>
          <w:tcPr/>
          <w:p>
            <w:pPr>
              <w:pStyle w:val="Compact"/>
            </w:pPr>
            <w:r>
              <w:t xml:space="preserve">0.78</w:t>
            </w:r>
          </w:p>
        </w:tc>
        <w:tc>
          <w:tcPr/>
          <w:p>
            <w:pPr>
              <w:pStyle w:val="Compact"/>
            </w:pPr>
            <w:r>
              <w:t xml:space="preserve">0.23</w:t>
            </w:r>
          </w:p>
        </w:tc>
        <w:tc>
          <w:tcPr/>
          <w:p>
            <w:pPr>
              <w:pStyle w:val="Compact"/>
            </w:pPr>
            <w:r>
              <w:t xml:space="preserve">0.00</w:t>
            </w:r>
          </w:p>
        </w:tc>
        <w:tc>
          <w:tcPr/>
          <w:p>
            <w:pPr>
              <w:pStyle w:val="Compact"/>
            </w:pPr>
            <w:r>
              <w:t xml:space="preserve">−0.80</w:t>
            </w:r>
          </w:p>
        </w:tc>
      </w:tr>
      <w:tr>
        <w:tc>
          <w:tcPr/>
          <w:p>
            <w:pPr>
              <w:pStyle w:val="Compact"/>
            </w:pPr>
            <w:r>
              <w:t xml:space="preserve">Gomso</w:t>
            </w:r>
          </w:p>
        </w:tc>
        <w:tc>
          <w:tcPr/>
          <w:p>
            <w:pPr>
              <w:pStyle w:val="Compact"/>
            </w:pPr>
            <w:r>
              <w:t xml:space="preserve">L8</w:t>
            </w:r>
          </w:p>
        </w:tc>
        <w:tc>
          <w:tcPr/>
          <w:p>
            <w:pPr>
              <w:pStyle w:val="Compact"/>
            </w:pPr>
            <w:r>
              <w:t xml:space="preserve">203</w:t>
            </w:r>
          </w:p>
        </w:tc>
        <w:tc>
          <w:tcPr/>
          <w:p>
            <w:pPr>
              <w:pStyle w:val="Compact"/>
            </w:pPr>
            <w:r>
              <w:t xml:space="preserve">0.80</w:t>
            </w:r>
          </w:p>
        </w:tc>
        <w:tc>
          <w:tcPr/>
          <w:p>
            <w:pPr>
              <w:pStyle w:val="Compact"/>
            </w:pPr>
            <w:r>
              <w:t xml:space="preserve">0.25</w:t>
            </w:r>
          </w:p>
        </w:tc>
        <w:tc>
          <w:tcPr/>
          <w:p>
            <w:pPr>
              <w:pStyle w:val="Compact"/>
            </w:pPr>
            <w:r>
              <w:t xml:space="preserve">0.00</w:t>
            </w:r>
          </w:p>
        </w:tc>
        <w:tc>
          <w:tcPr/>
          <w:p>
            <w:pPr>
              <w:pStyle w:val="Compact"/>
            </w:pPr>
            <w:r>
              <w:t xml:space="preserve">−0.88</w:t>
            </w:r>
          </w:p>
        </w:tc>
      </w:tr>
      <w:tr>
        <w:tc>
          <w:tcPr/>
          <w:p>
            <w:pPr>
              <w:pStyle w:val="Compact"/>
            </w:pPr>
            <w:r>
              <w:t xml:space="preserve">Gomso</w:t>
            </w:r>
          </w:p>
        </w:tc>
        <w:tc>
          <w:tcPr/>
          <w:p>
            <w:pPr>
              <w:pStyle w:val="Compact"/>
            </w:pPr>
            <w:r>
              <w:t xml:space="preserve">L9</w:t>
            </w:r>
          </w:p>
        </w:tc>
        <w:tc>
          <w:tcPr/>
          <w:p>
            <w:pPr>
              <w:pStyle w:val="Compact"/>
            </w:pPr>
            <w:r>
              <w:t xml:space="preserve">110</w:t>
            </w:r>
          </w:p>
        </w:tc>
        <w:tc>
          <w:tcPr/>
          <w:p>
            <w:pPr>
              <w:pStyle w:val="Compact"/>
            </w:pPr>
            <w:r>
              <w:t xml:space="preserve">0.77</w:t>
            </w:r>
          </w:p>
        </w:tc>
        <w:tc>
          <w:tcPr/>
          <w:p>
            <w:pPr>
              <w:pStyle w:val="Compact"/>
            </w:pPr>
            <w:r>
              <w:t xml:space="preserve">0.23</w:t>
            </w:r>
          </w:p>
        </w:tc>
        <w:tc>
          <w:tcPr/>
          <w:p>
            <w:pPr>
              <w:pStyle w:val="Compact"/>
            </w:pPr>
            <w:r>
              <w:t xml:space="preserve">0.00</w:t>
            </w:r>
          </w:p>
        </w:tc>
        <w:tc>
          <w:tcPr/>
          <w:p>
            <w:pPr>
              <w:pStyle w:val="Compact"/>
            </w:pPr>
            <w:r>
              <w:t xml:space="preserve">−0.86</w:t>
            </w:r>
          </w:p>
        </w:tc>
      </w:tr>
      <w:tr>
        <w:tc>
          <w:tcPr/>
          <w:p>
            <w:pPr>
              <w:pStyle w:val="Compact"/>
            </w:pPr>
            <w:r>
              <w:t xml:space="preserve">Gomso</w:t>
            </w:r>
          </w:p>
        </w:tc>
        <w:tc>
          <w:tcPr/>
          <w:p>
            <w:pPr>
              <w:pStyle w:val="Compact"/>
            </w:pPr>
            <w:r>
              <w:t xml:space="preserve">S2</w:t>
            </w:r>
          </w:p>
        </w:tc>
        <w:tc>
          <w:tcPr/>
          <w:p>
            <w:pPr>
              <w:pStyle w:val="Compact"/>
            </w:pPr>
            <w:r>
              <w:t xml:space="preserve">187</w:t>
            </w:r>
          </w:p>
        </w:tc>
        <w:tc>
          <w:tcPr/>
          <w:p>
            <w:pPr>
              <w:pStyle w:val="Compact"/>
            </w:pPr>
            <w:r>
              <w:t xml:space="preserve">0.75</w:t>
            </w:r>
          </w:p>
        </w:tc>
        <w:tc>
          <w:tcPr/>
          <w:p>
            <w:pPr>
              <w:pStyle w:val="Compact"/>
            </w:pPr>
            <w:r>
              <w:t xml:space="preserve">0.23</w:t>
            </w:r>
          </w:p>
        </w:tc>
        <w:tc>
          <w:tcPr/>
          <w:p>
            <w:pPr>
              <w:pStyle w:val="Compact"/>
            </w:pPr>
            <w:r>
              <w:t xml:space="preserve">0.02</w:t>
            </w:r>
          </w:p>
        </w:tc>
        <w:tc>
          <w:tcPr/>
          <w:p>
            <w:pPr>
              <w:pStyle w:val="Compact"/>
            </w:pPr>
            <w:r>
              <w:t xml:space="preserve">−0.64</w:t>
            </w:r>
          </w:p>
        </w:tc>
      </w:tr>
      <w:tr>
        <w:tc>
          <w:tcPr/>
          <w:p>
            <w:pPr>
              <w:pStyle w:val="Compact"/>
            </w:pPr>
            <w:r>
              <w:t xml:space="preserve">Hampyeong</w:t>
            </w:r>
          </w:p>
        </w:tc>
        <w:tc>
          <w:tcPr/>
          <w:p>
            <w:pPr>
              <w:pStyle w:val="Compact"/>
            </w:pPr>
            <w:r>
              <w:t xml:space="preserve">L8</w:t>
            </w:r>
          </w:p>
        </w:tc>
        <w:tc>
          <w:tcPr/>
          <w:p>
            <w:pPr>
              <w:pStyle w:val="Compact"/>
            </w:pPr>
            <w:r>
              <w:t xml:space="preserve">195</w:t>
            </w:r>
          </w:p>
        </w:tc>
        <w:tc>
          <w:tcPr/>
          <w:p>
            <w:pPr>
              <w:pStyle w:val="Compact"/>
            </w:pPr>
            <w:r>
              <w:t xml:space="preserve">0.77</w:t>
            </w:r>
          </w:p>
        </w:tc>
        <w:tc>
          <w:tcPr/>
          <w:p>
            <w:pPr>
              <w:pStyle w:val="Compact"/>
            </w:pPr>
            <w:r>
              <w:t xml:space="preserve">0.25</w:t>
            </w:r>
          </w:p>
        </w:tc>
        <w:tc>
          <w:tcPr/>
          <w:p>
            <w:pPr>
              <w:pStyle w:val="Compact"/>
            </w:pPr>
            <w:r>
              <w:t xml:space="preserve">0.00</w:t>
            </w:r>
          </w:p>
        </w:tc>
        <w:tc>
          <w:tcPr/>
          <w:p>
            <w:pPr>
              <w:pStyle w:val="Compact"/>
            </w:pPr>
            <w:r>
              <w:t xml:space="preserve">−0.68</w:t>
            </w:r>
          </w:p>
        </w:tc>
      </w:tr>
      <w:tr>
        <w:tc>
          <w:tcPr/>
          <w:p>
            <w:pPr>
              <w:pStyle w:val="Compact"/>
            </w:pPr>
            <w:r>
              <w:t xml:space="preserve">Hampyeong</w:t>
            </w:r>
          </w:p>
        </w:tc>
        <w:tc>
          <w:tcPr/>
          <w:p>
            <w:pPr>
              <w:pStyle w:val="Compact"/>
            </w:pPr>
            <w:r>
              <w:t xml:space="preserve">L9</w:t>
            </w:r>
          </w:p>
        </w:tc>
        <w:tc>
          <w:tcPr/>
          <w:p>
            <w:pPr>
              <w:pStyle w:val="Compact"/>
            </w:pPr>
            <w:r>
              <w:t xml:space="preserve">119</w:t>
            </w:r>
          </w:p>
        </w:tc>
        <w:tc>
          <w:tcPr/>
          <w:p>
            <w:pPr>
              <w:pStyle w:val="Compact"/>
            </w:pPr>
            <w:r>
              <w:t xml:space="preserve">0.74</w:t>
            </w:r>
          </w:p>
        </w:tc>
        <w:tc>
          <w:tcPr/>
          <w:p>
            <w:pPr>
              <w:pStyle w:val="Compact"/>
            </w:pPr>
            <w:r>
              <w:t xml:space="preserve">0.22</w:t>
            </w:r>
          </w:p>
        </w:tc>
        <w:tc>
          <w:tcPr/>
          <w:p>
            <w:pPr>
              <w:pStyle w:val="Compact"/>
            </w:pPr>
            <w:r>
              <w:t xml:space="preserve">0.04</w:t>
            </w:r>
          </w:p>
        </w:tc>
        <w:tc>
          <w:tcPr/>
          <w:p>
            <w:pPr>
              <w:pStyle w:val="Compact"/>
            </w:pPr>
            <w:r>
              <w:t xml:space="preserve">−0.80</w:t>
            </w:r>
          </w:p>
        </w:tc>
      </w:tr>
      <w:tr>
        <w:tc>
          <w:tcPr/>
          <w:p>
            <w:pPr>
              <w:pStyle w:val="Compact"/>
            </w:pPr>
            <w:r>
              <w:t xml:space="preserve">Hampyeong</w:t>
            </w:r>
          </w:p>
        </w:tc>
        <w:tc>
          <w:tcPr/>
          <w:p>
            <w:pPr>
              <w:pStyle w:val="Compact"/>
            </w:pPr>
            <w:r>
              <w:t xml:space="preserve">S2</w:t>
            </w:r>
          </w:p>
        </w:tc>
        <w:tc>
          <w:tcPr/>
          <w:p>
            <w:pPr>
              <w:pStyle w:val="Compact"/>
            </w:pPr>
            <w:r>
              <w:t xml:space="preserve">796</w:t>
            </w:r>
          </w:p>
        </w:tc>
        <w:tc>
          <w:tcPr/>
          <w:p>
            <w:pPr>
              <w:pStyle w:val="Compact"/>
            </w:pPr>
            <w:r>
              <w:t xml:space="preserve">0.73</w:t>
            </w:r>
          </w:p>
        </w:tc>
        <w:tc>
          <w:tcPr/>
          <w:p>
            <w:pPr>
              <w:pStyle w:val="Compact"/>
            </w:pPr>
            <w:r>
              <w:t xml:space="preserve">0.23</w:t>
            </w:r>
          </w:p>
        </w:tc>
        <w:tc>
          <w:tcPr/>
          <w:p>
            <w:pPr>
              <w:pStyle w:val="Compact"/>
            </w:pPr>
            <w:r>
              <w:t xml:space="preserve">0.03</w:t>
            </w:r>
          </w:p>
        </w:tc>
        <w:tc>
          <w:tcPr/>
          <w:p>
            <w:pPr>
              <w:pStyle w:val="Compact"/>
            </w:pPr>
            <w:r>
              <w:t xml:space="preserve">−0.52</w:t>
            </w:r>
          </w:p>
        </w:tc>
      </w:tr>
      <w:tr>
        <w:tc>
          <w:tcPr/>
          <w:p>
            <w:pPr>
              <w:pStyle w:val="Compact"/>
            </w:pPr>
            <w:r>
              <w:rPr>
                <w:b/>
                <w:bCs/>
              </w:rPr>
              <w:t xml:space="preserve">Suncheon</w:t>
            </w:r>
          </w:p>
        </w:tc>
        <w:tc>
          <w:tcPr/>
          <w:p>
            <w:pPr>
              <w:pStyle w:val="Compact"/>
            </w:pPr>
            <w:r>
              <w:t xml:space="preserve">L8</w:t>
            </w:r>
          </w:p>
        </w:tc>
        <w:tc>
          <w:tcPr/>
          <w:p>
            <w:pPr>
              <w:pStyle w:val="Compact"/>
            </w:pPr>
            <w:r>
              <w:t xml:space="preserve">70</w:t>
            </w:r>
          </w:p>
        </w:tc>
        <w:tc>
          <w:tcPr/>
          <w:p>
            <w:pPr>
              <w:pStyle w:val="Compact"/>
            </w:pPr>
            <w:r>
              <w:t xml:space="preserve">0.72</w:t>
            </w:r>
          </w:p>
        </w:tc>
        <w:tc>
          <w:tcPr/>
          <w:p>
            <w:pPr>
              <w:pStyle w:val="Compact"/>
            </w:pPr>
            <w:r>
              <w:rPr>
                <w:b/>
                <w:bCs/>
              </w:rPr>
              <w:t xml:space="preserve">0.00</w:t>
            </w:r>
          </w:p>
        </w:tc>
        <w:tc>
          <w:tcPr/>
          <w:p>
            <w:pPr>
              <w:pStyle w:val="Compact"/>
            </w:pPr>
            <w:r>
              <w:rPr>
                <w:b/>
                <w:bCs/>
              </w:rPr>
              <w:t xml:space="preserve">0.27</w:t>
            </w:r>
          </w:p>
        </w:tc>
        <w:tc>
          <w:tcPr/>
          <w:p>
            <w:pPr>
              <w:pStyle w:val="Compact"/>
            </w:pPr>
            <w:r>
              <w:t xml:space="preserve">+0.29</w:t>
            </w:r>
          </w:p>
        </w:tc>
      </w:tr>
      <w:tr>
        <w:tc>
          <w:tcPr/>
          <w:p>
            <w:pPr>
              <w:pStyle w:val="Compact"/>
            </w:pPr>
            <w:r>
              <w:rPr>
                <w:b/>
                <w:bCs/>
              </w:rPr>
              <w:t xml:space="preserve">Suncheon</w:t>
            </w:r>
          </w:p>
        </w:tc>
        <w:tc>
          <w:tcPr/>
          <w:p>
            <w:pPr>
              <w:pStyle w:val="Compact"/>
            </w:pPr>
            <w:r>
              <w:t xml:space="preserve">L9</w:t>
            </w:r>
          </w:p>
        </w:tc>
        <w:tc>
          <w:tcPr/>
          <w:p>
            <w:pPr>
              <w:pStyle w:val="Compact"/>
            </w:pPr>
            <w:r>
              <w:t xml:space="preserve">38</w:t>
            </w:r>
          </w:p>
        </w:tc>
        <w:tc>
          <w:tcPr/>
          <w:p>
            <w:pPr>
              <w:pStyle w:val="Compact"/>
            </w:pPr>
            <w:r>
              <w:t xml:space="preserve">0.59</w:t>
            </w:r>
          </w:p>
        </w:tc>
        <w:tc>
          <w:tcPr/>
          <w:p>
            <w:pPr>
              <w:pStyle w:val="Compact"/>
            </w:pPr>
            <w:r>
              <w:t xml:space="preserve">0.05</w:t>
            </w:r>
          </w:p>
        </w:tc>
        <w:tc>
          <w:tcPr/>
          <w:p>
            <w:pPr>
              <w:pStyle w:val="Compact"/>
            </w:pPr>
            <w:r>
              <w:rPr>
                <w:b/>
                <w:bCs/>
              </w:rPr>
              <w:t xml:space="preserve">0.36</w:t>
            </w:r>
          </w:p>
        </w:tc>
        <w:tc>
          <w:tcPr/>
          <w:p>
            <w:pPr>
              <w:pStyle w:val="Compact"/>
            </w:pPr>
            <w:r>
              <w:t xml:space="preserve">+0.39</w:t>
            </w:r>
          </w:p>
        </w:tc>
      </w:tr>
      <w:tr>
        <w:tc>
          <w:tcPr/>
          <w:p>
            <w:pPr>
              <w:pStyle w:val="Compact"/>
            </w:pPr>
            <w:r>
              <w:rPr>
                <w:b/>
                <w:bCs/>
              </w:rPr>
              <w:t xml:space="preserve">Suncheon</w:t>
            </w:r>
          </w:p>
        </w:tc>
        <w:tc>
          <w:tcPr/>
          <w:p>
            <w:pPr>
              <w:pStyle w:val="Compact"/>
            </w:pPr>
            <w:r>
              <w:t xml:space="preserve">S2</w:t>
            </w:r>
          </w:p>
        </w:tc>
        <w:tc>
          <w:tcPr/>
          <w:p>
            <w:pPr>
              <w:pStyle w:val="Compact"/>
            </w:pPr>
            <w:r>
              <w:t xml:space="preserve">435</w:t>
            </w:r>
          </w:p>
        </w:tc>
        <w:tc>
          <w:tcPr/>
          <w:p>
            <w:pPr>
              <w:pStyle w:val="Compact"/>
            </w:pPr>
            <w:r>
              <w:t xml:space="preserve">0.69</w:t>
            </w:r>
          </w:p>
        </w:tc>
        <w:tc>
          <w:tcPr/>
          <w:p>
            <w:pPr>
              <w:pStyle w:val="Compact"/>
            </w:pPr>
            <w:r>
              <w:t xml:space="preserve">0.05</w:t>
            </w:r>
          </w:p>
        </w:tc>
        <w:tc>
          <w:tcPr/>
          <w:p>
            <w:pPr>
              <w:pStyle w:val="Compact"/>
            </w:pPr>
            <w:r>
              <w:rPr>
                <w:b/>
                <w:bCs/>
              </w:rPr>
              <w:t xml:space="preserve">0.26</w:t>
            </w:r>
          </w:p>
        </w:tc>
        <w:tc>
          <w:tcPr/>
          <w:p>
            <w:pPr>
              <w:pStyle w:val="Compact"/>
            </w:pPr>
            <w:r>
              <w:t xml:space="preserve">+0.31</w:t>
            </w:r>
          </w:p>
        </w:tc>
      </w:tr>
    </w:tbl>
    <w:p>
      <w:pPr>
        <w:pStyle w:val="Body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36"/>
    <w:bookmarkStart w:id="40" w:name="X3ee678bc59ea253c8fafb243613123884b7c4f0"/>
    <w:p>
      <w:pPr>
        <w:pStyle w:val="Heading3"/>
      </w:pPr>
      <w:r>
        <w:t xml:space="preserve">4.2 The bipolar bias is set by the satellite-overpass tide phase</w:t>
      </w:r>
    </w:p>
    <w:p>
      <w:pPr>
        <w:pStyle w:val="FirstParagraph"/>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Because the satellite overpass time is essentially fixed in</w:t>
      </w:r>
      <w:r>
        <w:t xml:space="preserve"> </w:t>
      </w:r>
      <w:r>
        <w:rPr>
          <w:i/>
          <w:iCs/>
        </w:rPr>
        <w:t xml:space="preserve">local solar time</w:t>
      </w:r>
      <w:r>
        <w:t xml:space="preserve"> </w:t>
      </w:r>
      <w:r>
        <w:t xml:space="preserve">(Figure S2, peak at 11:00 KST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BodyText"/>
      </w:pPr>
      <w:r>
        <w:drawing>
          <wp:inline>
            <wp:extent cx="4800600" cy="1194106"/>
            <wp:effectExtent b="0" l="0" r="0" t="0"/>
            <wp:docPr descr="" title="" id="38" name="Picture"/>
            <a:graphic>
              <a:graphicData uri="http://schemas.openxmlformats.org/drawingml/2006/picture">
                <pic:pic>
                  <pic:nvPicPr>
                    <pic:cNvPr descr="figures/fig4_phase_polar.png" id="39" name="Picture"/>
                    <pic:cNvPicPr>
                      <a:picLocks noChangeArrowheads="1" noChangeAspect="1"/>
                    </pic:cNvPicPr>
                  </pic:nvPicPr>
                  <pic:blipFill>
                    <a:blip r:embed="rId37"/>
                    <a:stretch>
                      <a:fillRect/>
                    </a:stretch>
                  </pic:blipFill>
                  <pic:spPr bwMode="auto">
                    <a:xfrm>
                      <a:off x="0" y="0"/>
                      <a:ext cx="4800600" cy="119410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40"/>
    <w:bookmarkStart w:id="44" w:name="Xcc2f68dab410ac36b6326f93548c150cdb5684f"/>
    <w:p>
      <w:pPr>
        <w:pStyle w:val="Heading3"/>
      </w:pPr>
      <w:r>
        <w:t xml:space="preserve">4.3 A one-parameter model predicts mean bias with</w:t>
      </w:r>
      <w:r>
        <w:t xml:space="preserve"> </w:t>
      </w:r>
      <m:oMath>
        <m:sSup>
          <m:e>
            <m:r>
              <m:t>R</m:t>
            </m:r>
          </m:e>
          <m:sup>
            <m:r>
              <m:t>2</m:t>
            </m:r>
          </m:sup>
        </m:sSup>
        <m:r>
          <m:rPr>
            <m:sty m:val="p"/>
          </m:rPr>
          <m:t>=</m:t>
        </m:r>
        <m:r>
          <m:t>0.98</m:t>
        </m:r>
      </m:oMath>
    </w:p>
    <w:p>
      <w:pPr>
        <w:pStyle w:val="FirstParagraph"/>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FirstParagraph"/>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BodyText"/>
      </w:pPr>
      <w:r>
        <w:drawing>
          <wp:inline>
            <wp:extent cx="4267200" cy="2998985"/>
            <wp:effectExtent b="0" l="0" r="0" t="0"/>
            <wp:docPr descr="" title="" id="42" name="Picture"/>
            <a:graphic>
              <a:graphicData uri="http://schemas.openxmlformats.org/drawingml/2006/picture">
                <pic:pic>
                  <pic:nvPicPr>
                    <pic:cNvPr descr="figures/fig5_phase_bias_regression.png" id="43" name="Picture"/>
                    <pic:cNvPicPr>
                      <a:picLocks noChangeArrowheads="1" noChangeAspect="1"/>
                    </pic:cNvPicPr>
                  </pic:nvPicPr>
                  <pic:blipFill>
                    <a:blip r:embed="rId41"/>
                    <a:stretch>
                      <a:fillRect/>
                    </a:stretch>
                  </pic:blipFill>
                  <pic:spPr bwMode="auto">
                    <a:xfrm>
                      <a:off x="0" y="0"/>
                      <a:ext cx="4267200" cy="299898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44"/>
    <w:bookmarkStart w:id="48" w:name="X8c32df7daa4eaf72051c418d75c7852f50cc6de"/>
    <w:p>
      <w:pPr>
        <w:pStyle w:val="Heading3"/>
      </w:pPr>
      <w:r>
        <w:t xml:space="preserve">4.4 The regression is stable across years, seasons, sensors, and held-out sites</w:t>
      </w:r>
    </w:p>
    <w:p>
      <w:pPr>
        <w:pStyle w:val="FirstParagraph"/>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Compac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Compac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closest to the theoretical 1 (slope = 0.81); MAM has the highest</w:t>
      </w:r>
      <w:r>
        <w:t xml:space="preserve"> </w:t>
      </w:r>
      <m:oMath>
        <m:sSup>
          <m:e>
            <m:r>
              <m:t>R</m:t>
            </m:r>
          </m:e>
          <m:sup>
            <m:r>
              <m:t>2</m:t>
            </m:r>
          </m:sup>
        </m:sSup>
      </m:oMath>
      <w:r>
        <w:t xml:space="preserve"> </w:t>
      </w:r>
      <w:r>
        <w:t xml:space="preserve">(0.98).</w:t>
      </w:r>
    </w:p>
    <w:p>
      <w:pPr>
        <w:pStyle w:val="Compac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Compac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FirstParagraph"/>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Body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BodyText"/>
      </w:pPr>
      <w:r>
        <w:drawing>
          <wp:inline>
            <wp:extent cx="4267200" cy="2762779"/>
            <wp:effectExtent b="0" l="0" r="0" t="0"/>
            <wp:docPr descr="" title="" id="46" name="Picture"/>
            <a:graphic>
              <a:graphicData uri="http://schemas.openxmlformats.org/drawingml/2006/picture">
                <pic:pic>
                  <pic:nvPicPr>
                    <pic:cNvPr descr="figures/fig7_loo_validation.png" id="47" name="Picture"/>
                    <pic:cNvPicPr>
                      <a:picLocks noChangeArrowheads="1" noChangeAspect="1"/>
                    </pic:cNvPicPr>
                  </pic:nvPicPr>
                  <pic:blipFill>
                    <a:blip r:embed="rId45"/>
                    <a:stretch>
                      <a:fillRect/>
                    </a:stretch>
                  </pic:blipFill>
                  <pic:spPr bwMode="auto">
                    <a:xfrm>
                      <a:off x="0" y="0"/>
                      <a:ext cx="4267200" cy="2762779"/>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48"/>
    <w:bookmarkStart w:id="55" w:name="X762854f1876cf1bc528f5e29ed811008e297ca9"/>
    <w:p>
      <w:pPr>
        <w:pStyle w:val="Heading3"/>
      </w:pPr>
      <w:r>
        <w:t xml:space="preserve">4.5 Tide-height bias translates into 0.36–1.09 m elevation-domain RMSE</w:t>
      </w:r>
    </w:p>
    <w:p>
      <w:pPr>
        <w:pStyle w:val="FirstParagraph"/>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Body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Body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BodyText"/>
      </w:pPr>
      <w:r>
        <w:drawing>
          <wp:inline>
            <wp:extent cx="4533900" cy="2334534"/>
            <wp:effectExtent b="0" l="0" r="0" t="0"/>
            <wp:docPr descr="" title="" id="50" name="Picture"/>
            <a:graphic>
              <a:graphicData uri="http://schemas.openxmlformats.org/drawingml/2006/picture">
                <pic:pic>
                  <pic:nvPicPr>
                    <pic:cNvPr descr="figures/fig9_truncation_bands.png" id="51" name="Picture"/>
                    <pic:cNvPicPr>
                      <a:picLocks noChangeArrowheads="1" noChangeAspect="1"/>
                    </pic:cNvPicPr>
                  </pic:nvPicPr>
                  <pic:blipFill>
                    <a:blip r:embed="rId49"/>
                    <a:stretch>
                      <a:fillRect/>
                    </a:stretch>
                  </pic:blipFill>
                  <pic:spPr bwMode="auto">
                    <a:xfrm>
                      <a:off x="0" y="0"/>
                      <a:ext cx="4533900" cy="2334534"/>
                    </a:xfrm>
                    <a:prstGeom prst="rect">
                      <a:avLst/>
                    </a:prstGeom>
                    <a:noFill/>
                    <a:ln w="9525">
                      <a:noFill/>
                      <a:headEnd/>
                      <a:tailEnd/>
                    </a:ln>
                  </pic:spPr>
                </pic:pic>
              </a:graphicData>
            </a:graphic>
          </wp:inline>
        </w:drawing>
      </w:r>
    </w:p>
    <w:p>
      <w:pPr>
        <w:pStyle w:val="BodyText"/>
      </w:pPr>
      <w:r>
        <w:drawing>
          <wp:inline>
            <wp:extent cx="4533900" cy="1680430"/>
            <wp:effectExtent b="0" l="0" r="0" t="0"/>
            <wp:docPr descr="" title="" id="53" name="Picture"/>
            <a:graphic>
              <a:graphicData uri="http://schemas.openxmlformats.org/drawingml/2006/picture">
                <pic:pic>
                  <pic:nvPicPr>
                    <pic:cNvPr descr="figures/fig10_horizontal_error.png" id="54" name="Picture"/>
                    <pic:cNvPicPr>
                      <a:picLocks noChangeArrowheads="1" noChangeAspect="1"/>
                    </pic:cNvPicPr>
                  </pic:nvPicPr>
                  <pic:blipFill>
                    <a:blip r:embed="rId52"/>
                    <a:stretch>
                      <a:fillRect/>
                    </a:stretch>
                  </pic:blipFill>
                  <pic:spPr bwMode="auto">
                    <a:xfrm>
                      <a:off x="0" y="0"/>
                      <a:ext cx="4533900" cy="1680430"/>
                    </a:xfrm>
                    <a:prstGeom prst="rect">
                      <a:avLst/>
                    </a:prstGeom>
                    <a:noFill/>
                    <a:ln w="9525">
                      <a:noFill/>
                      <a:headEnd/>
                      <a:tailEnd/>
                    </a:ln>
                  </pic:spPr>
                </pic:pic>
              </a:graphicData>
            </a:graphic>
          </wp:inline>
        </w:drawing>
      </w:r>
    </w:p>
    <w:p>
      <w:pPr>
        <w:pStyle w:val="Body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55"/>
    <w:bookmarkStart w:id="56" w:name="X33a5b86cae240fcf534e92406ea2e8f54b59f85"/>
    <w:p>
      <w:pPr>
        <w:pStyle w:val="Heading3"/>
      </w:pPr>
      <w:r>
        <w:t xml:space="preserve">4.6 Increasing optical revisit frequency does not remove the bias</w:t>
      </w:r>
    </w:p>
    <w:p>
      <w:pPr>
        <w:pStyle w:val="FirstParagraph"/>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56"/>
    <w:bookmarkStart w:id="57" w:name="Xd60ea9a7fef294f880c0af49b1fbb3f4a6dcc08"/>
    <w:p>
      <w:pPr>
        <w:pStyle w:val="Heading3"/>
      </w:pPr>
      <w:r>
        <w:t xml:space="preserve">4.7 Robustness to amplitude definition and reference choice</w:t>
      </w:r>
    </w:p>
    <w:p>
      <w:pPr>
        <w:pStyle w:val="FirstParagraph"/>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FirstParagraph"/>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Body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Body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(and at Suncheon Bay the FES variant predicts a slightly larger positive bias of +0.32 to +0.52 m than KHOA’s +0.29 to +0.39 m, consistent with the global grid’s lack of the south-coast intra-bay phase lag); its excellent overall fit (</w:t>
      </w:r>
      <m:oMath>
        <m:sSup>
          <m:e>
            <m:r>
              <m:t>R</m:t>
            </m:r>
          </m:e>
          <m:sup>
            <m:r>
              <m:t>2</m:t>
            </m:r>
          </m:sup>
        </m:sSup>
        <m:r>
          <m:rPr>
            <m:sty m:val="p"/>
          </m:rPr>
          <m:t>=</m:t>
        </m:r>
        <m:r>
          <m:t>0.983</m:t>
        </m:r>
      </m:oMath>
      <w:r>
        <w:t xml:space="preserve">) confirms that it is the model</w:t>
      </w:r>
      <w:r>
        <w:t xml:space="preserve"> </w:t>
      </w:r>
      <w:r>
        <w:rPr>
          <w:i/>
          <w:iCs/>
        </w:rPr>
        <w:t xml:space="preserve">structure</w:t>
      </w:r>
      <w:r>
        <w:t xml:space="preserve">, not the precise value of the fitted slope, that carries the</w:t>
      </w:r>
      <w:r>
        <w:t xml:space="preserve"> </w:t>
      </w:r>
      <w:r>
        <w:rPr>
          <w:i/>
          <w:iCs/>
        </w:rPr>
        <w:t xml:space="preserve">a priori</w:t>
      </w:r>
      <w:r>
        <w:t xml:space="preserve"> </w:t>
      </w:r>
      <w:r>
        <w:t xml:space="preserve">predictive power, supporting the a-priori applicability claimed in Section 5.3(a) for any waterline-DEM user without local tide-gauge access.</w:t>
      </w:r>
    </w:p>
    <w:bookmarkEnd w:id="57"/>
    <w:bookmarkStart w:id="58" w:name="X644ac44b6a32494d150ad7d4caaf10fa1aa8412"/>
    <w:p>
      <w:pPr>
        <w:pStyle w:val="Heading3"/>
      </w:pPr>
      <w:r>
        <w:t xml:space="preserve">4.8 A priori transferability to macrotidal coasts outside Korea</w:t>
      </w:r>
    </w:p>
    <w:p>
      <w:pPr>
        <w:pStyle w:val="FirstParagraph"/>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satellite-overpass concentration</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Site (tidal regime)</w:t>
            </w:r>
          </w:p>
        </w:tc>
        <w:tc>
          <w:tcPr/>
          <w:p>
            <w:pPr>
              <w:pStyle w:val="Compact"/>
            </w:pPr>
            <w:r>
              <w:rPr>
                <w:b/>
                <w:bCs/>
              </w:rPr>
              <w:t xml:space="preserve">n</w:t>
            </w:r>
          </w:p>
        </w:tc>
        <w:tc>
          <w:tcPr/>
          <w:p>
            <w:pPr>
              <w:pStyle w:val="Compact"/>
            </w:pPr>
            <m:oMath>
              <m:r>
                <m:t>A</m:t>
              </m:r>
            </m:oMath>
            <w:r>
              <w:rPr>
                <w:b/>
                <w:bCs/>
              </w:rPr>
              <w:t xml:space="preserve"> </w:t>
            </w:r>
            <w:r>
              <w:rPr>
                <w:b/>
                <w:bCs/>
              </w:rPr>
              <w:t xml:space="preserve">(m)</w:t>
            </w:r>
          </w:p>
        </w:tc>
        <w:tc>
          <w:tcPr/>
          <w:p>
            <w:pPr>
              <w:pStyle w:val="Compact"/>
            </w:pPr>
            <m:oMath>
              <m:r>
                <m:rPr>
                  <m:sty m:val="p"/>
                </m:rPr>
                <m:t>⟨</m:t>
              </m:r>
              <m:r>
                <m:rPr>
                  <m:sty m:val="p"/>
                </m:rPr>
                <m:t>cos</m:t>
              </m:r>
              <m:r>
                <m:t>θ</m:t>
              </m:r>
              <m:r>
                <m:rPr>
                  <m:sty m:val="p"/>
                </m:rPr>
                <m:t>⟩</m:t>
              </m:r>
            </m:oMath>
          </w:p>
        </w:tc>
        <w:tc>
          <w:tcPr/>
          <w:p>
            <w:pPr>
              <w:pStyle w:val="Compact"/>
            </w:pPr>
            <w:r>
              <w:rPr>
                <w:b/>
                <w:bCs/>
              </w:rPr>
              <w:t xml:space="preserve">Pred. bias (m)</w:t>
            </w:r>
          </w:p>
        </w:tc>
        <w:tc>
          <w:tcPr/>
          <w:p>
            <w:pPr>
              <w:pStyle w:val="Compact"/>
            </w:pPr>
            <w:r>
              <w:rPr>
                <w:b/>
                <w:bCs/>
              </w:rPr>
              <w:t xml:space="preserve">FES-sampled (m)</w:t>
            </w:r>
          </w:p>
        </w:tc>
      </w:tr>
      <w:tr>
        <w:tc>
          <w:tcPr/>
          <w:p>
            <w:pPr>
              <w:pStyle w:val="Compact"/>
            </w:pPr>
            <w:r>
              <w:t xml:space="preserve">King Sound, NW Australia (mixed)</w:t>
            </w:r>
          </w:p>
        </w:tc>
        <w:tc>
          <w:tcPr/>
          <w:p>
            <w:pPr>
              <w:pStyle w:val="Compact"/>
            </w:pPr>
            <w:r>
              <w:t xml:space="preserve">1{,}258</w:t>
            </w:r>
          </w:p>
        </w:tc>
        <w:tc>
          <w:tcPr/>
          <w:p>
            <w:pPr>
              <w:pStyle w:val="Compact"/>
            </w:pPr>
            <w:r>
              <w:t xml:space="preserve">3.76</w:t>
            </w:r>
          </w:p>
        </w:tc>
        <w:tc>
          <w:tcPr/>
          <w:p>
            <w:pPr>
              <w:pStyle w:val="Compact"/>
            </w:pPr>
            <w:r>
              <w:t xml:space="preserve">−0.267</w:t>
            </w:r>
          </w:p>
        </w:tc>
        <w:tc>
          <w:tcPr/>
          <w:p>
            <w:pPr>
              <w:pStyle w:val="Compact"/>
            </w:pPr>
            <w:r>
              <w:t xml:space="preserve">−1.79</w:t>
            </w:r>
          </w:p>
        </w:tc>
        <w:tc>
          <w:tcPr/>
          <w:p>
            <w:pPr>
              <w:pStyle w:val="Compact"/>
            </w:pPr>
            <w:r>
              <w:t xml:space="preserve">−1.55</w:t>
            </w:r>
          </w:p>
        </w:tc>
      </w:tr>
      <w:tr>
        <w:tc>
          <w:tcPr/>
          <w:p>
            <w:pPr>
              <w:pStyle w:val="Compact"/>
            </w:pPr>
            <w:r>
              <w:t xml:space="preserve">Wadden Sea / German Bight (semidiurnal)</w:t>
            </w:r>
          </w:p>
        </w:tc>
        <w:tc>
          <w:tcPr/>
          <w:p>
            <w:pPr>
              <w:pStyle w:val="Compact"/>
            </w:pPr>
            <w:r>
              <w:t xml:space="preserve">573</w:t>
            </w:r>
          </w:p>
        </w:tc>
        <w:tc>
          <w:tcPr/>
          <w:p>
            <w:pPr>
              <w:pStyle w:val="Compact"/>
            </w:pPr>
            <w:r>
              <w:t xml:space="preserve">1.41</w:t>
            </w:r>
          </w:p>
        </w:tc>
        <w:tc>
          <w:tcPr/>
          <w:p>
            <w:pPr>
              <w:pStyle w:val="Compact"/>
            </w:pPr>
            <w:r>
              <w:t xml:space="preserve">+0.028</w:t>
            </w:r>
          </w:p>
        </w:tc>
        <w:tc>
          <w:tcPr/>
          <w:p>
            <w:pPr>
              <w:pStyle w:val="Compact"/>
            </w:pPr>
            <w:r>
              <w:t xml:space="preserve">+0.07</w:t>
            </w:r>
          </w:p>
        </w:tc>
        <w:tc>
          <w:tcPr/>
          <w:p>
            <w:pPr>
              <w:pStyle w:val="Compact"/>
            </w:pPr>
            <w:r>
              <w:t xml:space="preserve">+0.16</w:t>
            </w:r>
          </w:p>
        </w:tc>
      </w:tr>
      <w:tr>
        <w:tc>
          <w:tcPr/>
          <w:p>
            <w:pPr>
              <w:pStyle w:val="Compact"/>
            </w:pPr>
            <w:r>
              <w:t xml:space="preserve">Bay of Fundy / Minas Basin (max. range)</w:t>
            </w:r>
          </w:p>
        </w:tc>
        <w:tc>
          <w:tcPr/>
          <w:p>
            <w:pPr>
              <w:pStyle w:val="Compact"/>
            </w:pPr>
            <w:r>
              <w:t xml:space="preserve">924</w:t>
            </w:r>
          </w:p>
        </w:tc>
        <w:tc>
          <w:tcPr/>
          <w:p>
            <w:pPr>
              <w:pStyle w:val="Compact"/>
            </w:pPr>
            <w:r>
              <w:t xml:space="preserve">6.44</w:t>
            </w:r>
          </w:p>
        </w:tc>
        <w:tc>
          <w:tcPr/>
          <w:p>
            <w:pPr>
              <w:pStyle w:val="Compact"/>
            </w:pPr>
            <w:r>
              <w:t xml:space="preserve">−0.016</w:t>
            </w:r>
          </w:p>
        </w:tc>
        <w:tc>
          <w:tcPr/>
          <w:p>
            <w:pPr>
              <w:pStyle w:val="Compact"/>
            </w:pPr>
            <w:r>
              <w:t xml:space="preserve">−0.18</w:t>
            </w:r>
          </w:p>
        </w:tc>
        <w:tc>
          <w:tcPr/>
          <w:p>
            <w:pPr>
              <w:pStyle w:val="Compact"/>
            </w:pPr>
            <w:r>
              <w:t xml:space="preserve">+0.24</w:t>
            </w:r>
          </w:p>
        </w:tc>
      </w:tr>
    </w:tbl>
    <w:p>
      <w:pPr>
        <w:pStyle w:val="Body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satellite-overpass concentration</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BodyText"/>
      </w:pPr>
      <w:r>
        <w:t xml:space="preserve">The model transfers and, importantly,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the most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near-10:30-LST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largest-tide coast on Earth can carry a smaller waterline-DEM bias than a moderate-amplitude coast sampled at an unfavourable phase.</w:t>
      </w:r>
    </w:p>
    <w:p>
      <w:pPr>
        <w:pStyle w:val="Body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w:t>
      </w:r>
      <w:r>
        <w:t xml:space="preserve"> </w:t>
      </w:r>
      <w:r>
        <w:rPr>
          <w:i/>
          <w:iCs/>
        </w:rPr>
        <w:t xml:space="preserve">which</w:t>
      </w:r>
      <w:r>
        <w:t xml:space="preserve"> </w:t>
      </w:r>
      <w:r>
        <w:t xml:space="preserve">macrotidal coasts and waterline-DEM products are most exposed to the sampling bias.</w:t>
      </w:r>
    </w:p>
    <w:p>
      <w:r>
        <w:pict>
          <v:rect style="width:0;height:1.5pt" o:hralign="center" o:hrstd="t" o:hr="t"/>
        </w:pict>
      </w:r>
    </w:p>
    <w:bookmarkEnd w:id="58"/>
    <w:bookmarkEnd w:id="59"/>
    <w:bookmarkStart w:id="65" w:name="discussion"/>
    <w:p>
      <w:pPr>
        <w:pStyle w:val="Heading2"/>
      </w:pPr>
      <w:r>
        <w:t xml:space="preserve">5. Discussion</w:t>
      </w:r>
    </w:p>
    <w:bookmarkStart w:id="60" w:name="physical-interpretation-of-beta-1"/>
    <w:p>
      <w:pPr>
        <w:pStyle w:val="Heading3"/>
      </w:pPr>
      <w:r>
        <w:t xml:space="preserve">5.1 Physical interpretation of</w:t>
      </w:r>
      <w:r>
        <w:t xml:space="preserve"> </w:t>
      </w:r>
      <m:oMath>
        <m:r>
          <m:t>β</m:t>
        </m:r>
        <m:r>
          <m:rPr>
            <m:sty m:val="p"/>
          </m:rPr>
          <m:t>&gt;</m:t>
        </m:r>
        <m:r>
          <m:t>1</m:t>
        </m:r>
      </m:oMath>
    </w:p>
    <w:p>
      <w:pPr>
        <w:pStyle w:val="FirstParagraph"/>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Body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or 12-day sun-synchronous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Body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Body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60"/>
    <w:bookmarkStart w:id="61" w:name="Xec88b37862774c60052025a13adec28305d013b"/>
    <w:p>
      <w:pPr>
        <w:pStyle w:val="Heading3"/>
      </w:pPr>
      <w:r>
        <w:t xml:space="preserve">5.2 The bipolar bias: a regional amphidromic phenomenon</w:t>
      </w:r>
    </w:p>
    <w:p>
      <w:pPr>
        <w:pStyle w:val="FirstParagraph"/>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LST</w:t>
      </w:r>
      <w:r>
        <w:t xml:space="preserve"> </w:t>
      </w:r>
      <m:oMath>
        <m:r>
          <m:rPr>
            <m:sty m:val="p"/>
          </m:rPr>
          <m:t>≈</m:t>
        </m:r>
      </m:oMath>
      <w:r>
        <w:t xml:space="preserve"> </w:t>
      </w:r>
      <w:r>
        <w:t xml:space="preserve">10:00 (just before our 11:00 satellite peak), Incheon HW at LST</w:t>
      </w:r>
      <w:r>
        <w:t xml:space="preserve"> </w:t>
      </w:r>
      <m:oMath>
        <m:r>
          <m:rPr>
            <m:sty m:val="p"/>
          </m:rPr>
          <m:t>≈</m:t>
        </m:r>
      </m:oMath>
      <w:r>
        <w:t xml:space="preserve"> </w:t>
      </w:r>
      <w:r>
        <w:t xml:space="preserve">14:00 (well after). Consequently, the 11:00 KST overpass catches different phases of the local tide:</w:t>
      </w:r>
    </w:p>
    <w:p>
      <w:pPr>
        <w:pStyle w:val="Compact"/>
        <w:numPr>
          <w:ilvl w:val="0"/>
          <w:numId w:val="1011"/>
        </w:numPr>
      </w:pPr>
      <w:r>
        <w:rPr>
          <w:b/>
          <w:bCs/>
        </w:rPr>
        <w:t xml:space="preserve">Western sites (Incheon-phased)</w:t>
      </w:r>
      <w:r>
        <w:t xml:space="preserve">: 11:00</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Compact"/>
        <w:numPr>
          <w:ilvl w:val="0"/>
          <w:numId w:val="1011"/>
        </w:numPr>
      </w:pPr>
      <w:r>
        <w:rPr>
          <w:b/>
          <w:bCs/>
        </w:rPr>
        <w:t xml:space="preserve">Southern site (Yeosu-phased)</w:t>
      </w:r>
      <w:r>
        <w:t xml:space="preserve">: 11:00</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FirstParagraph"/>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61"/>
    <w:bookmarkStart w:id="62" w:name="Xd632fd15f88e8dd631807cd8eccd112decf7571"/>
    <w:p>
      <w:pPr>
        <w:pStyle w:val="Heading3"/>
      </w:pPr>
      <w:r>
        <w:t xml:space="preserve">5.3 Implications for waterline DEM literature</w:t>
      </w:r>
    </w:p>
    <w:p>
      <w:pPr>
        <w:pStyle w:val="FirstParagraph"/>
      </w:pPr>
      <w:r>
        <w:t xml:space="preserve">Three implications follow.</w:t>
      </w:r>
    </w:p>
    <w:p>
      <w:pPr>
        <w:pStyle w:val="Body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validated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Body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BodyText"/>
      </w:pPr>
      <w:r>
        <w:rPr>
          <w:b/>
          <w:bCs/>
        </w:rPr>
        <w:t xml:space="preserve">(c) The need for radar integration: a theoretical basis for empirical multi-sensor data-collection-window optima.</w:t>
      </w:r>
      <w:r>
        <w:t xml:space="preserve"> </w:t>
      </w:r>
      <w:r>
        <w:t xml:space="preserve">Sentinel-1 SAR has overpasses near 06:00 and 18:00 LST, displaced from the optical 11:00 LST by approximately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BodyText"/>
      </w:pPr>
      <w:r>
        <w:t xml:space="preserve">This phase-orthogonality argument supplies the missing first-principles explanation for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Body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Body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62"/>
    <w:bookmarkStart w:id="63" w:name="limitations"/>
    <w:p>
      <w:pPr>
        <w:pStyle w:val="Heading3"/>
      </w:pPr>
      <w:r>
        <w:t xml:space="preserve">5.4 Limitations</w:t>
      </w:r>
    </w:p>
    <w:p>
      <w:pPr>
        <w:pStyle w:val="FirstParagraph"/>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Body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Body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Body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Body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63"/>
    <w:bookmarkStart w:id="64" w:name="generality"/>
    <w:p>
      <w:pPr>
        <w:pStyle w:val="Heading3"/>
      </w:pPr>
      <w:r>
        <w:t xml:space="preserve">5.5 Generality</w:t>
      </w:r>
    </w:p>
    <w:p>
      <w:pPr>
        <w:pStyle w:val="FirstParagraph"/>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BodyText"/>
      </w:pPr>
      <w:r>
        <w:t xml:space="preserve">An important distinction must be drawn between the</w:t>
      </w:r>
      <w:r>
        <w:t xml:space="preserve"> </w:t>
      </w:r>
      <w:r>
        <w:rPr>
          <w:i/>
          <w:iCs/>
        </w:rPr>
        <w:t xml:space="preserve">structure</w:t>
      </w:r>
      <w:r>
        <w:t xml:space="preserve"> </w:t>
      </w:r>
      <w:r>
        <w:t xml:space="preserve">of the model and the</w:t>
      </w:r>
      <w:r>
        <w:t xml:space="preserve"> </w:t>
      </w:r>
      <w:r>
        <w:rPr>
          <w:i/>
          <w:iCs/>
        </w:rPr>
        <w:t xml:space="preserve">value</w:t>
      </w:r>
      <w:r>
        <w:t xml:space="preserve"> </w:t>
      </w:r>
      <w:r>
        <w:t xml:space="preserve">of its fitted coefficient. The model structure —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derived from first principles (Section 3.3) and is universal for any sun-synchronous optical sensor over any tidally dominated coast. The fitted slope</w:t>
      </w:r>
      <w:r>
        <w:t xml:space="preserve"> </w:t>
      </w:r>
      <m:oMath>
        <m:r>
          <m:t>β</m:t>
        </m:r>
        <m:r>
          <m:rPr>
            <m:sty m:val="p"/>
          </m:rPr>
          <m:t>=</m:t>
        </m:r>
        <m:r>
          <m:t>1.78</m:t>
        </m:r>
      </m:oMath>
      <w:r>
        <w:t xml:space="preserve"> </w:t>
      </w:r>
      <w:r>
        <w:t xml:space="preserve">absorbs the spring–neap covariance specific to the Korean</w:t>
      </w:r>
      <w:r>
        <w:t xml:space="preserve"> </w:t>
      </w:r>
      <m:oMath>
        <m:sSub>
          <m:e>
            <m:r>
              <m:t>M</m:t>
            </m:r>
          </m:e>
          <m:sub>
            <m:r>
              <m:t>2</m:t>
            </m:r>
          </m:sub>
        </m:sSub>
      </m:oMath>
      <w:r>
        <w:t xml:space="preserve">/</w:t>
      </w:r>
      <m:oMath>
        <m:sSub>
          <m:e>
            <m:r>
              <m:t>S</m:t>
            </m:r>
          </m:e>
          <m:sub>
            <m:r>
              <m:t>2</m:t>
            </m:r>
          </m:sub>
        </m:sSub>
      </m:oMath>
      <w:r>
        <w:t xml:space="preserve"> </w:t>
      </w:r>
      <w:r>
        <w:t xml:space="preserve">regime (Section 5.1) and may differ elsewhere; the physical mechanism that drives</w:t>
      </w:r>
      <w:r>
        <w:t xml:space="preserve"> </w:t>
      </w:r>
      <m:oMath>
        <m:r>
          <m:t>β</m:t>
        </m:r>
        <m:r>
          <m:rPr>
            <m:sty m:val="p"/>
          </m:rPr>
          <m:t>&gt;</m:t>
        </m:r>
        <m:r>
          <m:t>1</m:t>
        </m:r>
      </m:oMath>
      <w:r>
        <w:t xml:space="preserve">, however, is itself generic: wherever the spring–neap beat frequency is incommensurate with the satellite revisit cycle, a non-zero</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will inflate</w:t>
      </w:r>
      <w:r>
        <w:t xml:space="preserve"> </w:t>
      </w:r>
      <m:oMath>
        <m:r>
          <m:t>β</m:t>
        </m:r>
      </m:oMath>
      <w:r>
        <w:t xml:space="preserve"> </w:t>
      </w:r>
      <w:r>
        <w:t xml:space="preserve">above its theoretical floor of 1. Users outside Korea need not adopt 1.78 directly; the recommended workflow is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then — if local gauge data are available — fit a site-specific</w:t>
      </w:r>
      <w:r>
        <w:t xml:space="preserve"> </w:t>
      </w:r>
      <m:oMath>
        <m:r>
          <m:t>β</m:t>
        </m:r>
      </m:oMath>
      <w:r>
        <w:t xml:space="preserve"> </w:t>
      </w:r>
      <w:r>
        <w:t xml:space="preserve">to calibrate the correction. In the absence of gauge data, the first-order correction with</w:t>
      </w:r>
      <w:r>
        <w:t xml:space="preserve"> </w:t>
      </w:r>
      <m:oMath>
        <m:r>
          <m:t>β</m:t>
        </m:r>
        <m:r>
          <m:rPr>
            <m:sty m:val="p"/>
          </m:rPr>
          <m:t>=</m:t>
        </m:r>
        <m:r>
          <m:t>1</m:t>
        </m:r>
      </m:oMath>
      <w:r>
        <w:t xml:space="preserve"> </w:t>
      </w:r>
      <w:r>
        <w:t xml:space="preserve">already captures the sign and leading-order magnitude of the bias.</w:t>
      </w:r>
    </w:p>
    <w:p>
      <w:r>
        <w:pict>
          <v:rect style="width:0;height:1.5pt" o:hralign="center" o:hrstd="t" o:hr="t"/>
        </w:pict>
      </w:r>
    </w:p>
    <w:bookmarkEnd w:id="64"/>
    <w:bookmarkEnd w:id="65"/>
    <w:bookmarkStart w:id="66" w:name="conclusions"/>
    <w:p>
      <w:pPr>
        <w:pStyle w:val="Heading2"/>
      </w:pPr>
      <w:r>
        <w:t xml:space="preserve">6. Conclusions</w:t>
      </w:r>
    </w:p>
    <w:p>
      <w:pPr>
        <w:pStyle w:val="FirstParagraph"/>
      </w:pPr>
      <w:r>
        <w:t xml:space="preserve">These results directly answer the three open questions of Section 1.3.</w:t>
      </w:r>
    </w:p>
    <w:p>
      <w:pPr>
        <w:pStyle w:val="Body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FirstParagraph"/>
      </w:pPr>
      <w:r>
        <w:rPr>
          <w:i/>
          <w:iCs/>
        </w:rPr>
        <w:t xml:space="preserve">In answer to question 2 (how does the bias vary along regional amphidromic gradients?):</w:t>
      </w:r>
    </w:p>
    <w:p>
      <w:pPr>
        <w:pStyle w:val="Compac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FirstParagraph"/>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LST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FirstParagraph"/>
      </w:pPr>
      <w:r>
        <w:rPr>
          <w:i/>
          <w:iCs/>
        </w:rPr>
        <w:t xml:space="preserve">Beyond the three open questions:</w:t>
      </w:r>
    </w:p>
    <w:p>
      <w:pPr>
        <w:pStyle w:val="Compac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FirstParagraph"/>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66"/>
    <w:bookmarkStart w:id="67" w:name="supplementary-materials"/>
    <w:p>
      <w:pPr>
        <w:pStyle w:val="Heading2"/>
      </w:pPr>
      <w:r>
        <w:t xml:space="preserve">Supplementary Materials</w:t>
      </w:r>
    </w:p>
    <w:p>
      <w:pPr>
        <w:pStyle w:val="FirstParagraph"/>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67"/>
    <w:bookmarkStart w:id="68" w:name="author-contributions"/>
    <w:p>
      <w:pPr>
        <w:pStyle w:val="Heading2"/>
      </w:pPr>
      <w:r>
        <w:t xml:space="preserve">Author Contributions</w:t>
      </w:r>
    </w:p>
    <w:p>
      <w:pPr>
        <w:pStyle w:val="FirstParagraph"/>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 All</w:t>
      </w:r>
      <w:r>
        <w:t xml:space="preserve"> </w:t>
      </w:r>
      <w:r>
        <w:t xml:space="preserve">authors have read and agreed to the published version of the manuscript.</w:t>
      </w:r>
      <w:r>
        <w:t xml:space="preserve"> </w:t>
      </w:r>
    </w:p>
    <w:bookmarkEnd w:id="68"/>
    <w:bookmarkStart w:id="69" w:name="funding"/>
    <w:p>
      <w:pPr>
        <w:pStyle w:val="Heading2"/>
      </w:pPr>
      <w:r>
        <w:t xml:space="preserve">Funding</w:t>
      </w:r>
    </w:p>
    <w:p>
      <w:pPr>
        <w:pStyle w:val="FirstParagraph"/>
      </w:pPr>
      <w:r>
        <w:t xml:space="preserve">This research received no external funding.</w:t>
      </w:r>
      <w:r>
        <w:t xml:space="preserve"> </w:t>
      </w:r>
    </w:p>
    <w:bookmarkEnd w:id="69"/>
    <w:bookmarkStart w:id="70" w:name="institutional-review-board-statement"/>
    <w:p>
      <w:pPr>
        <w:pStyle w:val="Heading2"/>
      </w:pPr>
      <w:r>
        <w:t xml:space="preserve">Institutional Review Board Statement</w:t>
      </w:r>
    </w:p>
    <w:p>
      <w:pPr>
        <w:pStyle w:val="FirstParagraph"/>
      </w:pPr>
      <w:r>
        <w:t xml:space="preserve">Not applicable.</w:t>
      </w:r>
    </w:p>
    <w:bookmarkEnd w:id="70"/>
    <w:bookmarkStart w:id="71" w:name="informed-consent-statement"/>
    <w:p>
      <w:pPr>
        <w:pStyle w:val="Heading2"/>
      </w:pPr>
      <w:r>
        <w:t xml:space="preserve">Informed Consent Statement</w:t>
      </w:r>
    </w:p>
    <w:p>
      <w:pPr>
        <w:pStyle w:val="FirstParagraph"/>
      </w:pPr>
      <w:r>
        <w:t xml:space="preserve">Not applicable.</w:t>
      </w:r>
    </w:p>
    <w:bookmarkEnd w:id="71"/>
    <w:bookmarkStart w:id="72" w:name="data-availability-statement"/>
    <w:p>
      <w:pPr>
        <w:pStyle w:val="Heading2"/>
      </w:pPr>
      <w:r>
        <w:t xml:space="preserve">Data Availability Statement</w:t>
      </w:r>
    </w:p>
    <w:p>
      <w:pPr>
        <w:pStyle w:val="FirstParagraph"/>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72"/>
    <w:bookmarkStart w:id="73" w:name="acknowledgments"/>
    <w:p>
      <w:pPr>
        <w:pStyle w:val="Heading2"/>
      </w:pPr>
      <w:r>
        <w:t xml:space="preserve">Acknowledgments</w:t>
      </w:r>
    </w:p>
    <w:p>
      <w:pPr>
        <w:pStyle w:val="FirstParagraph"/>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pyTMD, Cartopy, UTide, and eo-tides for open-source tooling.</w:t>
      </w:r>
      <w:r>
        <w:t xml:space="preserve"> </w:t>
      </w:r>
      <w:r>
        <w:t xml:space="preserve">Haebomdata Inc. has carried out the nationwide Blue Carbon Monitoring service</w:t>
      </w:r>
      <w:r>
        <w:t xml:space="preserve"> </w:t>
      </w:r>
      <w:r>
        <w:t xml:space="preserve">commissioned by the Korea Marine Environment Management Corporation (KOEM); the</w:t>
      </w:r>
      <w:r>
        <w:t xml:space="preserve"> </w:t>
      </w:r>
      <w:r>
        <w:t xml:space="preserve">present study was conducted independently of that contract.</w:t>
      </w:r>
    </w:p>
    <w:bookmarkEnd w:id="73"/>
    <w:bookmarkStart w:id="74"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74"/>
    <w:bookmarkStart w:id="75" w:name="conflicts-of-interest"/>
    <w:p>
      <w:pPr>
        <w:pStyle w:val="Heading2"/>
      </w:pPr>
      <w:r>
        <w:t xml:space="preserve">Conflicts of Interest</w:t>
      </w:r>
    </w:p>
    <w:p>
      <w:pPr>
        <w:pStyle w:val="FirstParagraph"/>
      </w:pPr>
      <w:r>
        <w:t xml:space="preserve">The authors declare no conflicts of interest.</w:t>
      </w:r>
    </w:p>
    <w:bookmarkEnd w:id="75"/>
    <w:bookmarkStart w:id="141" w:name="references"/>
    <w:p>
      <w:pPr>
        <w:pStyle w:val="Heading2"/>
      </w:pPr>
      <w:r>
        <w:t xml:space="preserve">References</w:t>
      </w:r>
    </w:p>
    <w:bookmarkStart w:id="140" w:name="refs"/>
    <w:bookmarkStart w:id="77" w:name="ref-murray_2019_global"/>
    <w:p>
      <w:pPr>
        <w:pStyle w:val="Bibliography"/>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76">
        <w:r>
          <w:rPr>
            <w:rStyle w:val="Hyperlink"/>
          </w:rPr>
          <w:t xml:space="preserve">10.1038/s41586-018-0805-8</w:t>
        </w:r>
      </w:hyperlink>
      <w:r>
        <w:t xml:space="preserve">.</w:t>
      </w:r>
    </w:p>
    <w:bookmarkEnd w:id="77"/>
    <w:bookmarkStart w:id="79" w:name="ref-worm_2006"/>
    <w:p>
      <w:pPr>
        <w:pStyle w:val="Bibliography"/>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78">
        <w:r>
          <w:rPr>
            <w:rStyle w:val="Hyperlink"/>
          </w:rPr>
          <w:t xml:space="preserve">10.1126/science.1132294</w:t>
        </w:r>
      </w:hyperlink>
      <w:r>
        <w:t xml:space="preserve">.</w:t>
      </w:r>
    </w:p>
    <w:bookmarkEnd w:id="79"/>
    <w:bookmarkStart w:id="81" w:name="ref-xu_2022_icesat2_tidalflat"/>
    <w:p>
      <w:pPr>
        <w:pStyle w:val="Bibliography"/>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80">
        <w:r>
          <w:rPr>
            <w:rStyle w:val="Hyperlink"/>
          </w:rPr>
          <w:t xml:space="preserve">10.1029/2021GL096813</w:t>
        </w:r>
      </w:hyperlink>
      <w:r>
        <w:t xml:space="preserve">.</w:t>
      </w:r>
    </w:p>
    <w:bookmarkEnd w:id="81"/>
    <w:bookmarkStart w:id="83" w:name="ref-mason_1995"/>
    <w:p>
      <w:pPr>
        <w:pStyle w:val="Bibliography"/>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82">
        <w:r>
          <w:rPr>
            <w:rStyle w:val="Hyperlink"/>
          </w:rPr>
          <w:t xml:space="preserve">10.1029/95GL03168</w:t>
        </w:r>
      </w:hyperlink>
      <w:r>
        <w:t xml:space="preserve">.</w:t>
      </w:r>
    </w:p>
    <w:bookmarkEnd w:id="83"/>
    <w:bookmarkStart w:id="85" w:name="ref-heygster_2010"/>
    <w:p>
      <w:pPr>
        <w:pStyle w:val="Bibliography"/>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84">
        <w:r>
          <w:rPr>
            <w:rStyle w:val="Hyperlink"/>
          </w:rPr>
          <w:t xml:space="preserve">10.1109/TGRS.2009.2031843</w:t>
        </w:r>
      </w:hyperlink>
      <w:r>
        <w:t xml:space="preserve">.</w:t>
      </w:r>
    </w:p>
    <w:bookmarkEnd w:id="85"/>
    <w:bookmarkStart w:id="87" w:name="ref-murray_2012"/>
    <w:p>
      <w:pPr>
        <w:pStyle w:val="Bibliography"/>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86">
        <w:r>
          <w:rPr>
            <w:rStyle w:val="Hyperlink"/>
          </w:rPr>
          <w:t xml:space="preserve">10.3390/rs4113417</w:t>
        </w:r>
      </w:hyperlink>
      <w:r>
        <w:t xml:space="preserve">.</w:t>
      </w:r>
    </w:p>
    <w:bookmarkEnd w:id="87"/>
    <w:bookmarkStart w:id="89" w:name="ref-sagar_2017_australia"/>
    <w:p>
      <w:pPr>
        <w:pStyle w:val="Bibliography"/>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88">
        <w:r>
          <w:rPr>
            <w:rStyle w:val="Hyperlink"/>
          </w:rPr>
          <w:t xml:space="preserve">10.1016/j.rse.2017.04.009</w:t>
        </w:r>
      </w:hyperlink>
      <w:r>
        <w:t xml:space="preserve">.</w:t>
      </w:r>
    </w:p>
    <w:bookmarkEnd w:id="89"/>
    <w:bookmarkStart w:id="91" w:name="ref-bishop_taylor_2019a"/>
    <w:p>
      <w:pPr>
        <w:pStyle w:val="Bibliography"/>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90">
        <w:r>
          <w:rPr>
            <w:rStyle w:val="Hyperlink"/>
          </w:rPr>
          <w:t xml:space="preserve">10.1016/j.ecss.2019.03.006</w:t>
        </w:r>
      </w:hyperlink>
      <w:r>
        <w:t xml:space="preserve">.</w:t>
      </w:r>
    </w:p>
    <w:bookmarkEnd w:id="91"/>
    <w:bookmarkStart w:id="93" w:name="ref-bishop_taylor_2019b"/>
    <w:p>
      <w:pPr>
        <w:pStyle w:val="Bibliography"/>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92">
        <w:r>
          <w:rPr>
            <w:rStyle w:val="Hyperlink"/>
          </w:rPr>
          <w:t xml:space="preserve">10.3390/rs11242984</w:t>
        </w:r>
      </w:hyperlink>
      <w:r>
        <w:t xml:space="preserve">.</w:t>
      </w:r>
    </w:p>
    <w:bookmarkEnd w:id="93"/>
    <w:bookmarkStart w:id="95" w:name="ref-tseng_2017"/>
    <w:p>
      <w:pPr>
        <w:pStyle w:val="Bibliography"/>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94">
        <w:r>
          <w:rPr>
            <w:rStyle w:val="Hyperlink"/>
          </w:rPr>
          <w:t xml:space="preserve">10.1016/j.isprsjprs.2017.07.008</w:t>
        </w:r>
      </w:hyperlink>
      <w:r>
        <w:t xml:space="preserve">.</w:t>
      </w:r>
    </w:p>
    <w:bookmarkEnd w:id="95"/>
    <w:bookmarkStart w:id="97" w:name="ref-khan_2019"/>
    <w:p>
      <w:pPr>
        <w:pStyle w:val="Bibliography"/>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96">
        <w:r>
          <w:rPr>
            <w:rStyle w:val="Hyperlink"/>
          </w:rPr>
          <w:t xml:space="preserve">10.3390/rs11242888</w:t>
        </w:r>
      </w:hyperlink>
      <w:r>
        <w:t xml:space="preserve">.</w:t>
      </w:r>
    </w:p>
    <w:bookmarkEnd w:id="97"/>
    <w:bookmarkStart w:id="99" w:name="ref-salameh_2019_review"/>
    <w:p>
      <w:pPr>
        <w:pStyle w:val="Bibliography"/>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98">
        <w:r>
          <w:rPr>
            <w:rStyle w:val="Hyperlink"/>
          </w:rPr>
          <w:t xml:space="preserve">10.3390/rs11192212</w:t>
        </w:r>
      </w:hyperlink>
      <w:r>
        <w:t xml:space="preserve">.</w:t>
      </w:r>
    </w:p>
    <w:bookmarkEnd w:id="99"/>
    <w:bookmarkStart w:id="101" w:name="ref-wang_2020_ningbo"/>
    <w:p>
      <w:pPr>
        <w:pStyle w:val="Bibliography"/>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100">
        <w:r>
          <w:rPr>
            <w:rStyle w:val="Hyperlink"/>
          </w:rPr>
          <w:t xml:space="preserve">10.3390/ijgi9020068</w:t>
        </w:r>
      </w:hyperlink>
      <w:r>
        <w:t xml:space="preserve">.</w:t>
      </w:r>
    </w:p>
    <w:bookmarkEnd w:id="101"/>
    <w:bookmarkStart w:id="103" w:name="ref-zhang_2022_sar_waterline"/>
    <w:p>
      <w:pPr>
        <w:pStyle w:val="Bibliography"/>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02">
        <w:r>
          <w:rPr>
            <w:rStyle w:val="Hyperlink"/>
          </w:rPr>
          <w:t xml:space="preserve">10.1029/2021GL096007</w:t>
        </w:r>
      </w:hyperlink>
      <w:r>
        <w:t xml:space="preserve">.</w:t>
      </w:r>
    </w:p>
    <w:bookmarkEnd w:id="103"/>
    <w:bookmarkStart w:id="105" w:name="ref-xin_2025_icesat2_combine"/>
    <w:p>
      <w:pPr>
        <w:pStyle w:val="Bibliography"/>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04">
        <w:r>
          <w:rPr>
            <w:rStyle w:val="Hyperlink"/>
          </w:rPr>
          <w:t xml:space="preserve">10.1080/17538947.2025.2554313</w:t>
        </w:r>
      </w:hyperlink>
      <w:r>
        <w:t xml:space="preserve">.</w:t>
      </w:r>
    </w:p>
    <w:bookmarkEnd w:id="105"/>
    <w:bookmarkStart w:id="107" w:name="ref-bishop_taylor_2025_eotides"/>
    <w:p>
      <w:pPr>
        <w:pStyle w:val="Bibliography"/>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06">
        <w:r>
          <w:rPr>
            <w:rStyle w:val="Hyperlink"/>
          </w:rPr>
          <w:t xml:space="preserve">10.21105/joss.07786</w:t>
        </w:r>
      </w:hyperlink>
      <w:r>
        <w:t xml:space="preserve">.</w:t>
      </w:r>
    </w:p>
    <w:bookmarkEnd w:id="107"/>
    <w:bookmarkStart w:id="109" w:name="ref-sent_2025_tagus_aliasing"/>
    <w:p>
      <w:pPr>
        <w:pStyle w:val="Bibliography"/>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08">
        <w:r>
          <w:rPr>
            <w:rStyle w:val="Hyperlink"/>
          </w:rPr>
          <w:t xml:space="preserve">10.1016/j.rsase.2024.101425</w:t>
        </w:r>
      </w:hyperlink>
      <w:r>
        <w:t xml:space="preserve">.</w:t>
      </w:r>
    </w:p>
    <w:bookmarkEnd w:id="109"/>
    <w:bookmarkStart w:id="111" w:name="ref-lee_2022_korean_altimetry"/>
    <w:p>
      <w:pPr>
        <w:pStyle w:val="Bibliography"/>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10">
        <w:r>
          <w:rPr>
            <w:rStyle w:val="Hyperlink"/>
          </w:rPr>
          <w:t xml:space="preserve">10.3389/fmars.2022.810549</w:t>
        </w:r>
      </w:hyperlink>
      <w:r>
        <w:t xml:space="preserve">.</w:t>
      </w:r>
    </w:p>
    <w:bookmarkEnd w:id="111"/>
    <w:bookmarkStart w:id="113" w:name="ref-lee_2025_multisensor"/>
    <w:p>
      <w:pPr>
        <w:pStyle w:val="Bibliography"/>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12">
        <w:r>
          <w:rPr>
            <w:rStyle w:val="Hyperlink"/>
          </w:rPr>
          <w:t xml:space="preserve">10.1016/j.ecss.2025.109235</w:t>
        </w:r>
      </w:hyperlink>
      <w:r>
        <w:t xml:space="preserve">.</w:t>
      </w:r>
    </w:p>
    <w:bookmarkEnd w:id="113"/>
    <w:bookmarkStart w:id="115" w:name="ref-koh_khim_2014_korean_tidal_flat"/>
    <w:p>
      <w:pPr>
        <w:pStyle w:val="Bibliography"/>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14">
        <w:r>
          <w:rPr>
            <w:rStyle w:val="Hyperlink"/>
          </w:rPr>
          <w:t xml:space="preserve">10.1016/j.ocecoaman.2014.07.008</w:t>
        </w:r>
      </w:hyperlink>
      <w:r>
        <w:t xml:space="preserve">.</w:t>
      </w:r>
    </w:p>
    <w:bookmarkEnd w:id="115"/>
    <w:bookmarkStart w:id="117" w:name="ref-murray_2014_loss"/>
    <w:p>
      <w:pPr>
        <w:pStyle w:val="Bibliography"/>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16">
        <w:r>
          <w:rPr>
            <w:rStyle w:val="Hyperlink"/>
          </w:rPr>
          <w:t xml:space="preserve">10.1890/130260</w:t>
        </w:r>
      </w:hyperlink>
      <w:r>
        <w:t xml:space="preserve">.</w:t>
      </w:r>
    </w:p>
    <w:bookmarkEnd w:id="117"/>
    <w:bookmarkStart w:id="119" w:name="ref-choi_2014_yellowsea"/>
    <w:p>
      <w:pPr>
        <w:pStyle w:val="Bibliography"/>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18">
        <w:r>
          <w:rPr>
            <w:rStyle w:val="Hyperlink"/>
          </w:rPr>
          <w:t xml:space="preserve">10.1002/2013JC009788</w:t>
        </w:r>
      </w:hyperlink>
      <w:r>
        <w:t xml:space="preserve">.</w:t>
      </w:r>
    </w:p>
    <w:bookmarkEnd w:id="119"/>
    <w:bookmarkStart w:id="121" w:name="ref-ryu_2002_gomso"/>
    <w:p>
      <w:pPr>
        <w:pStyle w:val="Bibliography"/>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20">
        <w:r>
          <w:rPr>
            <w:rStyle w:val="Hyperlink"/>
          </w:rPr>
          <w:t xml:space="preserve">10.1016/S0034-4257(02)00059-7</w:t>
        </w:r>
      </w:hyperlink>
      <w:r>
        <w:t xml:space="preserve">.</w:t>
      </w:r>
    </w:p>
    <w:bookmarkEnd w:id="121"/>
    <w:bookmarkStart w:id="123" w:name="ref-ryu_2008_intertidal"/>
    <w:p>
      <w:pPr>
        <w:pStyle w:val="Bibliography"/>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22">
        <w:r>
          <w:rPr>
            <w:rStyle w:val="Hyperlink"/>
          </w:rPr>
          <w:t xml:space="preserve">10.1016/j.ecss.2008.01.020</w:t>
        </w:r>
      </w:hyperlink>
      <w:r>
        <w:t xml:space="preserve">.</w:t>
      </w:r>
    </w:p>
    <w:bookmarkEnd w:id="123"/>
    <w:bookmarkStart w:id="125" w:name="ref-lee_2017_tandemx"/>
    <w:p>
      <w:pPr>
        <w:pStyle w:val="Bibliography"/>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24">
        <w:r>
          <w:rPr>
            <w:rStyle w:val="Hyperlink"/>
          </w:rPr>
          <w:t xml:space="preserve">10.1109/JSTARS.2017.2697383</w:t>
        </w:r>
      </w:hyperlink>
      <w:r>
        <w:t xml:space="preserve">.</w:t>
      </w:r>
    </w:p>
    <w:bookmarkEnd w:id="125"/>
    <w:bookmarkStart w:id="127" w:name="ref-yun_2022_ganghwa_tandemx"/>
    <w:p>
      <w:pPr>
        <w:pStyle w:val="Bibliography"/>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26">
        <w:r>
          <w:rPr>
            <w:rStyle w:val="Hyperlink"/>
          </w:rPr>
          <w:t xml:space="preserve">10.22761/DJ2022.4.1.004</w:t>
        </w:r>
      </w:hyperlink>
      <w:r>
        <w:t xml:space="preserve">.</w:t>
      </w:r>
    </w:p>
    <w:bookmarkEnd w:id="127"/>
    <w:bookmarkStart w:id="129" w:name="ref-gorelick_2017_gee"/>
    <w:p>
      <w:pPr>
        <w:pStyle w:val="Bibliography"/>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28">
        <w:r>
          <w:rPr>
            <w:rStyle w:val="Hyperlink"/>
          </w:rPr>
          <w:t xml:space="preserve">10.1016/j.rse.2017.06.031</w:t>
        </w:r>
      </w:hyperlink>
      <w:r>
        <w:t xml:space="preserve">.</w:t>
      </w:r>
    </w:p>
    <w:bookmarkEnd w:id="129"/>
    <w:bookmarkStart w:id="131" w:name="ref-drusch_2012_s2"/>
    <w:p>
      <w:pPr>
        <w:pStyle w:val="Bibliography"/>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30">
        <w:r>
          <w:rPr>
            <w:rStyle w:val="Hyperlink"/>
          </w:rPr>
          <w:t xml:space="preserve">10.1016/j.rse.2011.11.026</w:t>
        </w:r>
      </w:hyperlink>
      <w:r>
        <w:t xml:space="preserve">.</w:t>
      </w:r>
    </w:p>
    <w:bookmarkEnd w:id="131"/>
    <w:bookmarkStart w:id="133" w:name="ref-codiga_2011_utide"/>
    <w:p>
      <w:pPr>
        <w:pStyle w:val="Bibliography"/>
      </w:pPr>
      <w:r>
        <w:t xml:space="preserve">29.</w:t>
      </w:r>
      <w:r>
        <w:t xml:space="preserve"> </w:t>
      </w:r>
      <w:r>
        <w:t xml:space="preserve">	</w:t>
      </w:r>
      <w:r>
        <w:t xml:space="preserve">Codiga, D.L.</w:t>
      </w:r>
      <w:r>
        <w:t xml:space="preserve"> </w:t>
      </w:r>
      <w:hyperlink r:id="rId132">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33"/>
    <w:bookmarkStart w:id="135" w:name="ref-lyard_2021_fes2014"/>
    <w:p>
      <w:pPr>
        <w:pStyle w:val="Bibliography"/>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34">
        <w:r>
          <w:rPr>
            <w:rStyle w:val="Hyperlink"/>
          </w:rPr>
          <w:t xml:space="preserve">10.5194/os-17-615-2021</w:t>
        </w:r>
      </w:hyperlink>
      <w:r>
        <w:t xml:space="preserve">.</w:t>
      </w:r>
    </w:p>
    <w:bookmarkEnd w:id="135"/>
    <w:bookmarkStart w:id="137" w:name="ref-carrere_2022_fes2022"/>
    <w:p>
      <w:pPr>
        <w:pStyle w:val="Bibliography"/>
      </w:pPr>
      <w:r>
        <w:t xml:space="preserve">31.</w:t>
      </w:r>
      <w:r>
        <w:t xml:space="preserve"> </w:t>
      </w:r>
      <w:r>
        <w:t xml:space="preserve">	</w:t>
      </w:r>
      <w:r>
        <w:t xml:space="preserve">Carrère, L.; Lyard, F.; Cancet, M.; Allain, D.; Dabat, M.-L.; Fouchet, E.; Faugère, Y.; Pujol, M.-I.; Briol, F.; Dibarboure, G.; et al.</w:t>
      </w:r>
      <w:r>
        <w:t xml:space="preserve"> </w:t>
      </w:r>
      <w:hyperlink r:id="rId136">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37"/>
    <w:bookmarkStart w:id="139" w:name="ref-egbert_erofeeva_2002"/>
    <w:p>
      <w:pPr>
        <w:pStyle w:val="Bibliography"/>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38">
        <w:r>
          <w:rPr>
            <w:rStyle w:val="Hyperlink"/>
          </w:rPr>
          <w:t xml:space="preserve">10.1175/1520-0426(2002)019&lt;0183:EIMOBO&gt;2.0.CO;2</w:t>
        </w:r>
      </w:hyperlink>
      <w:r>
        <w:t xml:space="preserve">.</w:t>
      </w:r>
    </w:p>
    <w:bookmarkEnd w:id="139"/>
    <w:bookmarkEnd w:id="140"/>
    <w:bookmarkEnd w:id="141"/>
    <w:sectPr>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16" Target="media/rId1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Taeyoon Song1, Mirinae Kim1</dc:creator>
  <cp:keywords/>
  <dcterms:created xsi:type="dcterms:W3CDTF">2026-06-15T06:44:24Z</dcterms:created>
  <dcterms:modified xsi:type="dcterms:W3CDTF">2026-06-15T06:44:24Z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 \beta = 1.78 reproduces the bias across five sites and three sensors (R^{2} = 0.98) and is recovered from the global FES2022b tide model alone (R^{2} = 0.983),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Remote Sensing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